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2016000382 — OBLIGACIÓN No. 10-2016000382.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SONIA STEPHANE BEDOYA LIÉVANO, C.C. No. 1.121.877.588, firmante [COMPLETAR — CALIDAD INDIVIDUAL ACREDITADA Y ALCANCE DE LA OBLIGACIÓN]; y SANDRA PATRICIA ÁLVAREZ M. [COMPLETAR — APELLIDO COMPLETO], C.C. No. 1.090.387.419,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2016000382,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$3.918.552, intereses de plazo de $1.110.213 y mora de $1.485.449, para un total de $6.514.214. Como controles de trabajo —sin costas estimadas—, el doble equivale a $13.028.428 para revisar el límite general del artículo 599 del CGP, mientras el 150 % equivale a $9.771.321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No se encontró en la auditoría una fuente actual de activo individualizado. [COMPLETAR — IDENTIFICAR ACTIVO ACTUAL Y APORTAR FUENTE].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2016000382.pdf»; «EXTRACTO 1121877588.PDF»; «CC 1121877588 PAGARE 2016000382.pdf».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$13.028.428 para el techo general de revisión y $9.771.321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2016000382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