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2016000402 — OBLIGACIÓN No. 10-2016000402.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BERONICA ANDREA GONZALEZ CORDOBA, C.C. No. 1.121.937.363, firmante [COMPLETAR — CALIDAD INDIVIDUAL ACREDITADA Y ALCANCE DE LA OBLIGACIÓN]; y MILEYNA SERRANO AGUIRRE, C.C. No. 1.022.408.499,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2016000402,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$7.527.339, intereses de plazo de $2.344.098 y mora de $2.154.598, para un total de $12.026.035. Como controles de trabajo —sin costas estimadas—, el doble equivale a $24.052.070 para revisar el límite general del artículo 599 del CGP, mientras el 150 % equivale a $18.039.053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2016000402.pdf»; «EXTRACTO 1121937363.PDF»; «CC 1121937363 PAGARE 2016000402.pdf».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$24.052.070 para el techo general de revisión y $18.039.053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2016000402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