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00EB8" w14:textId="77777777" w:rsidR="003A04D7" w:rsidRPr="003A04D7" w:rsidRDefault="003A04D7" w:rsidP="003A04D7">
      <w:r w:rsidRPr="003A04D7">
        <w:rPr>
          <w:b/>
          <w:bCs/>
        </w:rPr>
        <w:t xml:space="preserve">Building on the frameworks of Atkeson et al. (2022) and </w:t>
      </w:r>
      <w:proofErr w:type="spellStart"/>
      <w:r w:rsidRPr="003A04D7">
        <w:rPr>
          <w:b/>
          <w:bCs/>
        </w:rPr>
        <w:t>Gourinchas</w:t>
      </w:r>
      <w:proofErr w:type="spellEnd"/>
      <w:r w:rsidRPr="003A04D7">
        <w:rPr>
          <w:b/>
          <w:bCs/>
        </w:rPr>
        <w:t xml:space="preserve"> &amp; Rey (2007),</w:t>
      </w:r>
      <w:r w:rsidRPr="003A04D7">
        <w:t xml:space="preserve"> this study explores whether Switzerland benefits from an “exorbitant privilege” comparable to that of the United States. Our analysis is guided by the following core questions:</w:t>
      </w:r>
    </w:p>
    <w:p w14:paraId="5B71A9CB" w14:textId="77777777" w:rsidR="003A04D7" w:rsidRPr="003A04D7" w:rsidRDefault="003A04D7" w:rsidP="003A04D7">
      <w:pPr>
        <w:numPr>
          <w:ilvl w:val="0"/>
          <w:numId w:val="8"/>
        </w:numPr>
      </w:pPr>
      <w:r w:rsidRPr="003A04D7">
        <w:t>Does Switzerland benefit from an “exorbitant privilege” in its external balance sheet?</w:t>
      </w:r>
    </w:p>
    <w:p w14:paraId="328BC1D0" w14:textId="77777777" w:rsidR="003A04D7" w:rsidRPr="003A04D7" w:rsidRDefault="003A04D7" w:rsidP="003A04D7">
      <w:pPr>
        <w:numPr>
          <w:ilvl w:val="0"/>
          <w:numId w:val="8"/>
        </w:numPr>
      </w:pPr>
      <w:commentRangeStart w:id="0"/>
      <w:r w:rsidRPr="003A04D7">
        <w:t xml:space="preserve">Are valuation gains or losses offsetting </w:t>
      </w:r>
      <w:proofErr w:type="gramStart"/>
      <w:r w:rsidRPr="003A04D7">
        <w:t>its</w:t>
      </w:r>
      <w:proofErr w:type="gramEnd"/>
      <w:r w:rsidRPr="003A04D7">
        <w:t xml:space="preserve"> sustained current account surpluses?</w:t>
      </w:r>
    </w:p>
    <w:p w14:paraId="36972613" w14:textId="77777777" w:rsidR="003A04D7" w:rsidRPr="003A04D7" w:rsidRDefault="003A04D7" w:rsidP="003A04D7">
      <w:pPr>
        <w:numPr>
          <w:ilvl w:val="0"/>
          <w:numId w:val="8"/>
        </w:numPr>
      </w:pPr>
      <w:r w:rsidRPr="003A04D7">
        <w:t>To what extent does the composition of the SNB’s assets — particularly gold and foreign exchange reserves — shape these valuation effects?</w:t>
      </w:r>
      <w:commentRangeEnd w:id="0"/>
      <w:r w:rsidR="00FC2FB4">
        <w:rPr>
          <w:rStyle w:val="CommentReference"/>
        </w:rPr>
        <w:commentReference w:id="0"/>
      </w:r>
    </w:p>
    <w:p w14:paraId="5F9C74C0" w14:textId="77777777" w:rsidR="003A04D7" w:rsidRPr="003A04D7" w:rsidRDefault="003A04D7" w:rsidP="003A04D7">
      <w:pPr>
        <w:numPr>
          <w:ilvl w:val="0"/>
          <w:numId w:val="8"/>
        </w:numPr>
      </w:pPr>
      <w:r w:rsidRPr="003A04D7">
        <w:t>Unlike the U.S., might Switzerland instead bear an “exorbitant duty” due to losses on its foreign asset holdings?</w:t>
      </w:r>
    </w:p>
    <w:p w14:paraId="1037DF64" w14:textId="77777777" w:rsidR="003A04D7" w:rsidRPr="003A04D7" w:rsidRDefault="003A04D7" w:rsidP="003A04D7">
      <w:r w:rsidRPr="003A04D7">
        <w:t>Our empirical approach follows the logic of the above-mentioned studies but is adapted to Switzerland’s unique economic structure and its external position.</w:t>
      </w:r>
    </w:p>
    <w:p w14:paraId="4A81B98C" w14:textId="77777777" w:rsidR="003A04D7" w:rsidRPr="003A04D7" w:rsidRDefault="003A04D7" w:rsidP="003A04D7">
      <w:r w:rsidRPr="003A04D7">
        <w:pict w14:anchorId="0F3D0F73">
          <v:rect id="_x0000_i1072" style="width:0;height:1.5pt" o:hralign="center" o:hrstd="t" o:hr="t" fillcolor="#a0a0a0" stroked="f"/>
        </w:pict>
      </w:r>
    </w:p>
    <w:p w14:paraId="6DB80EDE" w14:textId="77777777" w:rsidR="003A04D7" w:rsidRPr="003A04D7" w:rsidRDefault="003A04D7" w:rsidP="003A04D7">
      <w:pPr>
        <w:rPr>
          <w:b/>
          <w:bCs/>
        </w:rPr>
      </w:pPr>
      <w:r w:rsidRPr="003A04D7">
        <w:rPr>
          <w:b/>
          <w:bCs/>
        </w:rPr>
        <w:t>1. Decomposing Changes in Net Foreign Assets (NFA)</w:t>
      </w:r>
    </w:p>
    <w:p w14:paraId="6F645E3C" w14:textId="77777777" w:rsidR="003A04D7" w:rsidRDefault="003A04D7" w:rsidP="003A04D7">
      <w:r w:rsidRPr="003A04D7">
        <w:t>We begin by decomposing the change in Switzerland’s NFA position into two main components:</w:t>
      </w:r>
    </w:p>
    <w:p w14:paraId="491F40C7" w14:textId="78800833" w:rsidR="003A04D7" w:rsidRPr="003A04D7" w:rsidRDefault="003A04D7" w:rsidP="003A04D7">
      <w:pPr>
        <w:jc w:val="center"/>
      </w:pPr>
      <m:oMathPara>
        <m:oMath>
          <m:r>
            <w:rPr>
              <w:rFonts w:ascii="Cambria Math" w:hAnsi="Cambria Math"/>
            </w:rPr>
            <m:t>ΔNFAₜ = CAₜ + VEₜ</m:t>
          </m:r>
        </m:oMath>
      </m:oMathPara>
    </w:p>
    <w:p w14:paraId="0876C1F6" w14:textId="1A3D6EEC" w:rsidR="003A04D7" w:rsidRPr="003A04D7" w:rsidRDefault="003A04D7" w:rsidP="003A04D7">
      <w:r w:rsidRPr="003A04D7">
        <w:t>Where:</w:t>
      </w:r>
    </w:p>
    <w:p w14:paraId="4EFBB52F" w14:textId="695177DC" w:rsidR="003A04D7" w:rsidRPr="003A04D7" w:rsidRDefault="003A04D7" w:rsidP="003A04D7">
      <w:pPr>
        <w:numPr>
          <w:ilvl w:val="0"/>
          <w:numId w:val="9"/>
        </w:numPr>
      </w:pPr>
      <m:oMath>
        <m:r>
          <w:rPr>
            <w:rFonts w:ascii="Cambria Math" w:hAnsi="Cambria Math"/>
          </w:rPr>
          <m:t xml:space="preserve">ΔNFAₜ </m:t>
        </m:r>
      </m:oMath>
      <w:r>
        <w:rPr>
          <w:rFonts w:eastAsiaTheme="minorEastAsia"/>
        </w:rPr>
        <w:t xml:space="preserve">: </w:t>
      </w:r>
      <w:r w:rsidRPr="003A04D7">
        <w:t>Change in net foreign assets</w:t>
      </w:r>
      <w:proofErr w:type="gramStart"/>
      <w:r>
        <w:t xml:space="preserve">- </w:t>
      </w:r>
      <w:r w:rsidRPr="003A04D7">
        <w:t xml:space="preserve"> over</w:t>
      </w:r>
      <w:proofErr w:type="gramEnd"/>
      <w:r w:rsidRPr="003A04D7">
        <w:t xml:space="preserve"> the period (1985–2024)</w:t>
      </w:r>
    </w:p>
    <w:p w14:paraId="2962BC78" w14:textId="5ED9A09B" w:rsidR="003A04D7" w:rsidRPr="003A04D7" w:rsidRDefault="003A04D7" w:rsidP="003A04D7">
      <w:pPr>
        <w:numPr>
          <w:ilvl w:val="0"/>
          <w:numId w:val="9"/>
        </w:numPr>
      </w:pPr>
      <m:oMath>
        <m:r>
          <w:rPr>
            <w:rFonts w:ascii="Cambria Math" w:hAnsi="Cambria Math"/>
          </w:rPr>
          <m:t>CAₜ</m:t>
        </m:r>
      </m:oMath>
      <w:proofErr w:type="gramStart"/>
      <w:r w:rsidRPr="003A04D7">
        <w:rPr>
          <w:rFonts w:ascii="Arial" w:hAnsi="Arial" w:cs="Arial"/>
        </w:rPr>
        <w:t>​</w:t>
      </w:r>
      <w:r w:rsidRPr="003A04D7">
        <w:t xml:space="preserve">: </w:t>
      </w:r>
      <w:r>
        <w:t xml:space="preserve"> </w:t>
      </w:r>
      <w:r w:rsidRPr="003A04D7">
        <w:t>Current</w:t>
      </w:r>
      <w:proofErr w:type="gramEnd"/>
      <w:r w:rsidRPr="003A04D7">
        <w:t xml:space="preserve"> account balance</w:t>
      </w:r>
    </w:p>
    <w:p w14:paraId="4BE50CC1" w14:textId="3FB35BE8" w:rsidR="003A04D7" w:rsidRPr="003A04D7" w:rsidRDefault="003A04D7" w:rsidP="003A04D7">
      <w:pPr>
        <w:numPr>
          <w:ilvl w:val="0"/>
          <w:numId w:val="9"/>
        </w:numPr>
      </w:pPr>
      <m:oMath>
        <m:r>
          <w:rPr>
            <w:rFonts w:ascii="Cambria Math" w:hAnsi="Cambria Math"/>
          </w:rPr>
          <m:t>VEₜ</m:t>
        </m:r>
      </m:oMath>
      <w:proofErr w:type="gramStart"/>
      <w:r w:rsidRPr="003A04D7">
        <w:rPr>
          <w:rFonts w:ascii="Arial" w:hAnsi="Arial" w:cs="Arial"/>
        </w:rPr>
        <w:t>​</w:t>
      </w:r>
      <w:r w:rsidRPr="003A04D7">
        <w:t xml:space="preserve">: </w:t>
      </w:r>
      <w:r>
        <w:t xml:space="preserve"> </w:t>
      </w:r>
      <w:r w:rsidRPr="003A04D7">
        <w:t>Valuation</w:t>
      </w:r>
      <w:proofErr w:type="gramEnd"/>
      <w:r w:rsidRPr="003A04D7">
        <w:t xml:space="preserve"> effects (including capital gains/</w:t>
      </w:r>
      <w:proofErr w:type="gramStart"/>
      <w:r w:rsidRPr="003A04D7">
        <w:t>losses</w:t>
      </w:r>
      <w:proofErr w:type="gramEnd"/>
      <w:r w:rsidRPr="003A04D7">
        <w:t xml:space="preserve"> and exchange rate impacts)</w:t>
      </w:r>
    </w:p>
    <w:p w14:paraId="2D2714B1" w14:textId="77777777" w:rsidR="003A04D7" w:rsidRPr="003A04D7" w:rsidRDefault="003A04D7" w:rsidP="003A04D7">
      <w:r w:rsidRPr="003A04D7">
        <w:t>This decomposition allows us to ask: Is Switzerland’s NFA improving due to persistent current account surpluses, or is it earning superior returns on its external assets?</w:t>
      </w:r>
    </w:p>
    <w:p w14:paraId="4F519634" w14:textId="77777777" w:rsidR="003A04D7" w:rsidRPr="003A04D7" w:rsidRDefault="003A04D7" w:rsidP="003A04D7">
      <w:r w:rsidRPr="003A04D7">
        <w:t>This section will draw heavily from the analysis in your second draft. We'll use that material to structure the argument clearly and respond directly to your supervisor’s comments. We may reuse or update some graphs as needed, depending on clarity and relevance.</w:t>
      </w:r>
    </w:p>
    <w:p w14:paraId="07FC22CF" w14:textId="77777777" w:rsidR="003A04D7" w:rsidRPr="003A04D7" w:rsidRDefault="003A04D7" w:rsidP="003A04D7">
      <w:r w:rsidRPr="003A04D7">
        <w:pict w14:anchorId="34866A92">
          <v:rect id="_x0000_i1073" style="width:0;height:1.5pt" o:hralign="center" o:hrstd="t" o:hr="t" fillcolor="#a0a0a0" stroked="f"/>
        </w:pict>
      </w:r>
    </w:p>
    <w:p w14:paraId="6ED01179" w14:textId="77777777" w:rsidR="003A04D7" w:rsidRPr="003A04D7" w:rsidRDefault="003A04D7" w:rsidP="003A04D7">
      <w:pPr>
        <w:rPr>
          <w:b/>
          <w:bCs/>
        </w:rPr>
      </w:pPr>
      <w:r w:rsidRPr="003A04D7">
        <w:rPr>
          <w:b/>
          <w:bCs/>
        </w:rPr>
        <w:t>2. Return Differentials and the “Exorbitant Privilege”</w:t>
      </w:r>
    </w:p>
    <w:p w14:paraId="3F3B4A97" w14:textId="77777777" w:rsidR="003A04D7" w:rsidRDefault="003A04D7" w:rsidP="003A04D7">
      <w:r w:rsidRPr="003A04D7">
        <w:lastRenderedPageBreak/>
        <w:t>To assess whether Switzerland earns a premium on its external assets, we compute the average returns on assets and liabilities:</w:t>
      </w:r>
    </w:p>
    <w:p w14:paraId="027449FE" w14:textId="77777777" w:rsidR="003A04D7" w:rsidRPr="003A04D7" w:rsidRDefault="003A04D7" w:rsidP="003A04D7">
      <w:pPr>
        <w:rPr>
          <w:rFonts w:ascii="Cambria Math" w:eastAsiaTheme="minorEastAsia" w:hAnsi="Cambria Math"/>
          <w:i/>
        </w:rPr>
      </w:pPr>
      <m:oMathPara>
        <m:oMath>
          <m:r>
            <w:rPr>
              <w:rFonts w:ascii="Cambria Math" w:hAnsi="Cambria Math"/>
            </w:rPr>
            <m:t xml:space="preserve">rₜᴬ = </m:t>
          </m:r>
          <m:f>
            <m:fPr>
              <m:ctrlPr>
                <w:rPr>
                  <w:rFonts w:ascii="Cambria Math" w:hAnsi="Cambria Math"/>
                  <w:i/>
                </w:rPr>
              </m:ctrlPr>
            </m:fPr>
            <m:num>
              <m:r>
                <w:rPr>
                  <w:rFonts w:ascii="Cambria Math" w:hAnsi="Cambria Math"/>
                </w:rPr>
                <m:t xml:space="preserve">NIₜᴬ </m:t>
              </m:r>
            </m:num>
            <m:den>
              <m:r>
                <w:rPr>
                  <w:rFonts w:ascii="Cambria Math" w:hAnsi="Cambria Math"/>
                </w:rPr>
                <m:t>Aₜ₋₁</m:t>
              </m:r>
            </m:den>
          </m:f>
        </m:oMath>
      </m:oMathPara>
    </w:p>
    <w:p w14:paraId="5D8103A9" w14:textId="7B7ED448" w:rsidR="003A04D7" w:rsidRPr="003A04D7" w:rsidRDefault="003A04D7" w:rsidP="003A04D7">
      <w:pPr>
        <w:rPr>
          <w:rFonts w:ascii="Cambria Math" w:eastAsiaTheme="minorEastAsia" w:hAnsi="Cambria Math"/>
          <w:i/>
        </w:rPr>
      </w:pPr>
      <w:r>
        <w:rPr>
          <w:rFonts w:ascii="Cambria Math" w:eastAsiaTheme="minorEastAsia" w:hAnsi="Cambria Math"/>
          <w:i/>
        </w:rPr>
        <w:t xml:space="preserve">And </w:t>
      </w:r>
      <w:r w:rsidRPr="003A04D7">
        <w:rPr>
          <w:rFonts w:ascii="Cambria Math" w:hAnsi="Cambria Math"/>
          <w:i/>
        </w:rPr>
        <w:br/>
      </w:r>
      <m:oMathPara>
        <m:oMath>
          <m:r>
            <w:rPr>
              <w:rFonts w:ascii="Cambria Math" w:hAnsi="Cambria Math"/>
            </w:rPr>
            <m:t xml:space="preserve">rₜᴸ = </m:t>
          </m:r>
          <m:f>
            <m:fPr>
              <m:ctrlPr>
                <w:rPr>
                  <w:rFonts w:ascii="Cambria Math" w:eastAsiaTheme="minorEastAsia" w:hAnsi="Cambria Math"/>
                  <w:i/>
                </w:rPr>
              </m:ctrlPr>
            </m:fPr>
            <m:num>
              <m:r>
                <w:rPr>
                  <w:rFonts w:ascii="Cambria Math" w:hAnsi="Cambria Math"/>
                </w:rPr>
                <m:t>NIₜᴸ</m:t>
              </m:r>
            </m:num>
            <m:den>
              <m:r>
                <w:rPr>
                  <w:rFonts w:ascii="Cambria Math" w:eastAsiaTheme="minorEastAsia" w:hAnsi="Cambria Math"/>
                </w:rPr>
                <m:t>Lₜ₋₁</m:t>
              </m:r>
            </m:den>
          </m:f>
        </m:oMath>
      </m:oMathPara>
    </w:p>
    <w:p w14:paraId="5AAC7D7A" w14:textId="77777777" w:rsidR="003A04D7" w:rsidRPr="003A04D7" w:rsidRDefault="003A04D7" w:rsidP="003A04D7">
      <w:r w:rsidRPr="003A04D7">
        <w:t>Where:</w:t>
      </w:r>
    </w:p>
    <w:p w14:paraId="265686D1" w14:textId="5DBEDF84" w:rsidR="003A04D7" w:rsidRPr="003A04D7" w:rsidRDefault="003A04D7" w:rsidP="003A04D7">
      <w:pPr>
        <w:pStyle w:val="ListParagraph"/>
        <w:numPr>
          <w:ilvl w:val="0"/>
          <w:numId w:val="10"/>
        </w:numPr>
        <w:rPr>
          <w:rFonts w:ascii="Cambria Math" w:hAnsi="Cambria Math"/>
          <w:oMath/>
        </w:rPr>
      </w:pPr>
      <m:oMath>
        <m:r>
          <w:rPr>
            <w:rFonts w:ascii="Cambria Math" w:hAnsi="Cambria Math"/>
          </w:rPr>
          <m:t>NIₜᴬ</m:t>
        </m:r>
      </m:oMath>
      <w:r>
        <w:rPr>
          <w:rFonts w:eastAsiaTheme="minorEastAsia"/>
        </w:rPr>
        <w:t xml:space="preserve"> : </w:t>
      </w:r>
      <w:r w:rsidRPr="003A04D7">
        <w:rPr>
          <w:rFonts w:ascii="Arial" w:hAnsi="Arial" w:cs="Arial"/>
        </w:rPr>
        <w:t>​</w:t>
      </w:r>
      <w:r w:rsidRPr="003A04D7">
        <w:t xml:space="preserve"> Investment income from foreign assets</w:t>
      </w:r>
    </w:p>
    <w:p w14:paraId="607EBD11" w14:textId="58031D0B" w:rsidR="003A04D7" w:rsidRPr="003A04D7" w:rsidRDefault="003A04D7" w:rsidP="003A04D7">
      <w:pPr>
        <w:numPr>
          <w:ilvl w:val="0"/>
          <w:numId w:val="10"/>
        </w:numPr>
      </w:pPr>
      <m:oMath>
        <m:r>
          <w:rPr>
            <w:rFonts w:ascii="Cambria Math" w:hAnsi="Cambria Math"/>
          </w:rPr>
          <m:t xml:space="preserve">NIₜᴸ </m:t>
        </m:r>
      </m:oMath>
      <w:r w:rsidRPr="003A04D7">
        <w:rPr>
          <w:rFonts w:ascii="Arial" w:hAnsi="Arial" w:cs="Arial"/>
        </w:rPr>
        <w:t>​</w:t>
      </w:r>
      <w:r w:rsidRPr="003A04D7">
        <w:t>: Investment income paid on liabilities</w:t>
      </w:r>
    </w:p>
    <w:p w14:paraId="79281767" w14:textId="7035714B" w:rsidR="003A04D7" w:rsidRPr="003A04D7" w:rsidRDefault="005200BB" w:rsidP="003A04D7">
      <w:pPr>
        <w:numPr>
          <w:ilvl w:val="0"/>
          <w:numId w:val="10"/>
        </w:numPr>
      </w:pPr>
      <m:oMath>
        <m:r>
          <w:rPr>
            <w:rFonts w:ascii="Cambria Math" w:eastAsiaTheme="minorEastAsia" w:hAnsi="Cambria Math"/>
          </w:rPr>
          <m:t>Lₜ₋₁</m:t>
        </m:r>
        <m:r>
          <w:rPr>
            <w:rFonts w:ascii="Cambria Math" w:eastAsiaTheme="minorEastAsia" w:hAnsi="Cambria Math"/>
          </w:rPr>
          <m:t>,</m:t>
        </m:r>
      </m:oMath>
      <w:r w:rsidR="003A04D7" w:rsidRPr="003A04D7">
        <w:rPr>
          <w:rFonts w:ascii="Arial" w:hAnsi="Arial" w:cs="Arial"/>
        </w:rPr>
        <w:t>​</w:t>
      </w:r>
      <w:r>
        <w:rPr>
          <w:rFonts w:ascii="Arial" w:hAnsi="Arial" w:cs="Arial"/>
        </w:rPr>
        <w:t xml:space="preserve"> </w:t>
      </w:r>
      <m:oMath>
        <m:r>
          <w:rPr>
            <w:rFonts w:ascii="Cambria Math" w:hAnsi="Cambria Math"/>
          </w:rPr>
          <m:t>Aₜ₋₁</m:t>
        </m:r>
      </m:oMath>
      <w:r w:rsidR="003A04D7" w:rsidRPr="003A04D7">
        <w:t>: Foreign assets and liabilities at the beginning of the period</w:t>
      </w:r>
    </w:p>
    <w:p w14:paraId="1216CFA5" w14:textId="77777777" w:rsidR="003A04D7" w:rsidRDefault="003A04D7" w:rsidP="003A04D7">
      <w:r w:rsidRPr="003A04D7">
        <w:t xml:space="preserve">The </w:t>
      </w:r>
      <w:r w:rsidRPr="003A04D7">
        <w:rPr>
          <w:b/>
          <w:bCs/>
        </w:rPr>
        <w:t>return differential</w:t>
      </w:r>
      <w:r w:rsidRPr="003A04D7">
        <w:t xml:space="preserve"> is then:</w:t>
      </w:r>
    </w:p>
    <w:p w14:paraId="10289EEC" w14:textId="72268C87" w:rsidR="003A04D7" w:rsidRPr="003A04D7" w:rsidRDefault="005200BB" w:rsidP="005200BB">
      <w:pPr>
        <w:jc w:val="center"/>
      </w:pPr>
      <m:oMathPara>
        <m:oMath>
          <m:r>
            <w:rPr>
              <w:rFonts w:ascii="Cambria Math" w:hAnsi="Cambria Math"/>
            </w:rPr>
            <m:t>rₜᴬ - rₜᴸ</m:t>
          </m:r>
        </m:oMath>
      </m:oMathPara>
    </w:p>
    <w:p w14:paraId="01657D22" w14:textId="77777777" w:rsidR="003A04D7" w:rsidRPr="003A04D7" w:rsidRDefault="003A04D7" w:rsidP="003A04D7">
      <w:r w:rsidRPr="003A04D7">
        <w:t>A positive differential suggests that Switzerland earns more per unit of assets than it pays on liabilities — a potential indicator of “privilege.”</w:t>
      </w:r>
    </w:p>
    <w:p w14:paraId="2D7E3A13" w14:textId="77777777" w:rsidR="003A04D7" w:rsidRPr="003A04D7" w:rsidRDefault="003A04D7" w:rsidP="003A04D7">
      <w:r w:rsidRPr="003A04D7">
        <w:pict w14:anchorId="23B33AEF">
          <v:rect id="_x0000_i1074" style="width:0;height:1.5pt" o:hralign="center" o:hrstd="t" o:hr="t" fillcolor="#a0a0a0" stroked="f"/>
        </w:pict>
      </w:r>
    </w:p>
    <w:p w14:paraId="5E86B1A2" w14:textId="77777777" w:rsidR="003A04D7" w:rsidRPr="003A04D7" w:rsidRDefault="003A04D7" w:rsidP="003A04D7">
      <w:pPr>
        <w:rPr>
          <w:b/>
          <w:bCs/>
        </w:rPr>
      </w:pPr>
      <w:r w:rsidRPr="003A04D7">
        <w:rPr>
          <w:b/>
          <w:bCs/>
        </w:rPr>
        <w:t>3. Decomposing Valuation Effects</w:t>
      </w:r>
    </w:p>
    <w:p w14:paraId="70598B2C" w14:textId="77777777" w:rsidR="003A04D7" w:rsidRPr="003A04D7" w:rsidRDefault="003A04D7" w:rsidP="003A04D7">
      <w:r w:rsidRPr="003A04D7">
        <w:t>Valuation effects are a crucial channel in explaining changes in NFA beyond the current account. These include:</w:t>
      </w:r>
    </w:p>
    <w:p w14:paraId="363D0E1F" w14:textId="77777777" w:rsidR="003A04D7" w:rsidRPr="003A04D7" w:rsidRDefault="003A04D7" w:rsidP="003A04D7">
      <w:pPr>
        <w:numPr>
          <w:ilvl w:val="0"/>
          <w:numId w:val="11"/>
        </w:numPr>
      </w:pPr>
      <w:r w:rsidRPr="003A04D7">
        <w:rPr>
          <w:b/>
          <w:bCs/>
        </w:rPr>
        <w:t>Exchange rate effects:</w:t>
      </w:r>
      <w:r w:rsidRPr="003A04D7">
        <w:t xml:space="preserve"> Due to currency mismatches on balance sheets</w:t>
      </w:r>
    </w:p>
    <w:p w14:paraId="5F538DE8" w14:textId="77777777" w:rsidR="003A04D7" w:rsidRPr="003A04D7" w:rsidRDefault="003A04D7" w:rsidP="003A04D7">
      <w:pPr>
        <w:numPr>
          <w:ilvl w:val="0"/>
          <w:numId w:val="11"/>
        </w:numPr>
      </w:pPr>
      <w:r w:rsidRPr="003A04D7">
        <w:rPr>
          <w:b/>
          <w:bCs/>
        </w:rPr>
        <w:t>Price effects:</w:t>
      </w:r>
      <w:r w:rsidRPr="003A04D7">
        <w:t xml:space="preserve"> Driven by changes in the value of asset classes (e.g., equities, bonds)</w:t>
      </w:r>
    </w:p>
    <w:p w14:paraId="2377E489" w14:textId="77777777" w:rsidR="003A04D7" w:rsidRDefault="003A04D7" w:rsidP="003A04D7">
      <w:r w:rsidRPr="003A04D7">
        <w:t>If direct data are unavailable, valuation effects can be estimated residually:</w:t>
      </w:r>
    </w:p>
    <w:p w14:paraId="2318CC14" w14:textId="77777777" w:rsidR="005200BB" w:rsidRDefault="005200BB" w:rsidP="003A04D7">
      <m:oMathPara>
        <m:oMath>
          <m:r>
            <w:rPr>
              <w:rFonts w:ascii="Cambria Math" w:hAnsi="Cambria Math"/>
            </w:rPr>
            <m:t>VEₜ = ΔNFAₜ - CAₜ</m:t>
          </m:r>
        </m:oMath>
      </m:oMathPara>
    </w:p>
    <w:p w14:paraId="49871AC9" w14:textId="0C909E62" w:rsidR="003A04D7" w:rsidRPr="003A04D7" w:rsidRDefault="003A04D7" w:rsidP="003A04D7">
      <w:r w:rsidRPr="003A04D7">
        <w:t xml:space="preserve"> </w:t>
      </w:r>
    </w:p>
    <w:p w14:paraId="5F1B61A4" w14:textId="77777777" w:rsidR="003A04D7" w:rsidRDefault="003A04D7" w:rsidP="003A04D7">
      <w:r w:rsidRPr="003A04D7">
        <w:t>When possible, we break this down further:</w:t>
      </w:r>
    </w:p>
    <w:p w14:paraId="56192AC9" w14:textId="2AC37B02" w:rsidR="005200BB" w:rsidRPr="003A04D7" w:rsidRDefault="005200BB" w:rsidP="003A04D7">
      <m:oMathPara>
        <m:oMath>
          <m:r>
            <w:rPr>
              <w:rFonts w:ascii="Cambria Math" w:hAnsi="Cambria Math"/>
            </w:rPr>
            <m:t>VEₜ = (Aₜ - Aₜ₋₁ - FAₜ) - (Lₜ - Lₜ₋₁ - FLₜ)</m:t>
          </m:r>
        </m:oMath>
      </m:oMathPara>
    </w:p>
    <w:p w14:paraId="4A8EFF0E" w14:textId="77777777" w:rsidR="003A04D7" w:rsidRPr="003A04D7" w:rsidRDefault="003A04D7" w:rsidP="003A04D7">
      <w:r w:rsidRPr="003A04D7">
        <w:t>Where:</w:t>
      </w:r>
    </w:p>
    <w:p w14:paraId="6ADBA8F4" w14:textId="466D1C74" w:rsidR="003A04D7" w:rsidRPr="003A04D7" w:rsidRDefault="00FC2FB4" w:rsidP="003A04D7">
      <w:pPr>
        <w:numPr>
          <w:ilvl w:val="0"/>
          <w:numId w:val="12"/>
        </w:numPr>
      </w:pPr>
      <m:oMath>
        <m:r>
          <w:rPr>
            <w:rFonts w:ascii="Cambria Math" w:hAnsi="Cambria Math"/>
          </w:rPr>
          <m:t>FAₜ</m:t>
        </m:r>
      </m:oMath>
      <w:r>
        <w:rPr>
          <w:rFonts w:eastAsiaTheme="minorEastAsia"/>
        </w:rPr>
        <w:t xml:space="preserve">: </w:t>
      </w:r>
      <w:r w:rsidR="003A04D7" w:rsidRPr="003A04D7">
        <w:t xml:space="preserve">Financial </w:t>
      </w:r>
      <w:proofErr w:type="gramStart"/>
      <w:r w:rsidR="003A04D7" w:rsidRPr="003A04D7">
        <w:t>account</w:t>
      </w:r>
      <w:proofErr w:type="gramEnd"/>
      <w:r w:rsidR="003A04D7" w:rsidRPr="003A04D7">
        <w:t xml:space="preserve"> flows for assets</w:t>
      </w:r>
    </w:p>
    <w:p w14:paraId="07ED95ED" w14:textId="5AE42BD2" w:rsidR="003A04D7" w:rsidRPr="003A04D7" w:rsidRDefault="00FC2FB4" w:rsidP="003A04D7">
      <w:pPr>
        <w:numPr>
          <w:ilvl w:val="0"/>
          <w:numId w:val="12"/>
        </w:numPr>
      </w:pPr>
      <m:oMath>
        <m:r>
          <w:rPr>
            <w:rFonts w:ascii="Cambria Math" w:hAnsi="Cambria Math"/>
          </w:rPr>
          <w:lastRenderedPageBreak/>
          <m:t>F</m:t>
        </m:r>
        <m:r>
          <w:rPr>
            <w:rFonts w:ascii="Cambria Math" w:hAnsi="Cambria Math"/>
          </w:rPr>
          <m:t>L</m:t>
        </m:r>
        <m:r>
          <w:rPr>
            <w:rFonts w:ascii="Cambria Math" w:hAnsi="Cambria Math"/>
          </w:rPr>
          <m:t>ₜ</m:t>
        </m:r>
      </m:oMath>
      <w:r w:rsidR="003A04D7" w:rsidRPr="003A04D7">
        <w:t>: Financial account flows for liabilities</w:t>
      </w:r>
    </w:p>
    <w:p w14:paraId="409D4D2F" w14:textId="77777777" w:rsidR="003A04D7" w:rsidRPr="003A04D7" w:rsidRDefault="003A04D7" w:rsidP="003A04D7">
      <w:r w:rsidRPr="003A04D7">
        <w:t>This more detailed decomposition helps isolate how valuation changes — not just flows — shape Switzerland’s external position. As in Part 1, this section will build on your second draft and incorporate or improve the relevant figures.</w:t>
      </w:r>
    </w:p>
    <w:p w14:paraId="6DA6E4BB" w14:textId="77777777" w:rsidR="003A04D7" w:rsidRPr="003A04D7" w:rsidRDefault="003A04D7" w:rsidP="003A04D7">
      <w:r w:rsidRPr="003A04D7">
        <w:pict w14:anchorId="2DE898C6">
          <v:rect id="_x0000_i1075" style="width:0;height:1.5pt" o:hralign="center" o:hrstd="t" o:hr="t" fillcolor="#a0a0a0" stroked="f"/>
        </w:pict>
      </w:r>
    </w:p>
    <w:p w14:paraId="36A1BFE9" w14:textId="77777777" w:rsidR="003A04D7" w:rsidRPr="003A04D7" w:rsidRDefault="003A04D7" w:rsidP="003A04D7">
      <w:pPr>
        <w:rPr>
          <w:b/>
          <w:bCs/>
        </w:rPr>
      </w:pPr>
      <w:r w:rsidRPr="003A04D7">
        <w:rPr>
          <w:b/>
          <w:bCs/>
        </w:rPr>
        <w:t>4. Key Time Periods</w:t>
      </w:r>
    </w:p>
    <w:p w14:paraId="764C2FB9" w14:textId="77777777" w:rsidR="003A04D7" w:rsidRPr="003A04D7" w:rsidRDefault="003A04D7" w:rsidP="003A04D7">
      <w:r w:rsidRPr="003A04D7">
        <w:t>To understand how Switzerland’s external position responded to global shocks, we analyze specific sub-periods:</w:t>
      </w:r>
    </w:p>
    <w:p w14:paraId="63CFC37E" w14:textId="77777777" w:rsidR="003A04D7" w:rsidRPr="003A04D7" w:rsidRDefault="003A04D7" w:rsidP="003A04D7">
      <w:pPr>
        <w:numPr>
          <w:ilvl w:val="0"/>
          <w:numId w:val="13"/>
        </w:numPr>
      </w:pPr>
      <w:r w:rsidRPr="003A04D7">
        <w:rPr>
          <w:b/>
          <w:bCs/>
        </w:rPr>
        <w:t>2007–2009:</w:t>
      </w:r>
      <w:r w:rsidRPr="003A04D7">
        <w:t xml:space="preserve"> Global financial crisis</w:t>
      </w:r>
    </w:p>
    <w:p w14:paraId="348B9935" w14:textId="77777777" w:rsidR="003A04D7" w:rsidRPr="003A04D7" w:rsidRDefault="003A04D7" w:rsidP="003A04D7">
      <w:pPr>
        <w:numPr>
          <w:ilvl w:val="0"/>
          <w:numId w:val="13"/>
        </w:numPr>
      </w:pPr>
      <w:r w:rsidRPr="003A04D7">
        <w:rPr>
          <w:b/>
          <w:bCs/>
        </w:rPr>
        <w:t>2010–2012:</w:t>
      </w:r>
      <w:r w:rsidRPr="003A04D7">
        <w:t xml:space="preserve"> Eurozone crisis</w:t>
      </w:r>
    </w:p>
    <w:p w14:paraId="6A815753" w14:textId="77777777" w:rsidR="003A04D7" w:rsidRPr="003A04D7" w:rsidRDefault="003A04D7" w:rsidP="003A04D7">
      <w:pPr>
        <w:numPr>
          <w:ilvl w:val="0"/>
          <w:numId w:val="13"/>
        </w:numPr>
      </w:pPr>
      <w:r w:rsidRPr="003A04D7">
        <w:rPr>
          <w:b/>
          <w:bCs/>
        </w:rPr>
        <w:t>2020–2022:</w:t>
      </w:r>
      <w:r w:rsidRPr="003A04D7">
        <w:t xml:space="preserve"> COVID-19 pandemic</w:t>
      </w:r>
    </w:p>
    <w:p w14:paraId="7EFFF985" w14:textId="77777777" w:rsidR="003A04D7" w:rsidRPr="003A04D7" w:rsidRDefault="003A04D7" w:rsidP="003A04D7">
      <w:pPr>
        <w:numPr>
          <w:ilvl w:val="0"/>
          <w:numId w:val="13"/>
        </w:numPr>
      </w:pPr>
      <w:r w:rsidRPr="003A04D7">
        <w:rPr>
          <w:b/>
          <w:bCs/>
        </w:rPr>
        <w:t>Post-2022:</w:t>
      </w:r>
      <w:r w:rsidRPr="003A04D7">
        <w:t xml:space="preserve"> Period of rising global interest rates and asset revaluations</w:t>
      </w:r>
    </w:p>
    <w:p w14:paraId="3D145283" w14:textId="77777777" w:rsidR="003A04D7" w:rsidRPr="003A04D7" w:rsidRDefault="003A04D7" w:rsidP="003A04D7">
      <w:r w:rsidRPr="003A04D7">
        <w:t xml:space="preserve">These episodes provide useful lenses for assessing whether the “exorbitant privilege” (or duty) is persistent, cyclical, or </w:t>
      </w:r>
      <w:proofErr w:type="gramStart"/>
      <w:r w:rsidRPr="003A04D7">
        <w:t>crisis-dependent</w:t>
      </w:r>
      <w:proofErr w:type="gramEnd"/>
      <w:r w:rsidRPr="003A04D7">
        <w:t>.</w:t>
      </w:r>
    </w:p>
    <w:p w14:paraId="4FAE3458" w14:textId="77777777" w:rsidR="003A04D7" w:rsidRPr="003A04D7" w:rsidRDefault="003A04D7" w:rsidP="003A04D7">
      <w:r w:rsidRPr="003A04D7">
        <w:pict w14:anchorId="4F39B560">
          <v:rect id="_x0000_i1076" style="width:0;height:1.5pt" o:hralign="center" o:hrstd="t" o:hr="t" fillcolor="#a0a0a0" stroked="f"/>
        </w:pict>
      </w:r>
    </w:p>
    <w:p w14:paraId="691AFC1E" w14:textId="77777777" w:rsidR="003A04D7" w:rsidRPr="003A04D7" w:rsidRDefault="003A04D7" w:rsidP="003A04D7">
      <w:pPr>
        <w:rPr>
          <w:b/>
          <w:bCs/>
        </w:rPr>
      </w:pPr>
      <w:r w:rsidRPr="003A04D7">
        <w:rPr>
          <w:b/>
          <w:bCs/>
        </w:rPr>
        <w:t>Conclusion</w:t>
      </w:r>
    </w:p>
    <w:p w14:paraId="4B46F72B" w14:textId="77777777" w:rsidR="003A04D7" w:rsidRPr="003A04D7" w:rsidRDefault="003A04D7" w:rsidP="003A04D7">
      <w:r w:rsidRPr="003A04D7">
        <w:t>The final step is to assess whether Switzerland truly enjoys an “exorbitant privilege” — or whether, unlike the U.S., it may face the opposite: a systematic loss on its external position, driven by valuation losses or unfavorable return differentials. This analysis should feed directly into the broader question posed by your supervisor and clarify how Switzerland’s unique asset structure shapes its role in the global financial system.</w:t>
      </w:r>
    </w:p>
    <w:p w14:paraId="22678FA7" w14:textId="44DEDA32" w:rsidR="00F075D8" w:rsidRPr="00F075D8" w:rsidRDefault="00F075D8" w:rsidP="00F075D8"/>
    <w:p w14:paraId="31981DAA" w14:textId="70AE897F" w:rsidR="009120A9" w:rsidRPr="00F075D8" w:rsidRDefault="009120A9"/>
    <w:sectPr w:rsidR="009120A9" w:rsidRPr="00F075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ar Bold" w:date="2025-05-07T18:36:00Z" w:initials="AB">
    <w:p w14:paraId="767856EC" w14:textId="77777777" w:rsidR="00FC2FB4" w:rsidRDefault="00FC2FB4" w:rsidP="00FC2FB4">
      <w:pPr>
        <w:pStyle w:val="CommentText"/>
      </w:pPr>
      <w:r>
        <w:rPr>
          <w:rStyle w:val="CommentReference"/>
        </w:rPr>
        <w:annotationRef/>
      </w:r>
      <w:r>
        <w:t xml:space="preserve">For this part, we will either reproduce the analyses from your drafts or improve them as needed. We will also address your supervisor’s questions and connect the results to our main research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785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4945C4" w16cex:dateUtc="2025-05-07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7856EC" w16cid:durableId="314945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56B"/>
    <w:multiLevelType w:val="multilevel"/>
    <w:tmpl w:val="D7CC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4B8C"/>
    <w:multiLevelType w:val="multilevel"/>
    <w:tmpl w:val="F33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56466"/>
    <w:multiLevelType w:val="multilevel"/>
    <w:tmpl w:val="F26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73FF0"/>
    <w:multiLevelType w:val="multilevel"/>
    <w:tmpl w:val="554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027F2"/>
    <w:multiLevelType w:val="multilevel"/>
    <w:tmpl w:val="5E9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A2369"/>
    <w:multiLevelType w:val="multilevel"/>
    <w:tmpl w:val="4930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103B0"/>
    <w:multiLevelType w:val="multilevel"/>
    <w:tmpl w:val="2FCA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253D"/>
    <w:multiLevelType w:val="multilevel"/>
    <w:tmpl w:val="A01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C62C1"/>
    <w:multiLevelType w:val="multilevel"/>
    <w:tmpl w:val="7FC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D30C7"/>
    <w:multiLevelType w:val="multilevel"/>
    <w:tmpl w:val="01FE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51B13"/>
    <w:multiLevelType w:val="multilevel"/>
    <w:tmpl w:val="B61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F4BF7"/>
    <w:multiLevelType w:val="multilevel"/>
    <w:tmpl w:val="EF0C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D27D2"/>
    <w:multiLevelType w:val="multilevel"/>
    <w:tmpl w:val="BBD8C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088234">
    <w:abstractNumId w:val="11"/>
  </w:num>
  <w:num w:numId="2" w16cid:durableId="2036154440">
    <w:abstractNumId w:val="4"/>
  </w:num>
  <w:num w:numId="3" w16cid:durableId="245960020">
    <w:abstractNumId w:val="7"/>
  </w:num>
  <w:num w:numId="4" w16cid:durableId="2009169674">
    <w:abstractNumId w:val="3"/>
  </w:num>
  <w:num w:numId="5" w16cid:durableId="363099961">
    <w:abstractNumId w:val="12"/>
  </w:num>
  <w:num w:numId="6" w16cid:durableId="919943067">
    <w:abstractNumId w:val="9"/>
  </w:num>
  <w:num w:numId="7" w16cid:durableId="1664969930">
    <w:abstractNumId w:val="0"/>
  </w:num>
  <w:num w:numId="8" w16cid:durableId="2141653271">
    <w:abstractNumId w:val="6"/>
  </w:num>
  <w:num w:numId="9" w16cid:durableId="198706659">
    <w:abstractNumId w:val="8"/>
  </w:num>
  <w:num w:numId="10" w16cid:durableId="248005633">
    <w:abstractNumId w:val="1"/>
  </w:num>
  <w:num w:numId="11" w16cid:durableId="1958246810">
    <w:abstractNumId w:val="2"/>
  </w:num>
  <w:num w:numId="12" w16cid:durableId="654533545">
    <w:abstractNumId w:val="10"/>
  </w:num>
  <w:num w:numId="13" w16cid:durableId="210668506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r Bold">
    <w15:presenceInfo w15:providerId="Windows Live" w15:userId="4c93e5ed634b1d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A9"/>
    <w:rsid w:val="003A04D7"/>
    <w:rsid w:val="005200BB"/>
    <w:rsid w:val="009120A9"/>
    <w:rsid w:val="00B82A6C"/>
    <w:rsid w:val="00DA43C1"/>
    <w:rsid w:val="00F075D8"/>
    <w:rsid w:val="00FC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A6C5"/>
  <w15:chartTrackingRefBased/>
  <w15:docId w15:val="{379AF784-F566-40BF-A6EC-A88763BE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5D8"/>
  </w:style>
  <w:style w:type="paragraph" w:styleId="Heading1">
    <w:name w:val="heading 1"/>
    <w:basedOn w:val="Normal"/>
    <w:next w:val="Normal"/>
    <w:link w:val="Heading1Char"/>
    <w:uiPriority w:val="9"/>
    <w:qFormat/>
    <w:rsid w:val="00912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0A9"/>
    <w:rPr>
      <w:rFonts w:eastAsiaTheme="majorEastAsia" w:cstheme="majorBidi"/>
      <w:color w:val="272727" w:themeColor="text1" w:themeTint="D8"/>
    </w:rPr>
  </w:style>
  <w:style w:type="paragraph" w:styleId="Title">
    <w:name w:val="Title"/>
    <w:basedOn w:val="Normal"/>
    <w:next w:val="Normal"/>
    <w:link w:val="TitleChar"/>
    <w:uiPriority w:val="10"/>
    <w:qFormat/>
    <w:rsid w:val="00912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0A9"/>
    <w:pPr>
      <w:spacing w:before="160"/>
      <w:jc w:val="center"/>
    </w:pPr>
    <w:rPr>
      <w:i/>
      <w:iCs/>
      <w:color w:val="404040" w:themeColor="text1" w:themeTint="BF"/>
    </w:rPr>
  </w:style>
  <w:style w:type="character" w:customStyle="1" w:styleId="QuoteChar">
    <w:name w:val="Quote Char"/>
    <w:basedOn w:val="DefaultParagraphFont"/>
    <w:link w:val="Quote"/>
    <w:uiPriority w:val="29"/>
    <w:rsid w:val="009120A9"/>
    <w:rPr>
      <w:i/>
      <w:iCs/>
      <w:color w:val="404040" w:themeColor="text1" w:themeTint="BF"/>
    </w:rPr>
  </w:style>
  <w:style w:type="paragraph" w:styleId="ListParagraph">
    <w:name w:val="List Paragraph"/>
    <w:basedOn w:val="Normal"/>
    <w:uiPriority w:val="34"/>
    <w:qFormat/>
    <w:rsid w:val="009120A9"/>
    <w:pPr>
      <w:ind w:left="720"/>
      <w:contextualSpacing/>
    </w:pPr>
  </w:style>
  <w:style w:type="character" w:styleId="IntenseEmphasis">
    <w:name w:val="Intense Emphasis"/>
    <w:basedOn w:val="DefaultParagraphFont"/>
    <w:uiPriority w:val="21"/>
    <w:qFormat/>
    <w:rsid w:val="009120A9"/>
    <w:rPr>
      <w:i/>
      <w:iCs/>
      <w:color w:val="0F4761" w:themeColor="accent1" w:themeShade="BF"/>
    </w:rPr>
  </w:style>
  <w:style w:type="paragraph" w:styleId="IntenseQuote">
    <w:name w:val="Intense Quote"/>
    <w:basedOn w:val="Normal"/>
    <w:next w:val="Normal"/>
    <w:link w:val="IntenseQuoteChar"/>
    <w:uiPriority w:val="30"/>
    <w:qFormat/>
    <w:rsid w:val="00912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0A9"/>
    <w:rPr>
      <w:i/>
      <w:iCs/>
      <w:color w:val="0F4761" w:themeColor="accent1" w:themeShade="BF"/>
    </w:rPr>
  </w:style>
  <w:style w:type="character" w:styleId="IntenseReference">
    <w:name w:val="Intense Reference"/>
    <w:basedOn w:val="DefaultParagraphFont"/>
    <w:uiPriority w:val="32"/>
    <w:qFormat/>
    <w:rsid w:val="009120A9"/>
    <w:rPr>
      <w:b/>
      <w:bCs/>
      <w:smallCaps/>
      <w:color w:val="0F4761" w:themeColor="accent1" w:themeShade="BF"/>
      <w:spacing w:val="5"/>
    </w:rPr>
  </w:style>
  <w:style w:type="character" w:styleId="PlaceholderText">
    <w:name w:val="Placeholder Text"/>
    <w:basedOn w:val="DefaultParagraphFont"/>
    <w:uiPriority w:val="99"/>
    <w:semiHidden/>
    <w:rsid w:val="005200BB"/>
    <w:rPr>
      <w:color w:val="666666"/>
    </w:rPr>
  </w:style>
  <w:style w:type="character" w:styleId="CommentReference">
    <w:name w:val="annotation reference"/>
    <w:basedOn w:val="DefaultParagraphFont"/>
    <w:uiPriority w:val="99"/>
    <w:semiHidden/>
    <w:unhideWhenUsed/>
    <w:rsid w:val="00FC2FB4"/>
    <w:rPr>
      <w:sz w:val="16"/>
      <w:szCs w:val="16"/>
    </w:rPr>
  </w:style>
  <w:style w:type="paragraph" w:styleId="CommentText">
    <w:name w:val="annotation text"/>
    <w:basedOn w:val="Normal"/>
    <w:link w:val="CommentTextChar"/>
    <w:uiPriority w:val="99"/>
    <w:unhideWhenUsed/>
    <w:rsid w:val="00FC2FB4"/>
    <w:pPr>
      <w:spacing w:line="240" w:lineRule="auto"/>
    </w:pPr>
    <w:rPr>
      <w:sz w:val="20"/>
      <w:szCs w:val="20"/>
    </w:rPr>
  </w:style>
  <w:style w:type="character" w:customStyle="1" w:styleId="CommentTextChar">
    <w:name w:val="Comment Text Char"/>
    <w:basedOn w:val="DefaultParagraphFont"/>
    <w:link w:val="CommentText"/>
    <w:uiPriority w:val="99"/>
    <w:rsid w:val="00FC2FB4"/>
    <w:rPr>
      <w:sz w:val="20"/>
      <w:szCs w:val="20"/>
    </w:rPr>
  </w:style>
  <w:style w:type="paragraph" w:styleId="CommentSubject">
    <w:name w:val="annotation subject"/>
    <w:basedOn w:val="CommentText"/>
    <w:next w:val="CommentText"/>
    <w:link w:val="CommentSubjectChar"/>
    <w:uiPriority w:val="99"/>
    <w:semiHidden/>
    <w:unhideWhenUsed/>
    <w:rsid w:val="00FC2FB4"/>
    <w:rPr>
      <w:b/>
      <w:bCs/>
    </w:rPr>
  </w:style>
  <w:style w:type="character" w:customStyle="1" w:styleId="CommentSubjectChar">
    <w:name w:val="Comment Subject Char"/>
    <w:basedOn w:val="CommentTextChar"/>
    <w:link w:val="CommentSubject"/>
    <w:uiPriority w:val="99"/>
    <w:semiHidden/>
    <w:rsid w:val="00FC2F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2793">
      <w:bodyDiv w:val="1"/>
      <w:marLeft w:val="0"/>
      <w:marRight w:val="0"/>
      <w:marTop w:val="0"/>
      <w:marBottom w:val="0"/>
      <w:divBdr>
        <w:top w:val="none" w:sz="0" w:space="0" w:color="auto"/>
        <w:left w:val="none" w:sz="0" w:space="0" w:color="auto"/>
        <w:bottom w:val="none" w:sz="0" w:space="0" w:color="auto"/>
        <w:right w:val="none" w:sz="0" w:space="0" w:color="auto"/>
      </w:divBdr>
    </w:div>
    <w:div w:id="193426866">
      <w:bodyDiv w:val="1"/>
      <w:marLeft w:val="0"/>
      <w:marRight w:val="0"/>
      <w:marTop w:val="0"/>
      <w:marBottom w:val="0"/>
      <w:divBdr>
        <w:top w:val="none" w:sz="0" w:space="0" w:color="auto"/>
        <w:left w:val="none" w:sz="0" w:space="0" w:color="auto"/>
        <w:bottom w:val="none" w:sz="0" w:space="0" w:color="auto"/>
        <w:right w:val="none" w:sz="0" w:space="0" w:color="auto"/>
      </w:divBdr>
    </w:div>
    <w:div w:id="203493804">
      <w:bodyDiv w:val="1"/>
      <w:marLeft w:val="0"/>
      <w:marRight w:val="0"/>
      <w:marTop w:val="0"/>
      <w:marBottom w:val="0"/>
      <w:divBdr>
        <w:top w:val="none" w:sz="0" w:space="0" w:color="auto"/>
        <w:left w:val="none" w:sz="0" w:space="0" w:color="auto"/>
        <w:bottom w:val="none" w:sz="0" w:space="0" w:color="auto"/>
        <w:right w:val="none" w:sz="0" w:space="0" w:color="auto"/>
      </w:divBdr>
    </w:div>
    <w:div w:id="16958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Bold</dc:creator>
  <cp:keywords/>
  <dc:description/>
  <cp:lastModifiedBy>Anar Bold</cp:lastModifiedBy>
  <cp:revision>2</cp:revision>
  <dcterms:created xsi:type="dcterms:W3CDTF">2025-05-07T15:45:00Z</dcterms:created>
  <dcterms:modified xsi:type="dcterms:W3CDTF">2025-05-07T16:38:00Z</dcterms:modified>
</cp:coreProperties>
</file>