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CC381" w14:textId="7168E8BF" w:rsidR="0098391A" w:rsidRDefault="0098391A" w:rsidP="001A3869">
      <w:r w:rsidRPr="0098391A">
        <w:t>“This project investigates whether Switzerland has gained an ‘exorbitant privilege’ in the post-2008 period, by examining the evolution of its net foreign asset position and the returns on its foreign assets relative to the returns earned by foreigners on Swiss assets. Using data from the Swiss National Bank and the Lane-Milesi-Ferretti dataset, I empirically decompose the drivers of Switzerland’s NFA dynamics and assess whether valuation effects or income asymmetries play a significant role, in light of recent findings that the U.S. may have lost its privilege.”</w:t>
      </w:r>
    </w:p>
    <w:p w14:paraId="5A71A780" w14:textId="77777777" w:rsidR="0098391A" w:rsidRDefault="0098391A" w:rsidP="001A3869"/>
    <w:p w14:paraId="3AECC85B" w14:textId="77777777" w:rsidR="0098391A" w:rsidRDefault="0098391A" w:rsidP="001A3869"/>
    <w:p w14:paraId="5D9D9A6C" w14:textId="5533AFD1" w:rsidR="001A3869" w:rsidRPr="001A3869" w:rsidRDefault="001A3869" w:rsidP="001A3869">
      <w:r w:rsidRPr="001A3869">
        <w:t xml:space="preserve">Great! Here's how you can </w:t>
      </w:r>
      <w:r w:rsidRPr="001A3869">
        <w:rPr>
          <w:b/>
          <w:bCs/>
        </w:rPr>
        <w:t>structure your empirical strategy</w:t>
      </w:r>
      <w:r w:rsidRPr="001A3869">
        <w:t xml:space="preserve"> to analyze Switzerland’s net foreign asset position and investigate whether it benefits from an “exorbitant privilege.” The approach mirrors the logic in </w:t>
      </w:r>
      <w:r w:rsidRPr="001A3869">
        <w:rPr>
          <w:b/>
          <w:bCs/>
        </w:rPr>
        <w:t>Atkeson et al. (2022)</w:t>
      </w:r>
      <w:r w:rsidRPr="001A3869">
        <w:t xml:space="preserve"> and </w:t>
      </w:r>
      <w:r w:rsidRPr="001A3869">
        <w:rPr>
          <w:b/>
          <w:bCs/>
        </w:rPr>
        <w:t>Gourinchas &amp; Rey (2007)</w:t>
      </w:r>
      <w:r w:rsidRPr="001A3869">
        <w:t>, adapted to Switzerland.</w:t>
      </w:r>
    </w:p>
    <w:p w14:paraId="023A15C1" w14:textId="77777777" w:rsidR="001A3869" w:rsidRPr="001A3869" w:rsidRDefault="00000000" w:rsidP="001A3869">
      <w:r>
        <w:pict w14:anchorId="0C43DE71">
          <v:rect id="_x0000_i1025" style="width:0;height:1.5pt" o:hralign="center" o:hrstd="t" o:hr="t" fillcolor="#a0a0a0" stroked="f"/>
        </w:pict>
      </w:r>
    </w:p>
    <w:p w14:paraId="09612B8A" w14:textId="77777777" w:rsidR="001A3869" w:rsidRPr="001A3869" w:rsidRDefault="001A3869" w:rsidP="001A3869">
      <w:pPr>
        <w:rPr>
          <w:b/>
          <w:bCs/>
        </w:rPr>
      </w:pPr>
      <w:r w:rsidRPr="001A3869">
        <w:rPr>
          <w:rFonts w:ascii="Segoe UI Emoji" w:hAnsi="Segoe UI Emoji" w:cs="Segoe UI Emoji"/>
          <w:b/>
          <w:bCs/>
        </w:rPr>
        <w:t>📊</w:t>
      </w:r>
      <w:r w:rsidRPr="001A3869">
        <w:rPr>
          <w:b/>
          <w:bCs/>
        </w:rPr>
        <w:t xml:space="preserve"> 1. Decomposition of the Change in NFA</w:t>
      </w:r>
    </w:p>
    <w:p w14:paraId="6FCFF6DE" w14:textId="77777777" w:rsidR="001A3869" w:rsidRPr="001A3869" w:rsidRDefault="001A3869" w:rsidP="001A3869">
      <w:r w:rsidRPr="001A3869">
        <w:t xml:space="preserve">At the core of the empirical strategy is the decomposition of the change in the </w:t>
      </w:r>
      <w:r w:rsidRPr="001A3869">
        <w:rPr>
          <w:b/>
          <w:bCs/>
        </w:rPr>
        <w:t>net foreign asset (NFA)</w:t>
      </w:r>
      <w:r w:rsidRPr="001A3869">
        <w:t xml:space="preserve"> position into two components:</w:t>
      </w:r>
    </w:p>
    <w:p w14:paraId="183E9A27" w14:textId="77777777" w:rsidR="001A3869" w:rsidRPr="001A3869" w:rsidRDefault="001A3869" w:rsidP="001A3869">
      <w:proofErr w:type="spellStart"/>
      <w:r w:rsidRPr="001A3869">
        <w:t>ΔNFAt</w:t>
      </w:r>
      <w:proofErr w:type="spellEnd"/>
      <w:r w:rsidRPr="001A3869">
        <w:t>=</w:t>
      </w:r>
      <w:proofErr w:type="spellStart"/>
      <w:r w:rsidRPr="001A3869">
        <w:t>CAt+VEt</w:t>
      </w:r>
      <w:proofErr w:type="spellEnd"/>
      <w:r w:rsidRPr="001A3869">
        <w:t xml:space="preserve">\Delta </w:t>
      </w:r>
      <w:proofErr w:type="spellStart"/>
      <w:r w:rsidRPr="001A3869">
        <w:t>NFA_t</w:t>
      </w:r>
      <w:proofErr w:type="spellEnd"/>
      <w:r w:rsidRPr="001A3869">
        <w:t xml:space="preserve"> = </w:t>
      </w:r>
      <w:proofErr w:type="spellStart"/>
      <w:r w:rsidRPr="001A3869">
        <w:t>CA_t</w:t>
      </w:r>
      <w:proofErr w:type="spellEnd"/>
      <w:r w:rsidRPr="001A3869">
        <w:t xml:space="preserve"> + </w:t>
      </w:r>
      <w:proofErr w:type="spellStart"/>
      <w:r w:rsidRPr="001A3869">
        <w:t>VE_tΔNFAt</w:t>
      </w:r>
      <w:proofErr w:type="spellEnd"/>
      <w:r w:rsidRPr="001A3869">
        <w:rPr>
          <w:rFonts w:ascii="Arial" w:hAnsi="Arial" w:cs="Arial"/>
        </w:rPr>
        <w:t>​</w:t>
      </w:r>
      <w:r w:rsidRPr="001A3869">
        <w:t>=</w:t>
      </w:r>
      <w:proofErr w:type="spellStart"/>
      <w:r w:rsidRPr="001A3869">
        <w:t>CAt</w:t>
      </w:r>
      <w:proofErr w:type="spellEnd"/>
      <w:r w:rsidRPr="001A3869">
        <w:rPr>
          <w:rFonts w:ascii="Arial" w:hAnsi="Arial" w:cs="Arial"/>
        </w:rPr>
        <w:t>​</w:t>
      </w:r>
      <w:r w:rsidRPr="001A3869">
        <w:t>+</w:t>
      </w:r>
      <w:proofErr w:type="spellStart"/>
      <w:r w:rsidRPr="001A3869">
        <w:t>VEt</w:t>
      </w:r>
      <w:proofErr w:type="spellEnd"/>
      <w:r w:rsidRPr="001A3869">
        <w:rPr>
          <w:rFonts w:ascii="Arial" w:hAnsi="Arial" w:cs="Arial"/>
        </w:rPr>
        <w:t>​</w:t>
      </w:r>
      <w:r w:rsidRPr="001A3869">
        <w:t xml:space="preserve"> </w:t>
      </w:r>
    </w:p>
    <w:p w14:paraId="34AC89EF" w14:textId="77777777" w:rsidR="001A3869" w:rsidRPr="001A3869" w:rsidRDefault="001A3869" w:rsidP="001A3869">
      <w:r w:rsidRPr="001A3869">
        <w:t>Where:</w:t>
      </w:r>
    </w:p>
    <w:p w14:paraId="5A345F67" w14:textId="77777777" w:rsidR="001A3869" w:rsidRPr="001A3869" w:rsidRDefault="001A3869" w:rsidP="001A3869">
      <w:pPr>
        <w:numPr>
          <w:ilvl w:val="0"/>
          <w:numId w:val="3"/>
        </w:numPr>
      </w:pPr>
      <w:proofErr w:type="spellStart"/>
      <w:r w:rsidRPr="001A3869">
        <w:t>ΔNFAt</w:t>
      </w:r>
      <w:proofErr w:type="spellEnd"/>
      <w:r w:rsidRPr="001A3869">
        <w:t xml:space="preserve">\Delta </w:t>
      </w:r>
      <w:proofErr w:type="spellStart"/>
      <w:r w:rsidRPr="001A3869">
        <w:t>NFA_tΔNFAt</w:t>
      </w:r>
      <w:proofErr w:type="spellEnd"/>
      <w:r w:rsidRPr="001A3869">
        <w:rPr>
          <w:rFonts w:ascii="Arial" w:hAnsi="Arial" w:cs="Arial"/>
        </w:rPr>
        <w:t>​</w:t>
      </w:r>
      <w:r w:rsidRPr="001A3869">
        <w:t xml:space="preserve">: Change in Switzerland’s NFA position in year </w:t>
      </w:r>
      <w:proofErr w:type="spellStart"/>
      <w:r w:rsidRPr="001A3869">
        <w:t>ttt</w:t>
      </w:r>
      <w:proofErr w:type="spellEnd"/>
    </w:p>
    <w:p w14:paraId="263CDA7F" w14:textId="77777777" w:rsidR="001A3869" w:rsidRPr="001A3869" w:rsidRDefault="001A3869" w:rsidP="001A3869">
      <w:pPr>
        <w:numPr>
          <w:ilvl w:val="0"/>
          <w:numId w:val="3"/>
        </w:numPr>
      </w:pPr>
      <w:proofErr w:type="spellStart"/>
      <w:r w:rsidRPr="001A3869">
        <w:t>CAtCA_tCAt</w:t>
      </w:r>
      <w:proofErr w:type="spellEnd"/>
      <w:r w:rsidRPr="001A3869">
        <w:rPr>
          <w:rFonts w:ascii="Arial" w:hAnsi="Arial" w:cs="Arial"/>
        </w:rPr>
        <w:t>​</w:t>
      </w:r>
      <w:r w:rsidRPr="001A3869">
        <w:t xml:space="preserve">: Current account balance in year </w:t>
      </w:r>
      <w:proofErr w:type="spellStart"/>
      <w:r w:rsidRPr="001A3869">
        <w:t>ttt</w:t>
      </w:r>
      <w:proofErr w:type="spellEnd"/>
    </w:p>
    <w:p w14:paraId="0796F915" w14:textId="77777777" w:rsidR="001A3869" w:rsidRPr="001A3869" w:rsidRDefault="001A3869" w:rsidP="001A3869">
      <w:pPr>
        <w:numPr>
          <w:ilvl w:val="0"/>
          <w:numId w:val="3"/>
        </w:numPr>
      </w:pPr>
      <w:proofErr w:type="spellStart"/>
      <w:r w:rsidRPr="001A3869">
        <w:t>VEtVE_tVEt</w:t>
      </w:r>
      <w:proofErr w:type="spellEnd"/>
      <w:r w:rsidRPr="001A3869">
        <w:rPr>
          <w:rFonts w:ascii="Arial" w:hAnsi="Arial" w:cs="Arial"/>
        </w:rPr>
        <w:t>​</w:t>
      </w:r>
      <w:r w:rsidRPr="001A3869">
        <w:t xml:space="preserve">: Valuation effects in year </w:t>
      </w:r>
      <w:proofErr w:type="spellStart"/>
      <w:r w:rsidRPr="001A3869">
        <w:t>ttt</w:t>
      </w:r>
      <w:proofErr w:type="spellEnd"/>
      <w:r w:rsidRPr="001A3869">
        <w:t xml:space="preserve"> (capital gains/losses, exchange rate effects)</w:t>
      </w:r>
    </w:p>
    <w:p w14:paraId="45DE3DEC" w14:textId="77777777" w:rsidR="001A3869" w:rsidRPr="001A3869" w:rsidRDefault="001A3869" w:rsidP="001A3869">
      <w:r w:rsidRPr="001A3869">
        <w:t xml:space="preserve">This equation lets you ask: </w:t>
      </w:r>
      <w:r w:rsidRPr="001A3869">
        <w:rPr>
          <w:i/>
          <w:iCs/>
        </w:rPr>
        <w:t>Is NFA improving because Switzerland runs surpluses, or because it earns high returns on its assets?</w:t>
      </w:r>
    </w:p>
    <w:p w14:paraId="79FA4F69" w14:textId="77777777" w:rsidR="001A3869" w:rsidRPr="001A3869" w:rsidRDefault="00000000" w:rsidP="001A3869">
      <w:r>
        <w:pict w14:anchorId="22B9574A">
          <v:rect id="_x0000_i1026" style="width:0;height:1.5pt" o:hralign="center" o:hrstd="t" o:hr="t" fillcolor="#a0a0a0" stroked="f"/>
        </w:pict>
      </w:r>
    </w:p>
    <w:p w14:paraId="12C576B1" w14:textId="77777777" w:rsidR="001A3869" w:rsidRPr="001A3869" w:rsidRDefault="001A3869" w:rsidP="001A3869">
      <w:pPr>
        <w:rPr>
          <w:b/>
          <w:bCs/>
        </w:rPr>
      </w:pPr>
      <w:r w:rsidRPr="001A3869">
        <w:rPr>
          <w:rFonts w:ascii="Segoe UI Emoji" w:hAnsi="Segoe UI Emoji" w:cs="Segoe UI Emoji"/>
          <w:b/>
          <w:bCs/>
        </w:rPr>
        <w:t>📈</w:t>
      </w:r>
      <w:r w:rsidRPr="001A3869">
        <w:rPr>
          <w:b/>
          <w:bCs/>
        </w:rPr>
        <w:t xml:space="preserve"> 2. Return Differentials: The “Exorbitant Privilege”</w:t>
      </w:r>
    </w:p>
    <w:p w14:paraId="3C672E68" w14:textId="77777777" w:rsidR="001A3869" w:rsidRPr="001A3869" w:rsidRDefault="001A3869" w:rsidP="001A3869">
      <w:r w:rsidRPr="001A3869">
        <w:t xml:space="preserve">To detect an “exorbitant privilege,” calculate </w:t>
      </w:r>
      <w:r w:rsidRPr="001A3869">
        <w:rPr>
          <w:b/>
          <w:bCs/>
        </w:rPr>
        <w:t>average returns</w:t>
      </w:r>
      <w:r w:rsidRPr="001A3869">
        <w:t xml:space="preserve"> on external assets and liabilities:</w:t>
      </w:r>
    </w:p>
    <w:p w14:paraId="5D6C17E8" w14:textId="77777777" w:rsidR="001A3869" w:rsidRPr="001A3869" w:rsidRDefault="001A3869" w:rsidP="001A3869">
      <w:proofErr w:type="spellStart"/>
      <w:r w:rsidRPr="001A3869">
        <w:t>rtA</w:t>
      </w:r>
      <w:proofErr w:type="spellEnd"/>
      <w:r w:rsidRPr="001A3869">
        <w:t>=NItAAt−1andrtL=NItLLt−1r^A_t = \frac{</w:t>
      </w:r>
      <w:proofErr w:type="spellStart"/>
      <w:r w:rsidRPr="001A3869">
        <w:t>NI^A_t</w:t>
      </w:r>
      <w:proofErr w:type="spellEnd"/>
      <w:r w:rsidRPr="001A3869">
        <w:t xml:space="preserve">}{A_{t-1}} \quad \text{and} \quad </w:t>
      </w:r>
      <w:proofErr w:type="spellStart"/>
      <w:r w:rsidRPr="001A3869">
        <w:t>r^L_t</w:t>
      </w:r>
      <w:proofErr w:type="spellEnd"/>
      <w:r w:rsidRPr="001A3869">
        <w:t xml:space="preserve"> = \frac{</w:t>
      </w:r>
      <w:proofErr w:type="spellStart"/>
      <w:r w:rsidRPr="001A3869">
        <w:t>NI^L_t</w:t>
      </w:r>
      <w:proofErr w:type="spellEnd"/>
      <w:r w:rsidRPr="001A3869">
        <w:t>}{L_{t-1}}</w:t>
      </w:r>
      <w:proofErr w:type="spellStart"/>
      <w:r w:rsidRPr="001A3869">
        <w:t>rtA</w:t>
      </w:r>
      <w:proofErr w:type="spellEnd"/>
      <w:r w:rsidRPr="001A3869">
        <w:rPr>
          <w:rFonts w:ascii="Arial" w:hAnsi="Arial" w:cs="Arial"/>
        </w:rPr>
        <w:t>​</w:t>
      </w:r>
      <w:r w:rsidRPr="001A3869">
        <w:t>=At−1</w:t>
      </w:r>
      <w:r w:rsidRPr="001A3869">
        <w:rPr>
          <w:rFonts w:ascii="Arial" w:hAnsi="Arial" w:cs="Arial"/>
        </w:rPr>
        <w:t>​</w:t>
      </w:r>
      <w:proofErr w:type="spellStart"/>
      <w:r w:rsidRPr="001A3869">
        <w:t>NItA</w:t>
      </w:r>
      <w:proofErr w:type="spellEnd"/>
      <w:r w:rsidRPr="001A3869">
        <w:rPr>
          <w:rFonts w:ascii="Arial" w:hAnsi="Arial" w:cs="Arial"/>
        </w:rPr>
        <w:t>​​</w:t>
      </w:r>
      <w:proofErr w:type="spellStart"/>
      <w:r w:rsidRPr="001A3869">
        <w:t>andrtL</w:t>
      </w:r>
      <w:proofErr w:type="spellEnd"/>
      <w:r w:rsidRPr="001A3869">
        <w:rPr>
          <w:rFonts w:ascii="Arial" w:hAnsi="Arial" w:cs="Arial"/>
        </w:rPr>
        <w:t>​</w:t>
      </w:r>
      <w:r w:rsidRPr="001A3869">
        <w:t>=Lt−1</w:t>
      </w:r>
      <w:r w:rsidRPr="001A3869">
        <w:rPr>
          <w:rFonts w:ascii="Arial" w:hAnsi="Arial" w:cs="Arial"/>
        </w:rPr>
        <w:t>​</w:t>
      </w:r>
      <w:proofErr w:type="spellStart"/>
      <w:r w:rsidRPr="001A3869">
        <w:t>NItL</w:t>
      </w:r>
      <w:proofErr w:type="spellEnd"/>
      <w:r w:rsidRPr="001A3869">
        <w:rPr>
          <w:rFonts w:ascii="Arial" w:hAnsi="Arial" w:cs="Arial"/>
        </w:rPr>
        <w:t>​​</w:t>
      </w:r>
      <w:r w:rsidRPr="001A3869">
        <w:t xml:space="preserve"> </w:t>
      </w:r>
    </w:p>
    <w:p w14:paraId="16DE0E1A" w14:textId="77777777" w:rsidR="001A3869" w:rsidRPr="001A3869" w:rsidRDefault="001A3869" w:rsidP="001A3869">
      <w:r w:rsidRPr="001A3869">
        <w:lastRenderedPageBreak/>
        <w:t>Where:</w:t>
      </w:r>
    </w:p>
    <w:p w14:paraId="5FCFC7B8" w14:textId="77777777" w:rsidR="001A3869" w:rsidRPr="001A3869" w:rsidRDefault="001A3869" w:rsidP="001A3869">
      <w:pPr>
        <w:numPr>
          <w:ilvl w:val="0"/>
          <w:numId w:val="4"/>
        </w:numPr>
      </w:pPr>
      <w:proofErr w:type="spellStart"/>
      <w:r w:rsidRPr="001A3869">
        <w:t>NItANI^A_tNItA</w:t>
      </w:r>
      <w:proofErr w:type="spellEnd"/>
      <w:r w:rsidRPr="001A3869">
        <w:rPr>
          <w:rFonts w:ascii="Arial" w:hAnsi="Arial" w:cs="Arial"/>
        </w:rPr>
        <w:t>​</w:t>
      </w:r>
      <w:r w:rsidRPr="001A3869">
        <w:t>: Investment income from foreign assets</w:t>
      </w:r>
    </w:p>
    <w:p w14:paraId="412DDA99" w14:textId="77777777" w:rsidR="001A3869" w:rsidRPr="001A3869" w:rsidRDefault="001A3869" w:rsidP="001A3869">
      <w:pPr>
        <w:numPr>
          <w:ilvl w:val="0"/>
          <w:numId w:val="4"/>
        </w:numPr>
      </w:pPr>
      <w:proofErr w:type="spellStart"/>
      <w:r w:rsidRPr="001A3869">
        <w:t>NItLNI^L_tNItL</w:t>
      </w:r>
      <w:proofErr w:type="spellEnd"/>
      <w:r w:rsidRPr="001A3869">
        <w:rPr>
          <w:rFonts w:ascii="Arial" w:hAnsi="Arial" w:cs="Arial"/>
        </w:rPr>
        <w:t>​</w:t>
      </w:r>
      <w:r w:rsidRPr="001A3869">
        <w:t>: Investment income paid to foreigners on Swiss liabilities</w:t>
      </w:r>
    </w:p>
    <w:p w14:paraId="172809FC" w14:textId="77777777" w:rsidR="001A3869" w:rsidRPr="001A3869" w:rsidRDefault="001A3869" w:rsidP="001A3869">
      <w:pPr>
        <w:numPr>
          <w:ilvl w:val="0"/>
          <w:numId w:val="4"/>
        </w:numPr>
      </w:pPr>
      <w:r w:rsidRPr="001A3869">
        <w:t>At−1,Lt−1A_{t-1}, L_{t-1}At−1</w:t>
      </w:r>
      <w:r w:rsidRPr="001A3869">
        <w:rPr>
          <w:rFonts w:ascii="Arial" w:hAnsi="Arial" w:cs="Arial"/>
        </w:rPr>
        <w:t>​</w:t>
      </w:r>
      <w:r w:rsidRPr="001A3869">
        <w:t>,Lt−1</w:t>
      </w:r>
      <w:r w:rsidRPr="001A3869">
        <w:rPr>
          <w:rFonts w:ascii="Arial" w:hAnsi="Arial" w:cs="Arial"/>
        </w:rPr>
        <w:t>​</w:t>
      </w:r>
      <w:r w:rsidRPr="001A3869">
        <w:t>: Beginning-of-period foreign assets and liabilities</w:t>
      </w:r>
    </w:p>
    <w:p w14:paraId="7613B952" w14:textId="77777777" w:rsidR="001A3869" w:rsidRPr="001A3869" w:rsidRDefault="001A3869" w:rsidP="001A3869">
      <w:r w:rsidRPr="001A3869">
        <w:t>Then compute:</w:t>
      </w:r>
    </w:p>
    <w:p w14:paraId="6DB98881" w14:textId="77777777" w:rsidR="001A3869" w:rsidRPr="001A3869" w:rsidRDefault="001A3869" w:rsidP="001A3869">
      <w:r w:rsidRPr="001A3869">
        <w:t>Return </w:t>
      </w:r>
      <w:proofErr w:type="spellStart"/>
      <w:r w:rsidRPr="001A3869">
        <w:t>Differential:rtA−rtL</w:t>
      </w:r>
      <w:proofErr w:type="spellEnd"/>
      <w:r w:rsidRPr="001A3869">
        <w:t xml:space="preserve">\text{Return Differential:} \quad </w:t>
      </w:r>
      <w:proofErr w:type="spellStart"/>
      <w:r w:rsidRPr="001A3869">
        <w:t>r^A_t</w:t>
      </w:r>
      <w:proofErr w:type="spellEnd"/>
      <w:r w:rsidRPr="001A3869">
        <w:t xml:space="preserve"> - </w:t>
      </w:r>
      <w:proofErr w:type="spellStart"/>
      <w:r w:rsidRPr="001A3869">
        <w:t>r^L_tReturn</w:t>
      </w:r>
      <w:proofErr w:type="spellEnd"/>
      <w:r w:rsidRPr="001A3869">
        <w:t> </w:t>
      </w:r>
      <w:proofErr w:type="spellStart"/>
      <w:r w:rsidRPr="001A3869">
        <w:t>Differential:rtA</w:t>
      </w:r>
      <w:proofErr w:type="spellEnd"/>
      <w:r w:rsidRPr="001A3869">
        <w:rPr>
          <w:rFonts w:ascii="Arial" w:hAnsi="Arial" w:cs="Arial"/>
        </w:rPr>
        <w:t>​</w:t>
      </w:r>
      <w:r w:rsidRPr="001A3869">
        <w:t>−</w:t>
      </w:r>
      <w:proofErr w:type="spellStart"/>
      <w:r w:rsidRPr="001A3869">
        <w:t>rtL</w:t>
      </w:r>
      <w:proofErr w:type="spellEnd"/>
      <w:r w:rsidRPr="001A3869">
        <w:rPr>
          <w:rFonts w:ascii="Arial" w:hAnsi="Arial" w:cs="Arial"/>
        </w:rPr>
        <w:t>​</w:t>
      </w:r>
      <w:r w:rsidRPr="001A3869">
        <w:t xml:space="preserve"> </w:t>
      </w:r>
    </w:p>
    <w:p w14:paraId="01B6B7AD" w14:textId="77777777" w:rsidR="001A3869" w:rsidRPr="001A3869" w:rsidRDefault="001A3869" w:rsidP="001A3869">
      <w:r w:rsidRPr="001A3869">
        <w:t xml:space="preserve">A </w:t>
      </w:r>
      <w:r w:rsidRPr="001A3869">
        <w:rPr>
          <w:b/>
          <w:bCs/>
        </w:rPr>
        <w:t>positive return differential</w:t>
      </w:r>
      <w:r w:rsidRPr="001A3869">
        <w:t xml:space="preserve"> indicates that Switzerland earns more per unit of foreign assets than it pays on its liabilities — suggesting a form of privilege.</w:t>
      </w:r>
    </w:p>
    <w:p w14:paraId="59B1103C" w14:textId="77777777" w:rsidR="001A3869" w:rsidRPr="001A3869" w:rsidRDefault="00000000" w:rsidP="001A3869">
      <w:r>
        <w:pict w14:anchorId="3B567B3D">
          <v:rect id="_x0000_i1027" style="width:0;height:1.5pt" o:hralign="center" o:hrstd="t" o:hr="t" fillcolor="#a0a0a0" stroked="f"/>
        </w:pict>
      </w:r>
    </w:p>
    <w:p w14:paraId="78C8A3F7" w14:textId="77777777" w:rsidR="001A3869" w:rsidRPr="001A3869" w:rsidRDefault="001A3869" w:rsidP="001A3869">
      <w:pPr>
        <w:rPr>
          <w:b/>
          <w:bCs/>
        </w:rPr>
      </w:pPr>
      <w:r w:rsidRPr="001A3869">
        <w:rPr>
          <w:rFonts w:ascii="Segoe UI Emoji" w:hAnsi="Segoe UI Emoji" w:cs="Segoe UI Emoji"/>
          <w:b/>
          <w:bCs/>
        </w:rPr>
        <w:t>🔍</w:t>
      </w:r>
      <w:r w:rsidRPr="001A3869">
        <w:rPr>
          <w:b/>
          <w:bCs/>
        </w:rPr>
        <w:t xml:space="preserve"> 3. Valuation Effects Decomposition</w:t>
      </w:r>
    </w:p>
    <w:p w14:paraId="4447273A" w14:textId="77777777" w:rsidR="001A3869" w:rsidRPr="001A3869" w:rsidRDefault="001A3869" w:rsidP="001A3869">
      <w:r w:rsidRPr="001A3869">
        <w:t>Valuation effects are crucial. They include:</w:t>
      </w:r>
    </w:p>
    <w:p w14:paraId="78B8B681" w14:textId="77777777" w:rsidR="001A3869" w:rsidRPr="001A3869" w:rsidRDefault="001A3869" w:rsidP="001A3869">
      <w:pPr>
        <w:numPr>
          <w:ilvl w:val="0"/>
          <w:numId w:val="5"/>
        </w:numPr>
      </w:pPr>
      <w:r w:rsidRPr="001A3869">
        <w:rPr>
          <w:b/>
          <w:bCs/>
        </w:rPr>
        <w:t>Exchange rate effects</w:t>
      </w:r>
      <w:r w:rsidRPr="001A3869">
        <w:t>: From currency mismatches in external balance sheets</w:t>
      </w:r>
    </w:p>
    <w:p w14:paraId="613E7C48" w14:textId="77777777" w:rsidR="001A3869" w:rsidRPr="001A3869" w:rsidRDefault="001A3869" w:rsidP="001A3869">
      <w:pPr>
        <w:numPr>
          <w:ilvl w:val="0"/>
          <w:numId w:val="5"/>
        </w:numPr>
      </w:pPr>
      <w:r w:rsidRPr="001A3869">
        <w:rPr>
          <w:b/>
          <w:bCs/>
        </w:rPr>
        <w:t>Price effects</w:t>
      </w:r>
      <w:r w:rsidRPr="001A3869">
        <w:t>: From changes in asset values (e.g., equities, bonds)</w:t>
      </w:r>
    </w:p>
    <w:p w14:paraId="3532B517" w14:textId="77777777" w:rsidR="001A3869" w:rsidRPr="001A3869" w:rsidRDefault="001A3869" w:rsidP="001A3869">
      <w:r w:rsidRPr="001A3869">
        <w:t>You can estimate these effects as the residual:</w:t>
      </w:r>
    </w:p>
    <w:p w14:paraId="755A1283" w14:textId="77777777" w:rsidR="001A3869" w:rsidRPr="001A3869" w:rsidRDefault="001A3869" w:rsidP="001A3869">
      <w:proofErr w:type="spellStart"/>
      <w:r w:rsidRPr="001A3869">
        <w:t>VEt</w:t>
      </w:r>
      <w:proofErr w:type="spellEnd"/>
      <w:r w:rsidRPr="001A3869">
        <w:t>=</w:t>
      </w:r>
      <w:proofErr w:type="spellStart"/>
      <w:r w:rsidRPr="001A3869">
        <w:t>ΔNFAt−CAtVE_t</w:t>
      </w:r>
      <w:proofErr w:type="spellEnd"/>
      <w:r w:rsidRPr="001A3869">
        <w:t xml:space="preserve"> = \Delta </w:t>
      </w:r>
      <w:proofErr w:type="spellStart"/>
      <w:r w:rsidRPr="001A3869">
        <w:t>NFA_t</w:t>
      </w:r>
      <w:proofErr w:type="spellEnd"/>
      <w:r w:rsidRPr="001A3869">
        <w:t xml:space="preserve"> - </w:t>
      </w:r>
      <w:proofErr w:type="spellStart"/>
      <w:r w:rsidRPr="001A3869">
        <w:t>CA_tVEt</w:t>
      </w:r>
      <w:proofErr w:type="spellEnd"/>
      <w:r w:rsidRPr="001A3869">
        <w:rPr>
          <w:rFonts w:ascii="Arial" w:hAnsi="Arial" w:cs="Arial"/>
        </w:rPr>
        <w:t>​</w:t>
      </w:r>
      <w:r w:rsidRPr="001A3869">
        <w:t>=</w:t>
      </w:r>
      <w:proofErr w:type="spellStart"/>
      <w:r w:rsidRPr="001A3869">
        <w:t>ΔNFAt</w:t>
      </w:r>
      <w:proofErr w:type="spellEnd"/>
      <w:r w:rsidRPr="001A3869">
        <w:rPr>
          <w:rFonts w:ascii="Arial" w:hAnsi="Arial" w:cs="Arial"/>
        </w:rPr>
        <w:t>​</w:t>
      </w:r>
      <w:r w:rsidRPr="001A3869">
        <w:t>−</w:t>
      </w:r>
      <w:proofErr w:type="spellStart"/>
      <w:r w:rsidRPr="001A3869">
        <w:t>CAt</w:t>
      </w:r>
      <w:proofErr w:type="spellEnd"/>
      <w:r w:rsidRPr="001A3869">
        <w:rPr>
          <w:rFonts w:ascii="Arial" w:hAnsi="Arial" w:cs="Arial"/>
        </w:rPr>
        <w:t>​</w:t>
      </w:r>
      <w:r w:rsidRPr="001A3869">
        <w:t xml:space="preserve"> </w:t>
      </w:r>
    </w:p>
    <w:p w14:paraId="1B851FA8" w14:textId="77777777" w:rsidR="001A3869" w:rsidRPr="001A3869" w:rsidRDefault="001A3869" w:rsidP="001A3869">
      <w:r w:rsidRPr="001A3869">
        <w:t>If detailed data are available, further decompose VE:</w:t>
      </w:r>
    </w:p>
    <w:p w14:paraId="5D1C3171" w14:textId="77777777" w:rsidR="001A3869" w:rsidRPr="001A3869" w:rsidRDefault="001A3869" w:rsidP="001A3869">
      <w:r w:rsidRPr="001A3869">
        <w:t>VEt=(At−At−1−FAt)</w:t>
      </w:r>
      <w:r w:rsidRPr="001A3869">
        <w:rPr>
          <w:rFonts w:ascii="Cambria Math" w:hAnsi="Cambria Math" w:cs="Cambria Math"/>
        </w:rPr>
        <w:t>⏟</w:t>
      </w:r>
      <w:r w:rsidRPr="001A3869">
        <w:t>Valuation</w:t>
      </w:r>
      <w:r w:rsidRPr="001A3869">
        <w:rPr>
          <w:rFonts w:ascii="Aptos" w:hAnsi="Aptos" w:cs="Aptos"/>
        </w:rPr>
        <w:t> </w:t>
      </w:r>
      <w:r w:rsidRPr="001A3869">
        <w:t>on</w:t>
      </w:r>
      <w:r w:rsidRPr="001A3869">
        <w:rPr>
          <w:rFonts w:ascii="Aptos" w:hAnsi="Aptos" w:cs="Aptos"/>
        </w:rPr>
        <w:t> </w:t>
      </w:r>
      <w:r w:rsidRPr="001A3869">
        <w:t>assets</w:t>
      </w:r>
      <w:r w:rsidRPr="001A3869">
        <w:rPr>
          <w:rFonts w:ascii="Aptos" w:hAnsi="Aptos" w:cs="Aptos"/>
        </w:rPr>
        <w:t>−</w:t>
      </w:r>
      <w:r w:rsidRPr="001A3869">
        <w:t>(Lt</w:t>
      </w:r>
      <w:r w:rsidRPr="001A3869">
        <w:rPr>
          <w:rFonts w:ascii="Aptos" w:hAnsi="Aptos" w:cs="Aptos"/>
        </w:rPr>
        <w:t>−</w:t>
      </w:r>
      <w:r w:rsidRPr="001A3869">
        <w:t>Lt</w:t>
      </w:r>
      <w:r w:rsidRPr="001A3869">
        <w:rPr>
          <w:rFonts w:ascii="Aptos" w:hAnsi="Aptos" w:cs="Aptos"/>
        </w:rPr>
        <w:t>−</w:t>
      </w:r>
      <w:r w:rsidRPr="001A3869">
        <w:t>1</w:t>
      </w:r>
      <w:r w:rsidRPr="001A3869">
        <w:rPr>
          <w:rFonts w:ascii="Aptos" w:hAnsi="Aptos" w:cs="Aptos"/>
        </w:rPr>
        <w:t>−</w:t>
      </w:r>
      <w:r w:rsidRPr="001A3869">
        <w:t>FLt)</w:t>
      </w:r>
      <w:r w:rsidRPr="001A3869">
        <w:rPr>
          <w:rFonts w:ascii="Cambria Math" w:hAnsi="Cambria Math" w:cs="Cambria Math"/>
        </w:rPr>
        <w:t>⏟</w:t>
      </w:r>
      <w:r w:rsidRPr="001A3869">
        <w:t>Valuation</w:t>
      </w:r>
      <w:r w:rsidRPr="001A3869">
        <w:rPr>
          <w:rFonts w:ascii="Aptos" w:hAnsi="Aptos" w:cs="Aptos"/>
        </w:rPr>
        <w:t> </w:t>
      </w:r>
      <w:r w:rsidRPr="001A3869">
        <w:t>on</w:t>
      </w:r>
      <w:r w:rsidRPr="001A3869">
        <w:rPr>
          <w:rFonts w:ascii="Aptos" w:hAnsi="Aptos" w:cs="Aptos"/>
        </w:rPr>
        <w:t> </w:t>
      </w:r>
      <w:proofErr w:type="spellStart"/>
      <w:r w:rsidRPr="001A3869">
        <w:t>liabilitiesVE_t</w:t>
      </w:r>
      <w:proofErr w:type="spellEnd"/>
      <w:r w:rsidRPr="001A3869">
        <w:t xml:space="preserve"> = \underbrace{(</w:t>
      </w:r>
      <w:proofErr w:type="spellStart"/>
      <w:r w:rsidRPr="001A3869">
        <w:t>A_t</w:t>
      </w:r>
      <w:proofErr w:type="spellEnd"/>
      <w:r w:rsidRPr="001A3869">
        <w:t xml:space="preserve"> - A_{t-1} - </w:t>
      </w:r>
      <w:proofErr w:type="spellStart"/>
      <w:r w:rsidRPr="001A3869">
        <w:t>FA_t</w:t>
      </w:r>
      <w:proofErr w:type="spellEnd"/>
      <w:r w:rsidRPr="001A3869">
        <w:t>)}_{\text{Valuation on assets}} - \underbrace{(</w:t>
      </w:r>
      <w:proofErr w:type="spellStart"/>
      <w:r w:rsidRPr="001A3869">
        <w:t>L_t</w:t>
      </w:r>
      <w:proofErr w:type="spellEnd"/>
      <w:r w:rsidRPr="001A3869">
        <w:t xml:space="preserve"> - L_{t-1} - </w:t>
      </w:r>
      <w:proofErr w:type="spellStart"/>
      <w:r w:rsidRPr="001A3869">
        <w:t>FL_t</w:t>
      </w:r>
      <w:proofErr w:type="spellEnd"/>
      <w:r w:rsidRPr="001A3869">
        <w:t>)}_{\text{Valuation on liabilities}}VEt</w:t>
      </w:r>
      <w:r w:rsidRPr="001A3869">
        <w:rPr>
          <w:rFonts w:ascii="Arial" w:hAnsi="Arial" w:cs="Arial"/>
        </w:rPr>
        <w:t>​</w:t>
      </w:r>
      <w:r w:rsidRPr="001A3869">
        <w:t>=Valuation on assets(At</w:t>
      </w:r>
      <w:r w:rsidRPr="001A3869">
        <w:rPr>
          <w:rFonts w:ascii="Arial" w:hAnsi="Arial" w:cs="Arial"/>
        </w:rPr>
        <w:t>​</w:t>
      </w:r>
      <w:r w:rsidRPr="001A3869">
        <w:t>−At−1</w:t>
      </w:r>
      <w:r w:rsidRPr="001A3869">
        <w:rPr>
          <w:rFonts w:ascii="Arial" w:hAnsi="Arial" w:cs="Arial"/>
        </w:rPr>
        <w:t>​</w:t>
      </w:r>
      <w:r w:rsidRPr="001A3869">
        <w:t>−FAt</w:t>
      </w:r>
      <w:r w:rsidRPr="001A3869">
        <w:rPr>
          <w:rFonts w:ascii="Arial" w:hAnsi="Arial" w:cs="Arial"/>
        </w:rPr>
        <w:t>​</w:t>
      </w:r>
      <w:r w:rsidRPr="001A3869">
        <w:t>)</w:t>
      </w:r>
      <w:r w:rsidRPr="001A3869">
        <w:rPr>
          <w:rFonts w:ascii="Arial" w:hAnsi="Arial" w:cs="Arial"/>
        </w:rPr>
        <w:t>​​</w:t>
      </w:r>
      <w:r w:rsidRPr="001A3869">
        <w:t>−Valuation on liabilities(Lt</w:t>
      </w:r>
      <w:r w:rsidRPr="001A3869">
        <w:rPr>
          <w:rFonts w:ascii="Arial" w:hAnsi="Arial" w:cs="Arial"/>
        </w:rPr>
        <w:t>​</w:t>
      </w:r>
      <w:r w:rsidRPr="001A3869">
        <w:t>−Lt−1</w:t>
      </w:r>
      <w:r w:rsidRPr="001A3869">
        <w:rPr>
          <w:rFonts w:ascii="Arial" w:hAnsi="Arial" w:cs="Arial"/>
        </w:rPr>
        <w:t>​</w:t>
      </w:r>
      <w:r w:rsidRPr="001A3869">
        <w:t>−FLt</w:t>
      </w:r>
      <w:r w:rsidRPr="001A3869">
        <w:rPr>
          <w:rFonts w:ascii="Arial" w:hAnsi="Arial" w:cs="Arial"/>
        </w:rPr>
        <w:t>​</w:t>
      </w:r>
      <w:r w:rsidRPr="001A3869">
        <w:t>)</w:t>
      </w:r>
      <w:r w:rsidRPr="001A3869">
        <w:rPr>
          <w:rFonts w:ascii="Arial" w:hAnsi="Arial" w:cs="Arial"/>
        </w:rPr>
        <w:t>​​</w:t>
      </w:r>
      <w:r w:rsidRPr="001A3869">
        <w:t xml:space="preserve"> </w:t>
      </w:r>
    </w:p>
    <w:p w14:paraId="1DA1ABD9" w14:textId="77777777" w:rsidR="001A3869" w:rsidRPr="001A3869" w:rsidRDefault="001A3869" w:rsidP="001A3869">
      <w:r w:rsidRPr="001A3869">
        <w:t>Where:</w:t>
      </w:r>
    </w:p>
    <w:p w14:paraId="5E4A579B" w14:textId="77777777" w:rsidR="001A3869" w:rsidRPr="001A3869" w:rsidRDefault="001A3869" w:rsidP="001A3869">
      <w:pPr>
        <w:numPr>
          <w:ilvl w:val="0"/>
          <w:numId w:val="6"/>
        </w:numPr>
      </w:pPr>
      <w:proofErr w:type="spellStart"/>
      <w:r w:rsidRPr="001A3869">
        <w:t>FAtFA_tFAt</w:t>
      </w:r>
      <w:proofErr w:type="spellEnd"/>
      <w:r w:rsidRPr="001A3869">
        <w:rPr>
          <w:rFonts w:ascii="Arial" w:hAnsi="Arial" w:cs="Arial"/>
        </w:rPr>
        <w:t>​</w:t>
      </w:r>
      <w:r w:rsidRPr="001A3869">
        <w:t>: Net financial account (excluding valuation changes)</w:t>
      </w:r>
    </w:p>
    <w:p w14:paraId="650FC2DA" w14:textId="77777777" w:rsidR="001A3869" w:rsidRPr="001A3869" w:rsidRDefault="001A3869" w:rsidP="001A3869">
      <w:pPr>
        <w:numPr>
          <w:ilvl w:val="0"/>
          <w:numId w:val="6"/>
        </w:numPr>
      </w:pPr>
      <w:r w:rsidRPr="001A3869">
        <w:t>FLtFL_tFLt</w:t>
      </w:r>
      <w:r w:rsidRPr="001A3869">
        <w:rPr>
          <w:rFonts w:ascii="Arial" w:hAnsi="Arial" w:cs="Arial"/>
        </w:rPr>
        <w:t>​</w:t>
      </w:r>
      <w:r w:rsidRPr="001A3869">
        <w:t>: Similar for liabilities</w:t>
      </w:r>
    </w:p>
    <w:p w14:paraId="28B31477" w14:textId="77777777" w:rsidR="001A3869" w:rsidRPr="001A3869" w:rsidRDefault="00000000" w:rsidP="001A3869">
      <w:r>
        <w:pict w14:anchorId="7FC2A654">
          <v:rect id="_x0000_i1028" style="width:0;height:1.5pt" o:hralign="center" o:hrstd="t" o:hr="t" fillcolor="#a0a0a0" stroked="f"/>
        </w:pict>
      </w:r>
    </w:p>
    <w:p w14:paraId="7924E8F3" w14:textId="77777777" w:rsidR="001A3869" w:rsidRPr="001A3869" w:rsidRDefault="001A3869" w:rsidP="001A3869">
      <w:pPr>
        <w:rPr>
          <w:b/>
          <w:bCs/>
        </w:rPr>
      </w:pPr>
      <w:r w:rsidRPr="001A3869">
        <w:rPr>
          <w:rFonts w:ascii="Segoe UI Emoji" w:hAnsi="Segoe UI Emoji" w:cs="Segoe UI Emoji"/>
          <w:b/>
          <w:bCs/>
        </w:rPr>
        <w:t>📂</w:t>
      </w:r>
      <w:r w:rsidRPr="001A3869">
        <w:rPr>
          <w:b/>
          <w:bCs/>
        </w:rPr>
        <w:t xml:space="preserve"> 4. Data Sources</w:t>
      </w:r>
    </w:p>
    <w:p w14:paraId="1809BCAC" w14:textId="77777777" w:rsidR="001A3869" w:rsidRPr="001A3869" w:rsidRDefault="001A3869" w:rsidP="001A3869">
      <w:r w:rsidRPr="001A3869">
        <w:t>Use these:</w:t>
      </w:r>
    </w:p>
    <w:p w14:paraId="4897D8D8" w14:textId="77777777" w:rsidR="001A3869" w:rsidRPr="001A3869" w:rsidRDefault="001A3869" w:rsidP="001A3869">
      <w:pPr>
        <w:numPr>
          <w:ilvl w:val="0"/>
          <w:numId w:val="7"/>
        </w:numPr>
      </w:pPr>
      <w:r w:rsidRPr="001A3869">
        <w:rPr>
          <w:b/>
          <w:bCs/>
        </w:rPr>
        <w:lastRenderedPageBreak/>
        <w:t>Swiss National Bank (SNB)</w:t>
      </w:r>
      <w:r w:rsidRPr="001A3869">
        <w:t>: For current account, investment income, assets/liabilities by type (equity, debt, reserves)</w:t>
      </w:r>
    </w:p>
    <w:p w14:paraId="04669F74" w14:textId="77777777" w:rsidR="001A3869" w:rsidRPr="001A3869" w:rsidRDefault="001A3869" w:rsidP="001A3869">
      <w:pPr>
        <w:numPr>
          <w:ilvl w:val="0"/>
          <w:numId w:val="7"/>
        </w:numPr>
      </w:pPr>
      <w:r w:rsidRPr="001A3869">
        <w:rPr>
          <w:b/>
          <w:bCs/>
        </w:rPr>
        <w:t>Lane and Milesi-Ferretti (2020 update)</w:t>
      </w:r>
      <w:r w:rsidRPr="001A3869">
        <w:t>: For cross-checking and longer time series</w:t>
      </w:r>
    </w:p>
    <w:p w14:paraId="6FFFD577" w14:textId="77777777" w:rsidR="001A3869" w:rsidRPr="001A3869" w:rsidRDefault="001A3869" w:rsidP="001A3869">
      <w:pPr>
        <w:numPr>
          <w:ilvl w:val="0"/>
          <w:numId w:val="7"/>
        </w:numPr>
      </w:pPr>
      <w:r w:rsidRPr="001A3869">
        <w:rPr>
          <w:b/>
          <w:bCs/>
        </w:rPr>
        <w:t>IMF BPM6-compatible databases</w:t>
      </w:r>
      <w:r w:rsidRPr="001A3869">
        <w:t xml:space="preserve"> (if needed for comparison with other countries)</w:t>
      </w:r>
    </w:p>
    <w:p w14:paraId="44AD3C81" w14:textId="77777777" w:rsidR="001A3869" w:rsidRPr="001A3869" w:rsidRDefault="00000000" w:rsidP="001A3869">
      <w:r>
        <w:pict w14:anchorId="6973D62E">
          <v:rect id="_x0000_i1029" style="width:0;height:1.5pt" o:hralign="center" o:hrstd="t" o:hr="t" fillcolor="#a0a0a0" stroked="f"/>
        </w:pict>
      </w:r>
    </w:p>
    <w:p w14:paraId="44F6E785" w14:textId="77777777" w:rsidR="001A3869" w:rsidRPr="001A3869" w:rsidRDefault="001A3869" w:rsidP="001A3869">
      <w:pPr>
        <w:rPr>
          <w:b/>
          <w:bCs/>
        </w:rPr>
      </w:pPr>
      <w:r w:rsidRPr="001A3869">
        <w:rPr>
          <w:rFonts w:ascii="Segoe UI Emoji" w:hAnsi="Segoe UI Emoji" w:cs="Segoe UI Emoji"/>
          <w:b/>
          <w:bCs/>
        </w:rPr>
        <w:t>📅</w:t>
      </w:r>
      <w:r w:rsidRPr="001A3869">
        <w:rPr>
          <w:b/>
          <w:bCs/>
        </w:rPr>
        <w:t xml:space="preserve"> 5. Time Periods of Interest</w:t>
      </w:r>
    </w:p>
    <w:p w14:paraId="4F1CBE2B" w14:textId="77777777" w:rsidR="001A3869" w:rsidRPr="001A3869" w:rsidRDefault="001A3869" w:rsidP="001A3869">
      <w:r w:rsidRPr="001A3869">
        <w:t>Choose sub-periods to match key global shocks:</w:t>
      </w:r>
    </w:p>
    <w:p w14:paraId="1CB86432" w14:textId="77777777" w:rsidR="001A3869" w:rsidRPr="001A3869" w:rsidRDefault="001A3869" w:rsidP="001A3869">
      <w:pPr>
        <w:numPr>
          <w:ilvl w:val="0"/>
          <w:numId w:val="8"/>
        </w:numPr>
      </w:pPr>
      <w:r w:rsidRPr="001A3869">
        <w:rPr>
          <w:b/>
          <w:bCs/>
        </w:rPr>
        <w:t>2007–2009</w:t>
      </w:r>
      <w:r w:rsidRPr="001A3869">
        <w:t>: Global financial crisis</w:t>
      </w:r>
    </w:p>
    <w:p w14:paraId="68E88D35" w14:textId="77777777" w:rsidR="001A3869" w:rsidRPr="001A3869" w:rsidRDefault="001A3869" w:rsidP="001A3869">
      <w:pPr>
        <w:numPr>
          <w:ilvl w:val="0"/>
          <w:numId w:val="8"/>
        </w:numPr>
      </w:pPr>
      <w:r w:rsidRPr="001A3869">
        <w:rPr>
          <w:b/>
          <w:bCs/>
        </w:rPr>
        <w:t>2010–2012</w:t>
      </w:r>
      <w:r w:rsidRPr="001A3869">
        <w:t>: Eurozone crisis</w:t>
      </w:r>
    </w:p>
    <w:p w14:paraId="3C7E0930" w14:textId="77777777" w:rsidR="001A3869" w:rsidRPr="001A3869" w:rsidRDefault="001A3869" w:rsidP="001A3869">
      <w:pPr>
        <w:numPr>
          <w:ilvl w:val="0"/>
          <w:numId w:val="8"/>
        </w:numPr>
      </w:pPr>
      <w:r w:rsidRPr="001A3869">
        <w:rPr>
          <w:b/>
          <w:bCs/>
        </w:rPr>
        <w:t>2020–2022</w:t>
      </w:r>
      <w:r w:rsidRPr="001A3869">
        <w:t>: Covid crisis</w:t>
      </w:r>
    </w:p>
    <w:p w14:paraId="4A335599" w14:textId="77777777" w:rsidR="001A3869" w:rsidRPr="001A3869" w:rsidRDefault="001A3869" w:rsidP="001A3869">
      <w:pPr>
        <w:numPr>
          <w:ilvl w:val="0"/>
          <w:numId w:val="8"/>
        </w:numPr>
      </w:pPr>
      <w:r w:rsidRPr="001A3869">
        <w:rPr>
          <w:b/>
          <w:bCs/>
        </w:rPr>
        <w:t>Post-2022</w:t>
      </w:r>
      <w:r w:rsidRPr="001A3869">
        <w:t>: Rising interest rates, global realignment</w:t>
      </w:r>
    </w:p>
    <w:p w14:paraId="2E679C49" w14:textId="77777777" w:rsidR="001A3869" w:rsidRPr="001A3869" w:rsidRDefault="00000000" w:rsidP="001A3869">
      <w:r>
        <w:pict w14:anchorId="1BEC91AF">
          <v:rect id="_x0000_i1030" style="width:0;height:1.5pt" o:hralign="center" o:hrstd="t" o:hr="t" fillcolor="#a0a0a0" stroked="f"/>
        </w:pict>
      </w:r>
    </w:p>
    <w:p w14:paraId="57E35DDB" w14:textId="77777777" w:rsidR="001A3869" w:rsidRPr="001A3869" w:rsidRDefault="001A3869" w:rsidP="001A3869">
      <w:pPr>
        <w:rPr>
          <w:b/>
          <w:bCs/>
        </w:rPr>
      </w:pPr>
      <w:r w:rsidRPr="001A3869">
        <w:rPr>
          <w:rFonts w:ascii="Segoe UI Emoji" w:hAnsi="Segoe UI Emoji" w:cs="Segoe UI Emoji"/>
          <w:b/>
          <w:bCs/>
        </w:rPr>
        <w:t>🧪</w:t>
      </w:r>
      <w:r w:rsidRPr="001A3869">
        <w:rPr>
          <w:b/>
          <w:bCs/>
        </w:rPr>
        <w:t xml:space="preserve"> 6. Optional Advanced Add-ons</w:t>
      </w:r>
    </w:p>
    <w:p w14:paraId="48948362" w14:textId="77777777" w:rsidR="001A3869" w:rsidRPr="001A3869" w:rsidRDefault="001A3869" w:rsidP="001A3869">
      <w:r w:rsidRPr="001A3869">
        <w:t>If you're comfortable with econometrics or want to go deeper:</w:t>
      </w:r>
    </w:p>
    <w:p w14:paraId="048124DE" w14:textId="77777777" w:rsidR="001A3869" w:rsidRPr="001A3869" w:rsidRDefault="001A3869" w:rsidP="001A3869">
      <w:pPr>
        <w:numPr>
          <w:ilvl w:val="0"/>
          <w:numId w:val="9"/>
        </w:numPr>
      </w:pPr>
      <w:r w:rsidRPr="001A3869">
        <w:t xml:space="preserve">Run </w:t>
      </w:r>
      <w:r w:rsidRPr="001A3869">
        <w:rPr>
          <w:b/>
          <w:bCs/>
        </w:rPr>
        <w:t>panel regressions</w:t>
      </w:r>
      <w:r w:rsidRPr="001A3869">
        <w:t xml:space="preserve"> comparing Switzerland to other countries (e.g., Germany, Japan) on determinants of valuation effects.</w:t>
      </w:r>
    </w:p>
    <w:p w14:paraId="696FF917" w14:textId="77777777" w:rsidR="001A3869" w:rsidRPr="001A3869" w:rsidRDefault="001A3869" w:rsidP="001A3869">
      <w:pPr>
        <w:numPr>
          <w:ilvl w:val="0"/>
          <w:numId w:val="9"/>
        </w:numPr>
      </w:pPr>
      <w:r w:rsidRPr="001A3869">
        <w:t xml:space="preserve">Estimate </w:t>
      </w:r>
      <w:r w:rsidRPr="001A3869">
        <w:rPr>
          <w:b/>
          <w:bCs/>
        </w:rPr>
        <w:t>risk-adjusted returns</w:t>
      </w:r>
      <w:r w:rsidRPr="001A3869">
        <w:t xml:space="preserve"> by adjusting for portfolio composition (bonds vs equities).</w:t>
      </w:r>
    </w:p>
    <w:p w14:paraId="07B3DA26" w14:textId="77777777" w:rsidR="001A3869" w:rsidRPr="001A3869" w:rsidRDefault="001A3869" w:rsidP="001A3869">
      <w:pPr>
        <w:numPr>
          <w:ilvl w:val="0"/>
          <w:numId w:val="9"/>
        </w:numPr>
      </w:pPr>
      <w:r w:rsidRPr="001A3869">
        <w:t>Consider structural differences (e.g., high reserve assets at SNB, wealth management industry).</w:t>
      </w:r>
    </w:p>
    <w:p w14:paraId="4EBE2869" w14:textId="063A7915" w:rsidR="001A3869" w:rsidRPr="001A3869" w:rsidRDefault="001A3869" w:rsidP="001A3869"/>
    <w:sectPr w:rsidR="001A3869" w:rsidRPr="001A3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756B"/>
    <w:multiLevelType w:val="multilevel"/>
    <w:tmpl w:val="D7CC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73FF0"/>
    <w:multiLevelType w:val="multilevel"/>
    <w:tmpl w:val="554E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027F2"/>
    <w:multiLevelType w:val="multilevel"/>
    <w:tmpl w:val="5E94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32A12"/>
    <w:multiLevelType w:val="hybridMultilevel"/>
    <w:tmpl w:val="4DCA8C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EB7253D"/>
    <w:multiLevelType w:val="multilevel"/>
    <w:tmpl w:val="A01A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73139"/>
    <w:multiLevelType w:val="multilevel"/>
    <w:tmpl w:val="248E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90C70"/>
    <w:multiLevelType w:val="hybridMultilevel"/>
    <w:tmpl w:val="D7D476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6DEF4BF7"/>
    <w:multiLevelType w:val="multilevel"/>
    <w:tmpl w:val="EF0C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C0357"/>
    <w:multiLevelType w:val="multilevel"/>
    <w:tmpl w:val="9508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432594">
    <w:abstractNumId w:val="3"/>
  </w:num>
  <w:num w:numId="2" w16cid:durableId="8850713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6088234">
    <w:abstractNumId w:val="7"/>
  </w:num>
  <w:num w:numId="4" w16cid:durableId="2036154440">
    <w:abstractNumId w:val="2"/>
  </w:num>
  <w:num w:numId="5" w16cid:durableId="245960020">
    <w:abstractNumId w:val="4"/>
  </w:num>
  <w:num w:numId="6" w16cid:durableId="2009169674">
    <w:abstractNumId w:val="1"/>
  </w:num>
  <w:num w:numId="7" w16cid:durableId="377122219">
    <w:abstractNumId w:val="8"/>
  </w:num>
  <w:num w:numId="8" w16cid:durableId="1664969930">
    <w:abstractNumId w:val="0"/>
  </w:num>
  <w:num w:numId="9" w16cid:durableId="8042738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69"/>
    <w:rsid w:val="001A3869"/>
    <w:rsid w:val="006106CC"/>
    <w:rsid w:val="0098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D5B0"/>
  <w15:chartTrackingRefBased/>
  <w15:docId w15:val="{6204CAE3-B9A6-417F-994F-8908E12C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869"/>
    <w:rPr>
      <w:rFonts w:eastAsiaTheme="majorEastAsia" w:cstheme="majorBidi"/>
      <w:color w:val="272727" w:themeColor="text1" w:themeTint="D8"/>
    </w:rPr>
  </w:style>
  <w:style w:type="paragraph" w:styleId="Title">
    <w:name w:val="Title"/>
    <w:basedOn w:val="Normal"/>
    <w:next w:val="Normal"/>
    <w:link w:val="TitleChar"/>
    <w:uiPriority w:val="10"/>
    <w:qFormat/>
    <w:rsid w:val="001A3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869"/>
    <w:pPr>
      <w:spacing w:before="160"/>
      <w:jc w:val="center"/>
    </w:pPr>
    <w:rPr>
      <w:i/>
      <w:iCs/>
      <w:color w:val="404040" w:themeColor="text1" w:themeTint="BF"/>
    </w:rPr>
  </w:style>
  <w:style w:type="character" w:customStyle="1" w:styleId="QuoteChar">
    <w:name w:val="Quote Char"/>
    <w:basedOn w:val="DefaultParagraphFont"/>
    <w:link w:val="Quote"/>
    <w:uiPriority w:val="29"/>
    <w:rsid w:val="001A3869"/>
    <w:rPr>
      <w:i/>
      <w:iCs/>
      <w:color w:val="404040" w:themeColor="text1" w:themeTint="BF"/>
    </w:rPr>
  </w:style>
  <w:style w:type="paragraph" w:styleId="ListParagraph">
    <w:name w:val="List Paragraph"/>
    <w:basedOn w:val="Normal"/>
    <w:uiPriority w:val="34"/>
    <w:qFormat/>
    <w:rsid w:val="001A3869"/>
    <w:pPr>
      <w:ind w:left="720"/>
      <w:contextualSpacing/>
    </w:pPr>
  </w:style>
  <w:style w:type="character" w:styleId="IntenseEmphasis">
    <w:name w:val="Intense Emphasis"/>
    <w:basedOn w:val="DefaultParagraphFont"/>
    <w:uiPriority w:val="21"/>
    <w:qFormat/>
    <w:rsid w:val="001A3869"/>
    <w:rPr>
      <w:i/>
      <w:iCs/>
      <w:color w:val="0F4761" w:themeColor="accent1" w:themeShade="BF"/>
    </w:rPr>
  </w:style>
  <w:style w:type="paragraph" w:styleId="IntenseQuote">
    <w:name w:val="Intense Quote"/>
    <w:basedOn w:val="Normal"/>
    <w:next w:val="Normal"/>
    <w:link w:val="IntenseQuoteChar"/>
    <w:uiPriority w:val="30"/>
    <w:qFormat/>
    <w:rsid w:val="001A3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869"/>
    <w:rPr>
      <w:i/>
      <w:iCs/>
      <w:color w:val="0F4761" w:themeColor="accent1" w:themeShade="BF"/>
    </w:rPr>
  </w:style>
  <w:style w:type="character" w:styleId="IntenseReference">
    <w:name w:val="Intense Reference"/>
    <w:basedOn w:val="DefaultParagraphFont"/>
    <w:uiPriority w:val="32"/>
    <w:qFormat/>
    <w:rsid w:val="001A3869"/>
    <w:rPr>
      <w:b/>
      <w:bCs/>
      <w:smallCaps/>
      <w:color w:val="0F4761" w:themeColor="accent1" w:themeShade="BF"/>
      <w:spacing w:val="5"/>
    </w:rPr>
  </w:style>
  <w:style w:type="character" w:styleId="Hyperlink">
    <w:name w:val="Hyperlink"/>
    <w:basedOn w:val="DefaultParagraphFont"/>
    <w:uiPriority w:val="99"/>
    <w:unhideWhenUsed/>
    <w:rsid w:val="001A3869"/>
    <w:rPr>
      <w:color w:val="467886" w:themeColor="hyperlink"/>
      <w:u w:val="single"/>
    </w:rPr>
  </w:style>
  <w:style w:type="character" w:styleId="UnresolvedMention">
    <w:name w:val="Unresolved Mention"/>
    <w:basedOn w:val="DefaultParagraphFont"/>
    <w:uiPriority w:val="99"/>
    <w:semiHidden/>
    <w:unhideWhenUsed/>
    <w:rsid w:val="001A3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2526">
      <w:bodyDiv w:val="1"/>
      <w:marLeft w:val="0"/>
      <w:marRight w:val="0"/>
      <w:marTop w:val="0"/>
      <w:marBottom w:val="0"/>
      <w:divBdr>
        <w:top w:val="none" w:sz="0" w:space="0" w:color="auto"/>
        <w:left w:val="none" w:sz="0" w:space="0" w:color="auto"/>
        <w:bottom w:val="none" w:sz="0" w:space="0" w:color="auto"/>
        <w:right w:val="none" w:sz="0" w:space="0" w:color="auto"/>
      </w:divBdr>
    </w:div>
    <w:div w:id="41445964">
      <w:bodyDiv w:val="1"/>
      <w:marLeft w:val="0"/>
      <w:marRight w:val="0"/>
      <w:marTop w:val="0"/>
      <w:marBottom w:val="0"/>
      <w:divBdr>
        <w:top w:val="none" w:sz="0" w:space="0" w:color="auto"/>
        <w:left w:val="none" w:sz="0" w:space="0" w:color="auto"/>
        <w:bottom w:val="none" w:sz="0" w:space="0" w:color="auto"/>
        <w:right w:val="none" w:sz="0" w:space="0" w:color="auto"/>
      </w:divBdr>
    </w:div>
    <w:div w:id="646056629">
      <w:bodyDiv w:val="1"/>
      <w:marLeft w:val="0"/>
      <w:marRight w:val="0"/>
      <w:marTop w:val="0"/>
      <w:marBottom w:val="0"/>
      <w:divBdr>
        <w:top w:val="none" w:sz="0" w:space="0" w:color="auto"/>
        <w:left w:val="none" w:sz="0" w:space="0" w:color="auto"/>
        <w:bottom w:val="none" w:sz="0" w:space="0" w:color="auto"/>
        <w:right w:val="none" w:sz="0" w:space="0" w:color="auto"/>
      </w:divBdr>
      <w:divsChild>
        <w:div w:id="615910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3262">
      <w:bodyDiv w:val="1"/>
      <w:marLeft w:val="0"/>
      <w:marRight w:val="0"/>
      <w:marTop w:val="0"/>
      <w:marBottom w:val="0"/>
      <w:divBdr>
        <w:top w:val="none" w:sz="0" w:space="0" w:color="auto"/>
        <w:left w:val="none" w:sz="0" w:space="0" w:color="auto"/>
        <w:bottom w:val="none" w:sz="0" w:space="0" w:color="auto"/>
        <w:right w:val="none" w:sz="0" w:space="0" w:color="auto"/>
      </w:divBdr>
      <w:divsChild>
        <w:div w:id="1230580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 Bold</dc:creator>
  <cp:keywords/>
  <dc:description/>
  <cp:lastModifiedBy>Anar Bold</cp:lastModifiedBy>
  <cp:revision>2</cp:revision>
  <dcterms:created xsi:type="dcterms:W3CDTF">2025-05-05T19:01:00Z</dcterms:created>
  <dcterms:modified xsi:type="dcterms:W3CDTF">2025-05-05T19:04:00Z</dcterms:modified>
</cp:coreProperties>
</file>