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FFFFFF"/>
                <w:lang w:val="en-US" w:bidi="fa-IR"/>
                <w:rtl/>
              </w:rPr>
              <w:t>۱.۰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بررسی عملکرد پایگاه داده و بنچمارک سیستم (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Database Performance Benchmark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)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سامانه‌های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تراکنشی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پرحجم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High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-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Throughput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OLTP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Systems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مداوم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شاخص‌های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کارایی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نظیر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IOPS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Latency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Throughput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جلوگیری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گلوگاه‌های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عملکردی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امری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ضروری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نتایج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ارزیابی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فنی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فشار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سیستم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زبان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فارسی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انگلیسی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گزارش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می‌کند.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۱.۱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معماری کلاستر با قابلیت دسترسی‌پذیر بالا (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High Availability Cluster Architecture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)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ساختار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خوشه‌بندی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Always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Availability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Groups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محیط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Enterprise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طراحی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ترافیک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خواندن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Read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Workloads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صورت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خودکار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Read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-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Only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Replica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هدایت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فشار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روی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Primary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Node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برداشته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شود.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5878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7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40" w:after="200"/>
        <w:jc w:val="center"/>
      </w:pP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شکل ۲-۱. ساختار افزونگی و توزیع بار خواندن در کلاستر 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Always On</w:t>
      </w:r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لحظه‌ای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وضعیت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سلامت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تاخیر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کلاستر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Always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پرس‌وجوی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-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پایگاه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</w:rPr>
              <w:t>-- بررسی وضعیت همگام‌سازی Always On Availability Groups (Health State &amp; Redo Queue)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SELECT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replica_server_name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ReplicaNode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adc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database_name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DatabaseName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synchronization_state_desc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SyncState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synchronization_health_desc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HealthStatus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redo_queue_size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RedoQueueKB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log_send_queue_size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LogSendQueueKB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sys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dm_hadr_database_replica_states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drs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INNER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JOIN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sys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availability_replicas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ON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replica_id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replica_id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INNER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JOIN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sys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availability_databases_cluster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adc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ON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drs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group_database_id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adc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group_database_id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ORDER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BY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replica_server_name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</w:tc>
      </w:tr>
    </w:tbl>
    <w:p>
      <w:pPr>
        <w:spacing w:before="0" w:after="120"/>
      </w:pPr>
      <w:r/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تنظیم بهینهٔ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>MAXDOP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 (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>Max Degree of Parallelism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>)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/>
              <w:spacing w:line="336" w:lineRule="auto" w:after="12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برای پایگاه‌های دادهٔ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OLTP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با ماهیت تراکنشی سریع، مقدار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max degree of parallelism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 متناسب با تعداد هسته‌های فیزیکی هر پردازنده (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NUMA Node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)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تنظیم نمایید.</w:t>
            </w:r>
          </w:p>
        </w:tc>
      </w:tr>
    </w:tbl>
    <w:p>
      <w:pPr>
        <w:spacing w:before="0" w:after="120"/>
      </w:pPr>
      <w:r/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9638"/>
      </w:tblGrid>
      <w:tr>
        <w:tc>
          <w:tcPr>
            <w:tcW w:type="dxa" w:w="9638"/>
            <w:shd w:val="clear" w:color="auto" w:fill="FBF7F4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8B6914"/>
                <w:lang w:val="en-US" w:bidi="fa-IR"/>
              </w:rPr>
              <w:t>هشدار پیکربندی حافظه (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8B6914"/>
                <w:lang w:val="en-US" w:bidi="fa-IR"/>
              </w:rPr>
              <w:t>Max Server Memory Warning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8B6914"/>
                <w:lang w:val="en-US" w:bidi="fa-IR"/>
              </w:rPr>
              <w:t>)</w:t>
            </w:r>
          </w:p>
        </w:tc>
      </w:tr>
      <w:tr>
        <w:tc>
          <w:tcPr>
            <w:tcW w:type="dxa" w:w="9638"/>
            <w:shd w:val="clear" w:color="auto" w:fill="FBF7F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/>
              <w:spacing w:line="336" w:lineRule="auto" w:after="12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مقدار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Max Server Memory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در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SQL Server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حتماً باید حداقل ۲ تا ۴ گیگابایت کمتر از کل حافظه فیزیکی سرور (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Host RAM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)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تعیین شود تا سیستم‌عامل با کمبود رم (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Memory Starvation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)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مواجه نشود.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۱.۲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مقایسه شاخص‌های کلیدی کارایی (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Key Performance Indicators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)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تست‌های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بنچمارک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ابزار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Apache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JMeter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اجرای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سناریوی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همزمانی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۵۰۰۰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کاربر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مجازی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انجام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گرفت.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نتایج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حاصل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آزمون‌ها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است:</w:t>
      </w:r>
    </w:p>
    <w:tbl>
      <w:tblPr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مؤلفه سیستم (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Component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)</w:t>
            </w:r>
          </w:p>
        </w:tc>
        <w:tc>
          <w:tcPr>
            <w:tcW w:type="dxa" w:w="1928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تکنولوژی مورد استفاده</w:t>
            </w:r>
          </w:p>
        </w:tc>
        <w:tc>
          <w:tcPr>
            <w:tcW w:type="dxa" w:w="1928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شاخص کارایی (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KPI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)</w:t>
            </w:r>
          </w:p>
        </w:tc>
        <w:tc>
          <w:tcPr>
            <w:tcW w:type="dxa" w:w="1928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مقدار هدف (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Target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)</w:t>
            </w:r>
          </w:p>
        </w:tc>
        <w:tc>
          <w:tcPr>
            <w:tcW w:type="dxa" w:w="1928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مقدار اندازه‌گیری‌شده</w:t>
            </w:r>
          </w:p>
        </w:tc>
      </w:tr>
      <w:tr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پیام‌رسانی رویدادها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Apache Kafka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 3.4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Throughput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&gt; 50,000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msg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/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sec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68,500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msg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/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sec</w:t>
            </w:r>
          </w:p>
        </w:tc>
      </w:tr>
      <w:tr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ذخیره‌سازی فیزیکی داده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NVMe SSD RAID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-10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Random Read IOPS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&gt; 80,000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IOPS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94,200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IOPS</w:t>
            </w:r>
          </w:p>
        </w:tc>
      </w:tr>
      <w:tr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لایه حافظه موقت (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Cache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)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Redis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 7.2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Cluster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p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99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Read Latency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&lt; 2.0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ms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1.15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ms</w:t>
            </w:r>
          </w:p>
        </w:tc>
      </w:tr>
      <w:tr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اجرای پرس‌وجوهای پیچیده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Columnstore Index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Execution Duration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&lt; 250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ms</w:t>
            </w:r>
          </w:p>
        </w:tc>
        <w:tc>
          <w:tcPr>
            <w:tcW w:type="dxa" w:w="192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/>
              <w:jc w:val="start"/>
            </w:pPr>
            <w:r/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 xml:space="preserve">142 </w:t>
            </w:r>
            <w:r>
              <w:rPr>
                <w:rFonts w:ascii="Vazirmatn" w:hAnsi="Vazirmatn" w:cs="Vazirmatn"/>
                <w:sz w:val="20"/>
                <w:szCs w:val="20"/>
                <w:color w:val="2D2D2D"/>
                <w:lang w:val="en-US" w:bidi="fa-IR"/>
              </w:rPr>
              <w:t>ms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خروجی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پیام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وضعیت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بنچمارک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کلاستر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آپاچی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کافکا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قالب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JSON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ساختاریافته: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"benchmark_suite"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"OLTP-Throughput-Test"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"concurrency_level"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5000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"component"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"Apache Kafka 3.4"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"duration_seconds"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300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"metrics"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"total_messages_processed"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20550000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"throughput_msg_per_sec"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68500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"latency_p95_ms"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0.85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"latency_p99_ms"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1.15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62873"/>
                <w:lang w:val="en-US" w:bidi="fa-IR"/>
              </w:rPr>
              <w:t>"status"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"PASSED"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اسکریپت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پایتون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جهت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محاسبه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تحلیل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صدک‌های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تاخیر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Latency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Percentiles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بنچمارک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سیستم: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e84b5"/>
                <w:lang w:val="en-US" w:bidi="fa-IR"/>
              </w:rPr>
              <w:t>typing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List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Dict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def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6287e"/>
                <w:lang w:val="en-US" w:bidi="fa-IR"/>
              </w:rPr>
              <w:t>calculate_latency_metrics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latencies_ms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List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float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-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Dict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str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float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4070a0"/>
                <w:lang w:val="en-US" w:bidi="fa-IR"/>
              </w:rPr>
              <w:t>"""محاسبه شاخص‌های تاخیر p50، p95 و p99 برحسب میلی‌ثانیه"""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if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not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latencies_ms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p50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0.0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p95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0.0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p99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0.0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sorted_lats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sorted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latencies_ms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len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sorted_lats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p50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sorted_lats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int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*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0.50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p95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sorted_lats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int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*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0.95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   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p99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"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sorted_lats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int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*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a070"/>
                <w:lang w:val="en-US" w:bidi="fa-IR"/>
              </w:rPr>
              <w:t>0.99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,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 xml:space="preserve">  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</w:tc>
      </w:tr>
    </w:tbl>
    <w:p>
      <w:pPr>
        <w:spacing w:before="0" w:after="120"/>
      </w:pPr>
      <w:r/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26065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6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40" w:after="200"/>
        <w:jc w:val="center"/>
      </w:pP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گراف مقایسه مصرف پردازنده و توان عملیاتی در طول تست فشار</w:t>
      </w:r>
    </w:p>
    <w:tbl>
      <w:tblPr>
        <w:tblW w:type="dxa" w:w="9638"/>
        <w:tblLayout w:type="fixed"/>
        <w:tblLook w:firstColumn="1" w:firstRow="1" w:lastColumn="0" w:lastRow="0" w:noHBand="0" w:noVBand="1" w:val="04A0"/>
        <w:bidiVisual/>
      </w:tblPr>
      <w:tblGrid>
        <w:gridCol w:w="936"/>
        <w:gridCol w:w="8702"/>
      </w:tblGrid>
      <w:tr>
        <w:tc>
          <w:tcPr>
            <w:tcW w:type="dxa" w:w="936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/>
              </w:rPr>
              <w:t>۱.۳</w:t>
            </w:r>
          </w:p>
        </w:tc>
        <w:tc>
          <w:tcPr>
            <w:tcW w:type="dxa" w:w="8702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/>
              <w:jc w:val="start"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دستورالعمل‌های عملیاتی و نگه‌داری (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Maintenance Guidelines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)</w:t>
            </w:r>
          </w:p>
        </w:tc>
      </w:tr>
    </w:tbl>
    <w:p>
      <w:pPr>
        <w:spacing w:before="0" w:after="120"/>
      </w:pPr>
      <w:r/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حفظ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بالاترین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نرخ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کارایی،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وظایف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نگه‌داری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هفتگی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شامل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موارد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است:</w:t>
      </w:r>
    </w:p>
    <w:p>
      <w:pPr>
        <w:bidi/>
        <w:spacing w:after="60" w:line="336" w:lineRule="auto"/>
        <w:ind w:right="360"/>
        <w:jc w:val="start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-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بازسازی شاخص‌ها 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Index Rebuild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&amp;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Reorganize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)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 روی جداول با پراکندگی بیش از ۲۰ درصد</w:t>
      </w:r>
    </w:p>
    <w:p>
      <w:pPr>
        <w:bidi/>
        <w:spacing w:after="60" w:line="336" w:lineRule="auto"/>
        <w:ind w:right="360"/>
        <w:jc w:val="start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-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به‌روزرسانی آمارها 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Update Statistics with FullScan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)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 صورت خودکار در ساعات کم‌ترافیک</w:t>
      </w:r>
    </w:p>
    <w:p>
      <w:pPr>
        <w:bidi/>
        <w:spacing w:after="60" w:line="336" w:lineRule="auto"/>
        <w:ind w:right="360"/>
        <w:jc w:val="start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-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بررسی گزارش‌های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Deadlock Analysis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 اصلاح الگوهای تراکنش در سطح کدهای نرم‌افزار</w:t>
      </w:r>
    </w:p>
    <w:p>
      <w:pPr>
        <w:bidi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اسکریپت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مداوم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کارایی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بازسازی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ایندکس‌ها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TypeScript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import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ConnectionPool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'mssql'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interface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IndexHealthReport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tableName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indexName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string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fragmentationPercent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number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export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async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function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checkFragmentation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pool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902000"/>
                <w:lang w:val="en-US" w:bidi="fa-IR"/>
              </w:rPr>
              <w:t>ConnectionPool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: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007020"/>
                <w:lang w:val="en-US" w:bidi="fa-IR"/>
              </w:rPr>
              <w:t>Promise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IndexHealthReport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{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const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query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`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 xml:space="preserve">    SELECT OBJECT_NAME(object_id) AS tableName, name AS indexName, avg_fragmentation_in_percent AS fragmentationPercent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 xml:space="preserve">    FROM sys.dm_db_index_physical_stats(DB_ID(), NULL, NULL, NULL, 'LIMITED')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 xml:space="preserve">    WHERE avg_fragmentation_in_percent &gt; 20.0;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color w:val="4070a0"/>
                <w:lang w:val="en-US" w:bidi="fa-IR"/>
              </w:rPr>
              <w:t>`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const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result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=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await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pool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request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query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&lt;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IndexHealthReport</w:t>
            </w:r>
            <w:r>
              <w:rPr>
                <w:rFonts w:ascii="Courier New" w:hAnsi="Courier New" w:cs="Vazirmatn"/>
                <w:sz w:val="19"/>
                <w:szCs w:val="19"/>
                <w:color w:val="666666"/>
                <w:lang w:val="en-US" w:bidi="fa-IR"/>
              </w:rPr>
              <w:t>&gt;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(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query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)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</w:rPr>
              <w:t>return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result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.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recordset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;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</w:rPr>
              <w:t>}</w:t>
            </w:r>
          </w:p>
        </w:tc>
      </w:tr>
    </w:tbl>
    <w:p>
      <w:pPr>
        <w:spacing w:before="0" w:after="120"/>
      </w:pPr>
      <w:r/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86646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664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40" w:after="200"/>
        <w:jc w:val="center"/>
      </w:pP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>نمای دیاگرام فیزیکی سخت‌افزار و چیدمان سرورها در رک دیتاسنتر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jc w:val="both"/>
    </w:pPr>
    <w:rPr>
      <w:rFonts w:ascii="Vazirmatn" w:hAnsi="Vazirmatn" w:cs="Vazirmatn"/>
      <w:sz w:val="22"/>
      <w:szCs w:val="22"/>
      <w:lang w:val="en-US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