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راهنمای جامع معماری داده و سرویس‌ها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توزیع‌شده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امروزی،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اساسی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کسب‌وکار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تشریح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ساختار میکروسرویس‌ها و تبادل پیام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موظف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Synchronous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پروتکل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gRPC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داخلی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کم‌تاخیر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Domain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Events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Message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Broker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Asynchronous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کلیدی پایگاه داده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36" w:lineRule="auto" w:after="12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همیشه اتصال‌های پایگاه داده را با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Connection Pooling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مدیریت کنید تا از اشباع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Worker Thread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ها جلوگیری شود. برای سرویس‌های پربار، اندازه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Pool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 متناسب با ظرفیت پردازنده تنظیم 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 مهاجرت داده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36" w:lineRule="auto" w:after="12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پیش از اجرای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 Migration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بر روی سرورهای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 حتماً از دیتابیس پشتیبان‌گیری کامل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Full 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انجام دهید و اسکریپت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Rollback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 آزمایش کنید.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011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1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شکل ۱-۱. جریان پردازش پیام‌ها و تعامل میکروسرویس‌ها در معماری توزیع‌شده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سفارش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Courier New" w:hAnsi="Courier New" w:cs="Courier New"/>
          <w:sz w:val="22"/>
          <w:szCs w:val="22"/>
          <w:color w:val="2D2D2D"/>
          <w:lang w:val="en-US" w:bidi="fa-IR"/>
        </w:rPr>
        <w:t>OrderCreated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"eventId"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"evt-883491-a1b"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"eventType"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"OrderCreated"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"aggregateId"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"ord-2024-9982"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"2026-09-05T14:20:00Z"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"version"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"payload"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"customerId"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54021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"totalAmount"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18500000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"currency"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"IRR"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"items"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"sku"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"SRV-COMP-X1"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"quantity"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"unitPrice"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9250000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مطمئن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Transactional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Outbox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ایجاد جدول Outbox جهت پیاده‌سازی الگوی Transactional Outbox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UNIQUEIDENTIFIER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NEWSEQUENTIALID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255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MAX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PK_OutboxMessages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خواندن پیام‌های پردازش‌نشده با قفل بهینه بدون انسداد سایر تراکنش‌ها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TOP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READPAST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UPDLOCK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پس‌زمینه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Worker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Services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'amqplib'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processOrderMessage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void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content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'utf-8'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console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[Worker] دریافت رویداد پردازش سفارش: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dispatchNotification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اعلان‌های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لوله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ETL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کلاینت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asyncio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Any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httpx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dispatch_order_notification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Any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bool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</w:rPr>
              <w:t>"""ارسال ناهمگام اعلان رویداد سفارش به سرویس پیام‌رسان کاربری"""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Content-Type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application/json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X-Event-Source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OrderService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AsyncClient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timeout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status_code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200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except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RequestError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False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مانیتورینگ و داشبوردهای عملیاتی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پیوسته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یکپارچه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مبتنی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Prometheus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Grafana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معیارهای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حیاتی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میزان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مصرف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حافظه،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95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نمای پنل مانیتورینگ و داشبورد مدیریتی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۱.۲.۱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تحلیل جدول مشخصات سرویس‌های کلیدی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خلاصه‌ای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نیازمندی‌های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می‌دهد: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 سرویس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وظیفه اصلی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 ارتباطی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 حساسیت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 پایداری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احراز هویت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Auth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صدور و اعتبارسنجی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JWT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gRPC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HTTPS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حیاتی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0)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پایدار و فعال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مدیریت کاتالوگ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ارائه لیست محصولات و قیمت‌ها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REST API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HTTPS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متوسط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2)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پایدار و فعال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تسویه حساب و پرداخت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اتصال به درگاه‌های بانکی شاپرک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HTTPS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Webhook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فوق‌العاده حساس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نظارت ویژه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رهگیری سفارش‌ها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پایش موقعیت مکانی و وضعیت انبار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WebSocket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REST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عادی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3)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پایدار و فعال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ملاحظات امنیتی و ایزوله‌سازی منابع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امنیت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ایزوله‌سازی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منابع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زیرساخت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پورت‌های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Private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مسدود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بوده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حداقل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اختیارات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اتصال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646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6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ساختار توزیع منابع و خوشه‌بندی سرورها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پایانی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36" w:lineRule="auto" w:after="12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تیم‌های توسعه ملزم هستند پیش از هر بارگذاری تغییرات روی محیط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 فرایند بازبینی کد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Peer Review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 آزمون‌های بارگذاری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Load Testing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 با موفقیت سپری نمایند.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