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header2.xml" ContentType="application/vnd.openxmlformats-officedocument.wordprocessingml.header+xml"/>
  <ns0:Override PartName="/word/header3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FFFFFF"/>
                <w:lang w:val="en-US" w:bidi="fa-IR"/>
                <w:rtl w:val="1"/>
              </w:rPr>
              <w:t>۱.۰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0"/>
            </w:pPr>
            <w:bookmarkStart w:id="1" w:name="md_____________________________075299df"/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عنوان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یک: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معماری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32"/>
                <w:szCs w:val="32"/>
                <w:b/>
                <w:bCs/>
                <w:color w:val="2D2D2D"/>
                <w:lang w:val="en-US" w:bidi="fa-IR"/>
                <w:rtl w:val="1"/>
                <w:cs w:val="1"/>
              </w:rPr>
              <w:t>سرویس‌ها</w:t>
            </w:r>
            <w:bookmarkEnd w:id="1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پاراگراف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فارسی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واژگان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لاتین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مانند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SQL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Server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Docker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Engine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سنجش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BiDi.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00"/>
        <w:gridCol w:w="8438"/>
      </w:tblGrid>
      <w:tr>
        <w:trPr>
          <w:cantSplit/>
        </w:trPr>
        <w:tc>
          <w:tcPr>
            <w:tcW w:type="dxa" w:w="120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FFFFFF"/>
                <w:lang w:val="en-US" w:bidi="fa-IR"/>
                <w:rtl w:val="1"/>
              </w:rPr>
              <w:t>۱.۱</w:t>
            </w:r>
          </w:p>
        </w:tc>
        <w:tc>
          <w:tcPr>
            <w:tcW w:type="dxa" w:w="843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1"/>
            </w:pPr>
            <w:bookmarkStart w:id="2" w:name="md______________________________12526896"/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عنوان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دو: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پیکربندی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8"/>
                <w:szCs w:val="28"/>
                <w:b/>
                <w:bCs/>
                <w:color w:val="2D2D2D"/>
                <w:lang w:val="en-US" w:bidi="fa-IR"/>
                <w:rtl w:val="1"/>
                <w:cs w:val="1"/>
              </w:rPr>
              <w:t>نگارش</w:t>
            </w:r>
            <w:bookmarkEnd w:id="2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استایل‌های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درون‌خطی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مختلف: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b/>
          <w:bCs/>
          <w:color w:val="2D2D2D"/>
          <w:lang w:val="en-US" w:bidi="fa-IR"/>
          <w:rtl w:val="1"/>
          <w:cs w:val="1"/>
        </w:rPr>
        <w:t>حالت</w:t>
      </w:r>
      <w:r>
        <w:rPr>
          <w:rFonts w:ascii="Vazirmatn" w:hAnsi="Vazirmatn" w:cs="Vazirmatn" w:eastAsia="Vazirmatn"/>
          <w:sz w:val="22"/>
          <w:szCs w:val="22"/>
          <w:b/>
          <w:bCs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b/>
          <w:bCs/>
          <w:color w:val="2D2D2D"/>
          <w:lang w:val="en-US" w:bidi="fa-IR"/>
          <w:rtl w:val="1"/>
          <w:cs w:val="1"/>
        </w:rPr>
        <w:t>پررنگ</w:t>
      </w:r>
      <w:r>
        <w:rPr>
          <w:rFonts w:ascii="Vazirmatn" w:hAnsi="Vazirmatn" w:cs="Vazirmatn" w:eastAsia="Vazirmatn"/>
          <w:sz w:val="22"/>
          <w:szCs w:val="22"/>
          <w:b/>
          <w:bCs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b/>
          <w:bCs/>
          <w:color w:val="2D2D2D"/>
          <w:lang w:val="en-US" w:bidi="fa-IR"/>
          <w:rtl w:val="0"/>
          <w:cs w:val="0"/>
        </w:rPr>
        <w:t>(Bold)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i/>
          <w:iCs/>
          <w:color w:val="2D2D2D"/>
          <w:lang w:val="en-US" w:bidi="fa-IR"/>
          <w:rtl w:val="1"/>
          <w:cs w:val="1"/>
        </w:rPr>
        <w:t>حالت</w:t>
      </w:r>
      <w:r>
        <w:rPr>
          <w:rFonts w:ascii="Vazirmatn" w:hAnsi="Vazirmatn" w:cs="Vazirmatn" w:eastAsia="Vazirmatn"/>
          <w:sz w:val="22"/>
          <w:szCs w:val="22"/>
          <w:i/>
          <w:iCs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i/>
          <w:iCs/>
          <w:color w:val="2D2D2D"/>
          <w:lang w:val="en-US" w:bidi="fa-IR"/>
          <w:rtl w:val="1"/>
          <w:cs w:val="1"/>
        </w:rPr>
        <w:t>کج</w:t>
      </w:r>
      <w:r>
        <w:rPr>
          <w:rFonts w:ascii="Vazirmatn" w:hAnsi="Vazirmatn" w:cs="Vazirmatn" w:eastAsia="Vazirmatn"/>
          <w:sz w:val="22"/>
          <w:szCs w:val="22"/>
          <w:i/>
          <w:iCs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i/>
          <w:iCs/>
          <w:color w:val="2D2D2D"/>
          <w:lang w:val="en-US" w:bidi="fa-IR"/>
          <w:rtl w:val="0"/>
          <w:cs w:val="0"/>
        </w:rPr>
        <w:t>(Italic)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>پررنگ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>کج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>(</w:t>
      </w:r>
      <w:r>
        <w:rPr>
          <w:rFonts w:ascii="Segoe UI" w:hAnsi="Segoe UI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0"/>
          <w:cs w:val="0"/>
        </w:rPr>
        <w:t>Bold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0"/>
          <w:cs w:val="0"/>
        </w:rPr>
        <w:t>Italic</w:t>
      </w:r>
      <w:r>
        <w:rPr>
          <w:rFonts w:ascii="Vazirmatn" w:hAnsi="Vazirmatn" w:cs="Vazirmatn" w:eastAsia="Vazirmatn"/>
          <w:sz w:val="22"/>
          <w:szCs w:val="22"/>
          <w:b/>
          <w:bCs/>
          <w:i/>
          <w:iCs/>
          <w:color w:val="2D2D2D"/>
          <w:lang w:val="en-US" w:bidi="fa-IR"/>
          <w:rtl w:val="1"/>
          <w:cs w:val="1"/>
        </w:rPr>
        <w:t>)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strike/>
          <w:color w:val="2D2D2D"/>
          <w:lang w:val="en-US" w:bidi="fa-IR"/>
          <w:rtl w:val="1"/>
          <w:cs w:val="1"/>
        </w:rPr>
        <w:t>خط‌خورده</w:t>
      </w:r>
      <w:r>
        <w:rPr>
          <w:rFonts w:ascii="Vazirmatn" w:hAnsi="Vazirmatn" w:cs="Vazirmatn" w:eastAsia="Vazirmatn"/>
          <w:sz w:val="22"/>
          <w:szCs w:val="22"/>
          <w:strike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strike/>
          <w:color w:val="2D2D2D"/>
          <w:lang w:val="en-US" w:bidi="fa-IR"/>
          <w:rtl w:val="0"/>
          <w:cs w:val="0"/>
        </w:rPr>
        <w:t>(Strikeout)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توان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ریاضی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vertAlign w:val="superscript"/>
          <w:color w:val="2D2D2D"/>
          <w:lang w:val="en-US" w:bidi="fa-IR"/>
          <w:rtl w:val="1"/>
          <w:cs w:val="1"/>
        </w:rPr>
        <w:t>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زیروند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شیمیایی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vertAlign w:val="subscript"/>
          <w:color w:val="2D2D2D"/>
          <w:lang w:val="en-US" w:bidi="fa-IR"/>
          <w:rtl w:val="1"/>
          <w:cs w:val="1"/>
        </w:rPr>
        <w:t>۲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درون‌خطی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Courier New" w:hAnsi="Courier New" w:cs="Courier New" w:eastAsia="Courier New"/>
          <w:sz w:val="22"/>
          <w:szCs w:val="22"/>
          <w:color w:val="2D2D2D"/>
          <w:lang w:val="en-US" w:bidi="fa-IR"/>
          <w:rtl w:val="0"/>
          <w:cs w:val="0"/>
        </w:rPr>
        <w:t>const port = 8080;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قلم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مونو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296"/>
        <w:gridCol w:w="8342"/>
      </w:tblGrid>
      <w:tr>
        <w:trPr>
          <w:cantSplit/>
        </w:trPr>
        <w:tc>
          <w:tcPr>
            <w:tcW w:type="dxa" w:w="1296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</w:t>
            </w:r>
          </w:p>
        </w:tc>
        <w:tc>
          <w:tcPr>
            <w:tcW w:type="dxa" w:w="834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2"/>
            </w:pPr>
            <w:bookmarkStart w:id="3" w:name="md______________________________08429a41"/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عنوان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سه: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پیوندها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تصاویر</w:t>
            </w:r>
            <w:bookmarkEnd w:id="3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hyperlink r:id="rId15">
        <w:r>
          <w:rPr>
            <w:rFonts w:ascii="Vazirmatn" w:hAnsi="Vazirmatn" w:cs="Vazirmatn" w:eastAsia="Vazirmatn"/>
            <w:sz w:val="22"/>
            <w:szCs w:val="22"/>
            <w:color w:val="0563C1"/>
            <w:lang w:val="en-US" w:bidi="fa-IR"/>
            <w:rtl w:val="1"/>
            <w:cs w:val="1"/>
          </w:rPr>
          <w:t>پیوند</w:t>
        </w:r>
        <w:r>
          <w:rPr>
            <w:rFonts w:ascii="Vazirmatn" w:hAnsi="Vazirmatn" w:cs="Vazirmatn" w:eastAsia="Vazirmatn"/>
            <w:sz w:val="22"/>
            <w:szCs w:val="22"/>
            <w:color w:val="0563C1"/>
            <w:lang w:val="en-US" w:bidi="fa-IR"/>
            <w:rtl w:val="1"/>
            <w:cs w:val="1"/>
          </w:rPr>
          <w:t xml:space="preserve"> </w:t>
        </w:r>
        <w:r>
          <w:rPr>
            <w:rFonts w:ascii="Vazirmatn" w:hAnsi="Vazirmatn" w:cs="Vazirmatn" w:eastAsia="Vazirmatn"/>
            <w:sz w:val="22"/>
            <w:szCs w:val="22"/>
            <w:color w:val="0563C1"/>
            <w:lang w:val="en-US" w:bidi="fa-IR"/>
            <w:rtl w:val="1"/>
            <w:cs w:val="1"/>
          </w:rPr>
          <w:t>وب</w:t>
        </w:r>
      </w:hyperlink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است.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تصویر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درون‌خطی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درون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متن: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شروع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3031366" cy="1371600"/>
            <wp:docPr id="1" name="Picture 1" descr="عکس ۱" title="عکس ۱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31366" cy="137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پایان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متن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پاراگراف.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تصویر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پیونددار: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hyperlink r:id="rId15">
        <w:r>
          <w:drawing>
            <wp:inline xmlns:a="http://schemas.openxmlformats.org/drawingml/2006/main" xmlns:pic="http://schemas.openxmlformats.org/drawingml/2006/picture">
              <wp:extent cx="3031366" cy="1371600"/>
              <wp:docPr id="2" name="Picture 2" descr="لوگوی کلیک‌خور" title="لوگوی کلیک‌خور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image.png"/>
                      <pic:cNvPicPr/>
                    </pic:nvPicPr>
                    <pic:blipFill>
                      <a:blip r:embed="rId1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1366" cy="1371600"/>
                      </a:xfrm>
                      <a:prstGeom prst="rect"/>
                    </pic:spPr>
                  </pic:pic>
                </a:graphicData>
              </a:graphic>
            </wp:inline>
          </w:drawing>
        </w:r>
      </w:hyperlink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تصویر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مستقل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عنوان: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911908" cy="1371600"/>
            <wp:docPr id="3" name="Picture 3" descr="توضیح دسترسی‌پذیری" title="شکل ۱-۲. دیاگرام استقرار سروره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1908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1670"/>
        <w:gridCol w:w="7968"/>
      </w:tblGrid>
      <w:tr>
        <w:trPr>
          <w:cantSplit/>
        </w:trPr>
        <w:tc>
          <w:tcPr>
            <w:tcW w:type="dxa" w:w="1670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۱.۱.۱.۱</w:t>
            </w:r>
          </w:p>
        </w:tc>
        <w:tc>
          <w:tcPr>
            <w:tcW w:type="dxa" w:w="796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3"/>
            </w:pPr>
            <w:bookmarkStart w:id="4" w:name="md______________________________29611746"/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عنوان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چهار: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لیست‌های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تو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تو</w:t>
            </w:r>
            <w:bookmarkEnd w:id="4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۱.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گام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اول: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آماده‌سازی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سرور</w:t>
      </w:r>
    </w:p>
    <w:p>
      <w:pPr>
        <w:bidi w:val="1"/>
        <w:spacing w:line="336" w:lineRule="auto" w:after="40"/>
        <w:ind w:right="103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۱.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نصب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پکیج‌های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پایه</w:t>
      </w:r>
    </w:p>
    <w:p>
      <w:pPr>
        <w:bidi w:val="1"/>
        <w:spacing w:line="336" w:lineRule="auto" w:after="40"/>
        <w:ind w:right="103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۲.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پیکربندی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فایروال</w:t>
      </w:r>
    </w:p>
    <w:p>
      <w:pPr>
        <w:bidi w:val="1"/>
        <w:spacing w:line="336" w:lineRule="auto" w:after="40"/>
        <w:ind w:right="67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۲.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گام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دوم: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راه‌اندازی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پایگاه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داده</w:t>
      </w:r>
    </w:p>
    <w:p>
      <w:pPr>
        <w:bidi w:val="1"/>
        <w:spacing w:line="336" w:lineRule="auto" w:after="40"/>
        <w:ind w:right="103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ایجاد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دیتابیس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Courier New" w:hAnsi="Courier New" w:cs="Courier New" w:eastAsia="Courier New"/>
          <w:sz w:val="22"/>
          <w:szCs w:val="22"/>
          <w:color w:val="2D2D2D"/>
          <w:lang w:val="en-US" w:bidi="fa-IR"/>
          <w:rtl w:val="0"/>
          <w:cs w:val="0"/>
        </w:rPr>
        <w:t>ProductionDB</w:t>
      </w:r>
    </w:p>
    <w:p>
      <w:pPr>
        <w:bidi w:val="1"/>
        <w:spacing w:line="336" w:lineRule="auto" w:after="40"/>
        <w:ind w:right="1037" w:hanging="317"/>
        <w:jc w:val="right"/>
      </w:pPr>
      <w:r>
        <w:rPr>
          <w:rFonts w:ascii="Vazirmatn" w:hAnsi="Vazirmatn" w:cs="Vazirmatn" w:eastAsia="Vazirmatn"/>
          <w:sz w:val="22"/>
          <w:szCs w:val="22"/>
          <w:lang w:val="en-US" w:bidi="fa-IR"/>
        </w:rPr>
        <w:t xml:space="preserve">-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ایجاد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کاربر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ادمین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2044"/>
        <w:gridCol w:w="7594"/>
      </w:tblGrid>
      <w:tr>
        <w:trPr>
          <w:cantSplit/>
        </w:trPr>
        <w:tc>
          <w:tcPr>
            <w:tcW w:type="dxa" w:w="2044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۱.۱.۱.۱.۱</w:t>
            </w:r>
          </w:p>
        </w:tc>
        <w:tc>
          <w:tcPr>
            <w:tcW w:type="dxa" w:w="7594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4"/>
            </w:pPr>
            <w:bookmarkStart w:id="5" w:name="md______________________________8e59d2ec"/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عنوان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پنج: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نقل‌قول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تعاریف</w:t>
            </w:r>
            <w:bookmarkEnd w:id="5"/>
          </w:p>
        </w:tc>
      </w:tr>
    </w:tbl>
    <w:p>
      <w:pPr>
        <w:spacing w:before="0" w:after="120"/>
        <w:keepNext/>
      </w:pPr>
      <w:r/>
    </w:p>
    <w:p>
      <w:pPr>
        <w:bidi w:val="1"/>
        <w:spacing w:line="336" w:lineRule="auto" w:after="120"/>
        <w:jc w:val="right"/>
        <w:pBdr>
          <w:right w:val="single" w:sz="96" w:space="15" w:color="6B2FA0"/>
        </w:pBdr>
        <w:shd w:val="clear" w:color="auto" w:fill="ECE4F1"/>
      </w:pP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یک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نقل‌قول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چندخطی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است.</w:t>
      </w:r>
    </w:p>
    <w:p>
      <w:pPr>
        <w:bidi w:val="1"/>
        <w:spacing w:line="336" w:lineRule="auto" w:after="120"/>
        <w:jc w:val="right"/>
        <w:pBdr>
          <w:right w:val="single" w:sz="96" w:space="15" w:color="6B2FA0"/>
        </w:pBdr>
        <w:shd w:val="clear" w:color="auto" w:fill="ECE4F1"/>
      </w:pP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خط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دوم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نقل‌قول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که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توضیح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تکمیلی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آمده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1"/>
          <w:szCs w:val="21"/>
          <w:color w:val="2D2D2D"/>
          <w:lang w:val="en-US" w:bidi="fa-IR"/>
          <w:rtl w:val="1"/>
          <w:cs w:val="1"/>
        </w:rPr>
        <w:t>است.</w:t>
      </w:r>
    </w:p>
    <w:p>
      <w:pPr>
        <w:bidi w:val="1"/>
        <w:spacing w:line="336" w:lineRule="auto" w:before="120" w:after="40"/>
        <w:jc w:val="right"/>
      </w:pPr>
      <w:r>
        <w:rPr>
          <w:rFonts w:ascii="Vazirmatn" w:hAnsi="Vazirmatn" w:cs="Vazirmatn" w:eastAsia="Vazirmatn"/>
          <w:sz w:val="22"/>
          <w:szCs w:val="22"/>
          <w:b/>
          <w:bCs/>
          <w:color w:val="2D2D2D"/>
          <w:lang w:val="en-US" w:bidi="fa-IR"/>
          <w:rtl w:val="1"/>
          <w:cs w:val="1"/>
        </w:rPr>
        <w:t>اصطلاح</w:t>
      </w:r>
      <w:r>
        <w:rPr>
          <w:rFonts w:ascii="Vazirmatn" w:hAnsi="Vazirmatn" w:cs="Vazirmatn" w:eastAsia="Vazirmatn"/>
          <w:sz w:val="22"/>
          <w:szCs w:val="22"/>
          <w:b/>
          <w:bCs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b/>
          <w:bCs/>
          <w:color w:val="2D2D2D"/>
          <w:lang w:val="en-US" w:bidi="fa-IR"/>
          <w:rtl w:val="1"/>
          <w:cs w:val="1"/>
        </w:rPr>
        <w:t>اول</w:t>
      </w:r>
    </w:p>
    <w:p>
      <w:pPr>
        <w:bidi w:val="1"/>
        <w:spacing w:line="336" w:lineRule="auto" w:after="80"/>
        <w:ind w:right="432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تعریف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اصطلاح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لیست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تعاریف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heading_badge"/>
        <w:bidiVisual/>
      </w:tblPr>
      <w:tblGrid>
        <w:gridCol w:w="2419"/>
        <w:gridCol w:w="7219"/>
      </w:tblGrid>
      <w:tr>
        <w:trPr>
          <w:cantSplit/>
        </w:trPr>
        <w:tc>
          <w:tcPr>
            <w:tcW w:type="dxa" w:w="2419"/>
            <w:shd w:val="clear" w:color="auto" w:fill="6B2FA0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  <w:keepNext/>
              <w:keepLines/>
            </w:pP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FFFFFF"/>
                <w:lang w:val="en-US" w:bidi="fa-IR"/>
                <w:rtl w:val="1"/>
              </w:rPr>
              <w:t>۱.۱.۱.۱.۱.۱</w:t>
            </w:r>
          </w:p>
        </w:tc>
        <w:tc>
          <w:tcPr>
            <w:tcW w:type="dxa" w:w="7219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none"/>
              <w:bottom w:val="single" w:sz="14" w:space="4" w:color="6B2FA0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  <w:outlineLvl w:val="5"/>
            </w:pPr>
            <w:bookmarkStart w:id="6" w:name="md______________________________d0d937df"/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عنوان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سطح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شش: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جدول‌ها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و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6"/>
                <w:szCs w:val="26"/>
                <w:b/>
                <w:bCs/>
                <w:color w:val="2D2D2D"/>
                <w:lang w:val="en-US" w:bidi="fa-IR"/>
                <w:rtl w:val="1"/>
                <w:cs w:val="1"/>
              </w:rPr>
              <w:t>فرمول‌ها</w:t>
            </w:r>
            <w:bookmarkEnd w:id="6"/>
          </w:p>
        </w:tc>
      </w:tr>
    </w:tbl>
    <w:p>
      <w:pPr>
        <w:spacing w:before="0" w:after="120"/>
        <w:keepNext/>
      </w:pPr>
      <w:r/>
    </w:p>
    <w:tbl>
      <w:tblPr>
        <w:tblW w:type="dxa" w:w="9636"/>
        <w:tblLayout w:type="fixed"/>
        <w:tblLook w:firstColumn="1" w:firstRow="1" w:lastColumn="0" w:lastRow="0" w:noHBand="0" w:noVBand="1" w:val="04A0"/>
        <w:tblDescription w:val="data_table"/>
        <w:bidiVisual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شناسه</w:t>
            </w:r>
          </w:p>
        </w:tc>
        <w:tc>
          <w:tcPr>
            <w:tcW w:type="dxa" w:w="240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نام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مؤلفه</w:t>
            </w:r>
          </w:p>
        </w:tc>
        <w:tc>
          <w:tcPr>
            <w:tcW w:type="dxa" w:w="240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center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پروتکل</w:t>
            </w:r>
          </w:p>
        </w:tc>
        <w:tc>
          <w:tcPr>
            <w:tcW w:type="dxa" w:w="2409"/>
            <w:shd w:val="clear" w:color="auto" w:fill="6B2FA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b/>
                <w:bCs/>
                <w:color w:val="FFFFFF"/>
                <w:lang w:val="en-US" w:bidi="fa-IR"/>
                <w:rtl w:val="1"/>
                <w:cs w:val="1"/>
              </w:rPr>
              <w:t>وضعیت</w:t>
            </w:r>
          </w:p>
        </w:tc>
      </w:tr>
      <w:tr>
        <w:tc>
          <w:tcPr>
            <w:tcW w:type="dxa" w:w="240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101</w:t>
            </w:r>
          </w:p>
        </w:tc>
        <w:tc>
          <w:tcPr>
            <w:tcW w:type="dxa" w:w="240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Auth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Gateway</w:t>
            </w:r>
          </w:p>
        </w:tc>
        <w:tc>
          <w:tcPr>
            <w:tcW w:type="dxa" w:w="240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center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HTTPS</w:t>
            </w:r>
          </w:p>
        </w:tc>
        <w:tc>
          <w:tcPr>
            <w:tcW w:type="dxa" w:w="240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فعال</w:t>
            </w:r>
          </w:p>
        </w:tc>
      </w:tr>
      <w:tr>
        <w:tc>
          <w:tcPr>
            <w:tcW w:type="dxa" w:w="240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102</w:t>
            </w:r>
          </w:p>
        </w:tc>
        <w:tc>
          <w:tcPr>
            <w:tcW w:type="dxa" w:w="240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left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Worker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Queue</w:t>
            </w:r>
          </w:p>
        </w:tc>
        <w:tc>
          <w:tcPr>
            <w:tcW w:type="dxa" w:w="240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0"/>
              <w:spacing w:line="276" w:lineRule="auto" w:after="80"/>
              <w:jc w:val="center"/>
            </w:pPr>
            <w:r>
              <w:rPr>
                <w:rFonts w:ascii="Segoe UI" w:hAnsi="Segoe UI" w:cs="Vazirmatn" w:eastAsia="Vazirmatn"/>
                <w:sz w:val="21"/>
                <w:szCs w:val="21"/>
                <w:color w:val="2D2D2D"/>
                <w:lang w:val="en-US" w:bidi="fa-IR"/>
                <w:rtl w:val="0"/>
                <w:cs w:val="0"/>
              </w:rPr>
              <w:t>AMQP</w:t>
            </w:r>
          </w:p>
        </w:tc>
        <w:tc>
          <w:tcPr>
            <w:tcW w:type="dxa" w:w="2409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PRIMARY_LIGHT"/>
              <w:bottom w:val="single" w:sz="4" w:space="0" w:color="PRIMARY_LIGHT"/>
              <w:left w:val="single" w:sz="4" w:space="0" w:color="PRIMARY_LIGHT"/>
              <w:right w:val="single" w:sz="4" w:space="0" w:color="PRIMARY_LIGHT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حال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پردازش</w:t>
            </w:r>
          </w:p>
        </w:tc>
      </w:tr>
    </w:tbl>
    <w:p>
      <w:pPr>
        <w:spacing w:before="0" w:after="120"/>
      </w:pPr>
      <w:r/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فرمول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ریاضی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درون‌خطی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و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فرمول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مستقل: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</m:oMath>
      </m:oMathPara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پاورقی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نمونه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ارجاع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فنی</w:t>
      </w:r>
      <w:r>
        <w:rPr>
          <w:vertAlign w:val="superscript"/>
        </w:rPr>
        <w:footnoteReference w:id="1"/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.</w:t>
      </w:r>
    </w:p>
    <w:p>
      <w:pPr>
        <w:bidi w:val="1"/>
        <w:spacing w:line="336" w:lineRule="auto" w:after="120"/>
        <w:jc w:val="right"/>
      </w:pP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اول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با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تگ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شکست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Segoe UI" w:hAnsi="Segoe UI" w:cs="Vazirmatn" w:eastAsia="Vazirmatn"/>
          <w:sz w:val="22"/>
          <w:szCs w:val="22"/>
          <w:color w:val="2D2D2D"/>
          <w:lang w:val="en-US" w:bidi="fa-IR"/>
          <w:rtl w:val="0"/>
          <w:cs w:val="0"/>
        </w:rPr>
        <w:t>HTML</w:t>
      </w:r>
      <w:r>
        <w:br/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خط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دوم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پس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از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شکست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22"/>
          <w:szCs w:val="22"/>
          <w:color w:val="2D2D2D"/>
          <w:lang w:val="en-US" w:bidi="fa-IR"/>
          <w:rtl w:val="1"/>
          <w:cs w:val="1"/>
        </w:rPr>
        <w:t>خط.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i/>
                <w:iCs/>
                <w:color w:val="60a0b0"/>
                <w:lang w:val="en-US" w:bidi="fa-IR"/>
                <w:rtl w:val="0"/>
              </w:rPr>
              <w:t># کد نمونه پایتون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def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6287e"/>
                <w:lang w:val="en-US" w:bidi="fa-IR"/>
                <w:rtl w:val="0"/>
              </w:rPr>
              <w:t>calculate_metrics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items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list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-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&gt;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int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:</w:t>
            </w:r>
          </w:p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  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return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007020"/>
                <w:lang w:val="en-US" w:bidi="fa-IR"/>
                <w:rtl w:val="0"/>
              </w:rPr>
              <w:t>sum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x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2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for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x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in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items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ode_block"/>
        <w:jc w:val="center"/>
      </w:tblPr>
      <w:tblGrid>
        <w:gridCol w:w="9638"/>
      </w:tblGrid>
      <w:tr>
        <w:tc>
          <w:tcPr>
            <w:tcW w:type="dxa" w:w="9638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id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status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Services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active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40a070"/>
                <w:lang w:val="en-US" w:bidi="fa-IR"/>
                <w:rtl w:val="0"/>
              </w:rPr>
              <w:t>1</w:t>
            </w:r>
            <w:r>
              <w:rPr>
                <w:rFonts w:ascii="Courier New" w:hAnsi="Courier New" w:cs="Vazirmatn" w:eastAsia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tbl>
      <w:tblPr>
        <w:tblW w:type="dxa" w:w="9638"/>
        <w:tblLayout w:type="fixed"/>
        <w:tblLook w:firstColumn="1" w:firstRow="1" w:lastColumn="0" w:lastRow="0" w:noHBand="0" w:noVBand="1" w:val="04A0"/>
        <w:tblDescription w:val="callout"/>
        <w:bidiVisual/>
      </w:tblPr>
      <w:tblGrid>
        <w:gridCol w:w="9638"/>
      </w:tblGrid>
      <w:tr>
        <w:trPr>
          <w:cantSplit/>
        </w:trPr>
        <w:tc>
          <w:tcPr>
            <w:tcW w:type="dxa" w:w="9638"/>
            <w:shd w:val="clear" w:color="auto" w:fill="4A156D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none"/>
              <w:bottom w:val="none"/>
              <w:left w:val="none"/>
              <w:right w:val="none"/>
            </w:tcBorders>
          </w:tcPr>
          <w:p>
            <w:pPr>
              <w:bidi w:val="1"/>
              <w:jc w:val="right"/>
              <w:keepNext/>
              <w:keepLines/>
            </w:pP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 xml:space="preserve">◆ </w:t>
            </w:r>
            <w:r>
              <w:rPr>
                <w:rFonts w:ascii="Vazirmatn" w:hAnsi="Vazirmatn" w:cs="Vazirmatn" w:eastAsia="Vazirmatn"/>
                <w:sz w:val="22"/>
                <w:szCs w:val="22"/>
                <w:b/>
                <w:bCs/>
                <w:color w:val="FFFFFF"/>
                <w:lang w:val="en-US" w:bidi="fa-IR"/>
                <w:rtl w:val="1"/>
                <w:cs w:val="1"/>
              </w:rPr>
              <w:t>نکتهٔ اجرایی در کادر</w:t>
            </w:r>
          </w:p>
        </w:tc>
      </w:tr>
      <w:tr>
        <w:tc>
          <w:tcPr>
            <w:tcW w:type="dxa" w:w="9638"/>
            <w:shd w:val="clear" w:color="auto" w:fill="F7F3F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0D9EB"/>
              <w:left w:val="single" w:sz="4" w:space="0" w:color="E0D9EB"/>
              <w:right w:val="single" w:sz="4" w:space="0" w:color="E0D9EB"/>
            </w:tcBorders>
          </w:tcPr>
          <w:p>
            <w:pPr>
              <w:bidi w:val="1"/>
              <w:spacing w:line="276" w:lineRule="auto" w:after="80"/>
              <w:jc w:val="right"/>
            </w:pP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متن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راهنما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درون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کادر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یادداشت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همراه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با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بلاک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کد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تو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در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 xml:space="preserve"> </w:t>
            </w:r>
            <w:r>
              <w:rPr>
                <w:rFonts w:ascii="Vazirmatn" w:hAnsi="Vazirmatn" w:cs="Vazirmatn" w:eastAsia="Vazirmatn"/>
                <w:sz w:val="21"/>
                <w:szCs w:val="21"/>
                <w:color w:val="2D2D2D"/>
                <w:lang w:val="en-US" w:bidi="fa-IR"/>
                <w:rtl w:val="1"/>
                <w:cs w:val="1"/>
              </w:rPr>
              <w:t>تو:</w:t>
            </w:r>
          </w:p>
          <w:tbl>
            <w:tblPr>
              <w:tblW w:type="pct" w:w="5000"/>
              <w:tblLayout w:type="fixed"/>
              <w:tblLook w:firstColumn="1" w:firstRow="1" w:lastColumn="0" w:lastRow="0" w:noHBand="0" w:noVBand="1" w:val="04A0"/>
              <w:tblDescription w:val="code_block"/>
              <w:jc w:val="center"/>
            </w:tblPr>
            <w:tblGrid>
              <w:gridCol w:w="9318"/>
            </w:tblGrid>
            <w:tr>
              <w:tc>
                <w:tcPr>
                  <w:tcW w:type="dxa" w:w="9638"/>
                  <w:shd w:val="clear" w:color="auto" w:fill="F6F8FA"/>
                  <w:tcMar>
                    <w:top w:w="120" w:type="dxa"/>
                    <w:bottom w:w="120" w:type="dxa"/>
                    <w:left w:w="160" w:type="dxa"/>
                    <w:right w:w="160" w:type="dxa"/>
                  </w:tcMar>
                  <w:tcBorders>
                    <w:top w:val="single" w:sz="4" w:space="0" w:color="D0D7DE"/>
                    <w:bottom w:val="single" w:sz="4" w:space="0" w:color="D0D7DE"/>
                    <w:left w:val="single" w:sz="4" w:space="0" w:color="D0D7DE"/>
                    <w:right w:val="single" w:sz="4" w:space="0" w:color="D0D7DE"/>
                  </w:tcBorders>
                </w:tcPr>
                <w:p>
                  <w:pPr>
                    <w:bidi w:val="0"/>
                    <w:spacing w:before="0" w:after="0" w:line="276" w:lineRule="auto"/>
                    <w:jc w:val="left"/>
                  </w:pP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b/>
                      <w:bCs/>
                      <w:color w:val="007020"/>
                      <w:lang w:val="en-US" w:bidi="fa-IR"/>
                      <w:rtl w:val="0"/>
                    </w:rPr>
                    <w:t>const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24292E"/>
                      <w:lang w:val="en-US" w:bidi="fa-IR"/>
                      <w:rtl w:val="0"/>
                    </w:rPr>
                    <w:t>isServiceHealthy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666666"/>
                      <w:lang w:val="en-US" w:bidi="fa-IR"/>
                      <w:rtl w:val="0"/>
                    </w:rPr>
                    <w:t>=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24292E"/>
                      <w:lang w:val="en-US" w:bidi="fa-IR"/>
                      <w:rtl w:val="0"/>
                    </w:rPr>
                    <w:t>(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24292E"/>
                      <w:lang w:val="en-US" w:bidi="fa-IR"/>
                      <w:rtl w:val="0"/>
                    </w:rPr>
                    <w:t>status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666666"/>
                      <w:lang w:val="en-US" w:bidi="fa-IR"/>
                      <w:rtl w:val="0"/>
                    </w:rPr>
                    <w:t>: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902000"/>
                      <w:lang w:val="en-US" w:bidi="fa-IR"/>
                      <w:rtl w:val="0"/>
                    </w:rPr>
                    <w:t>number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24292E"/>
                      <w:lang w:val="en-US" w:bidi="fa-IR"/>
                      <w:rtl w:val="0"/>
                    </w:rPr>
                    <w:t>)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666666"/>
                      <w:lang w:val="en-US" w:bidi="fa-IR"/>
                      <w:rtl w:val="0"/>
                    </w:rPr>
                    <w:t>: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902000"/>
                      <w:lang w:val="en-US" w:bidi="fa-IR"/>
                      <w:rtl w:val="0"/>
                    </w:rPr>
                    <w:t>boolean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24292E"/>
                      <w:lang w:val="en-US" w:bidi="fa-IR"/>
                      <w:rtl w:val="0"/>
                    </w:rPr>
                    <w:t>=&gt;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24292E"/>
                      <w:lang w:val="en-US" w:bidi="fa-IR"/>
                      <w:rtl w:val="0"/>
                    </w:rPr>
                    <w:t>status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666666"/>
                      <w:lang w:val="en-US" w:bidi="fa-IR"/>
                      <w:rtl w:val="0"/>
                    </w:rPr>
                    <w:t>===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bbbbbb"/>
                      <w:lang w:val="en-US" w:bidi="fa-IR"/>
                      <w:rtl w:val="0"/>
                    </w:rPr>
                    <w:t xml:space="preserve"> 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40a070"/>
                      <w:lang w:val="en-US" w:bidi="fa-IR"/>
                      <w:rtl w:val="0"/>
                    </w:rPr>
                    <w:t>200</w:t>
                  </w:r>
                  <w:r>
                    <w:rPr>
                      <w:rFonts w:ascii="Courier New" w:hAnsi="Courier New" w:cs="Vazirmatn" w:eastAsia="Vazirmatn"/>
                      <w:sz w:val="19"/>
                      <w:szCs w:val="19"/>
                      <w:color w:val="24292E"/>
                      <w:lang w:val="en-US" w:bidi="fa-IR"/>
                      <w:rtl w:val="0"/>
                    </w:rPr>
                    <w:t>;</w:t>
                  </w:r>
                </w:p>
              </w:tc>
            </w:tr>
          </w:tbl>
          <w:p/>
        </w:tc>
      </w:tr>
    </w:tbl>
    <w:p>
      <w:pPr>
        <w:spacing w:before="0" w:after="120"/>
      </w:pPr>
      <w:r/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bidi w:val="1"/>
        <w:jc w:val="right"/>
      </w:pPr>
      <w:r>
        <w:rPr>
          <w:vertAlign w:val="superscript"/>
        </w:rPr>
        <w:footnoteRef/>
      </w:r>
      <w:r>
        <w:t xml:space="preserve"> 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>این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>متن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>پاورقی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>فنی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>برای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>سند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 xml:space="preserve"> </w:t>
      </w:r>
      <w:r>
        <w:rPr>
          <w:rFonts w:ascii="Vazirmatn" w:hAnsi="Vazirmatn" w:cs="Vazirmatn" w:eastAsia="Vazirmatn"/>
          <w:sz w:val="19"/>
          <w:szCs w:val="19"/>
          <w:color w:val="2D2D2D"/>
          <w:lang w:val="en-US" w:bidi="fa-IR"/>
          <w:rtl w:val="1"/>
          <w:cs w:val="1"/>
        </w:rPr>
        <w:t>است.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="http://schemas.openxmlformats.org/officeDocument/2006/math" xmlns:ns1="http://schemas.openxmlformats.org/markup-compatibility/2006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Segoe UI" w:hAnsi="Segoe UI" w:cs="Vazirmatn" w:eastAsia="Vazirmatn"/>
      <w:sz w:val="22"/>
      <w:szCs w:val="22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example.com" TargetMode="Externa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