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6B2FA0"/>
        </w:pBdr>
        <w:outlineLvl w:val="0"/>
        <w:keepNext/>
        <w:keepLines/>
      </w:pPr>
      <w:bookmarkStart w:id="1" w:name="md__________________________mer_7cdf555f"/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نمودارهای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جریان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فرآیندها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(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Mermaid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 xml:space="preserve"> </w:t>
      </w:r>
      <w:r>
        <w:rPr>
          <w:rFonts w:ascii="Segoe UI" w:hAnsi="Segoe UI" w:cs="Vazirmatn"/>
          <w:sz w:val="32"/>
          <w:szCs w:val="32"/>
          <w:b/>
          <w:bCs/>
          <w:color w:val="2D2D2D"/>
          <w:lang w:val="en-US" w:bidi="fa-IR"/>
          <w:rtl w:val="0"/>
        </w:rPr>
        <w:t>Flowchart</w:t>
      </w:r>
      <w:r>
        <w:rPr>
          <w:rFonts w:ascii="Vazirmatn" w:hAnsi="Vazirmatn" w:cs="Vazirmatn"/>
          <w:sz w:val="32"/>
          <w:szCs w:val="32"/>
          <w:b/>
          <w:bCs/>
          <w:color w:val="2D2D2D"/>
          <w:lang w:val="en-US" w:bidi="fa-IR"/>
        </w:rPr>
        <w:t>)</w:t>
      </w:r>
      <w:bookmarkEnd w:id="1"/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2" w:name="md______________________________77536a5a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دیاگرام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افقی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جریان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پردازش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کوئری</w:t>
      </w:r>
      <w:bookmarkEnd w:id="2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5760720" cy="257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>شکل ۲-۱. مسیر جریان داده از کلاینت تا دیسک فیزیکی</w:t>
      </w:r>
    </w:p>
    <w:p>
      <w:pPr>
        <w:bidi w:val="1"/>
        <w:spacing w:before="240" w:after="120"/>
        <w:jc w:val="right"/>
        <w:pBdr>
          <w:bottom w:val="single" w:sz="14" w:space="4" w:color="6B2FA0"/>
        </w:pBdr>
        <w:outlineLvl w:val="1"/>
        <w:keepNext/>
        <w:keepLines/>
      </w:pPr>
      <w:bookmarkStart w:id="3" w:name="md______________________________ad570ecf"/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دیاگرام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عمودی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لایه‌های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D2D2D"/>
          <w:lang w:val="en-US" w:bidi="fa-IR"/>
        </w:rPr>
        <w:t>امنیتی</w:t>
      </w:r>
      <w:bookmarkEnd w:id="3"/>
    </w:p>
    <w:p>
      <w:pPr>
        <w:spacing w:before="120" w:after="80"/>
        <w:jc w:val="center"/>
        <w:keepNext/>
        <w:keepLines/>
      </w:pPr>
      <w:r>
        <w:drawing>
          <wp:inline xmlns:a="http://schemas.openxmlformats.org/drawingml/2006/main" xmlns:pic="http://schemas.openxmlformats.org/drawingml/2006/picture">
            <wp:extent cx="4781906" cy="9251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906" cy="925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40" w:after="200"/>
        <w:jc w:val="center"/>
      </w:pPr>
      <w:r>
        <w:rPr>
          <w:rFonts w:ascii="Vazirmatn" w:hAnsi="Vazirmatn" w:cs="Vazirmatn"/>
          <w:sz w:val="19"/>
          <w:szCs w:val="19"/>
          <w:color w:val="5A5A5A"/>
          <w:lang w:val="en-US" w:bidi="fa-IR"/>
        </w:rPr>
        <w:t>شکل ۲-۲. لایه‌های سلسله‌مراتبی امنیت و دسترسی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Segoe UI" w:hAnsi="Segoe UI" w:cs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