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 w:val="1"/>
              </w:rPr>
              <w:t>۱.۰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0"/>
            </w:pPr>
            <w:bookmarkStart w:id="1" w:name="md______________________________bf7abccc"/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راهنمای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جامع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معماری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داده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سرویس‌ها</w:t>
            </w:r>
            <w:bookmarkEnd w:id="1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توزیع‌شده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امروزی،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هماهنگی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مختلف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ذخیره‌سازی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نقشی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اساسی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کسب‌وکار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الگوهای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تبادل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مانیتورینگ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تشریح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۱.۱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1"/>
            </w:pPr>
            <w:bookmarkStart w:id="2" w:name="md______________________________e3a7c10c"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ساختار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میکروسرویس‌ها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تبادل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پیام</w:t>
            </w:r>
            <w:bookmarkEnd w:id="2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موظف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اختصاصی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الگوی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Database-per-Service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نگه‌داری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ارتباطات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(Synchronous)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طریق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پروتکل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gRPC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تبادل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داخلی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سریع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کم‌تاخیر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رویدادها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Domain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Events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طریق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Message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Broker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صورت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(Asynchronous)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توزیع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می‌گردند.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allout"/>
        <w:bidiVisual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نکتهٔ کلیدی پایگاه داده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همیشه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اتصال‌های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پایگاه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داده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Connection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Pooling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مدیریت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کنید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اشباع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Worker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Thread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جلوگیری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شود.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سرویس‌های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پربار،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اندازه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Pool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متناسب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ظرفیت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پردازنده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تنظیم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نمایید.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allout"/>
        <w:bidiVisual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هشدار مهاجرت داده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پیش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اجرای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Migration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روی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سرورهای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Production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حتماً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دیتابیس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پشتیبان‌گیری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کامل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Full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Backup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انجام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دهید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اسکریپت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Rollback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آزمایش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کنید.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  <w:keepNext/>
        <w:keepLines/>
      </w:pPr>
      <w:r>
        <w:drawing>
          <wp:inline xmlns:a="http://schemas.openxmlformats.org/drawingml/2006/main" xmlns:pic="http://schemas.openxmlformats.org/drawingml/2006/picture">
            <wp:extent cx="5760720" cy="3809508"/>
            <wp:docPr id="1" name="Mermaid Diagram" descr="mermai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شکل ۱-۱. جریان پردازش پیام‌ها و تعامل میکروسرویس‌ها در معماری توزیع‌شده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رویداد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ثبت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سفارش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Courier New" w:hAnsi="Courier New" w:cs="Courier New"/>
          <w:sz w:val="22"/>
          <w:szCs w:val="22"/>
          <w:color w:val="2D2D2D"/>
          <w:lang w:val="en-US" w:bidi="fa-IR"/>
          <w:rtl w:val="0"/>
        </w:rPr>
        <w:t>OrderCreated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قالب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JSON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ارسال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ode_block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"eventId"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"evt-883491-a1b"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"eventType"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"OrderCreated"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"aggregateId"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"ord-2024-9982"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"timestamp"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"2026-09-05T14:20:00Z"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"version"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"payload"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"customerId"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54021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"totalAmount"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18500000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"currency"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"IRR"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"items"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"sku"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"SRV-COMP-X1"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"quantity"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2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"unitPrice"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9250000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پیاده‌سازی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الگوی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مطمئن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Transactional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Outbox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پرس‌وجوی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T-SQL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ode_block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ایجاد جدول Outbox جهت پیاده‌سازی الگوی Transactional Outbox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TABLE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OutboxMessages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UNIQUEIDENTIFIER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DEFAULT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NEWSEQUENTIALID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AggregateType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AggregateId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Type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255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Payload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MAX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CreatedAt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DATETIMEOFFSET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DEFAULT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SYSDATETIMEOFFSET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ProcessedAt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DATETIMEOFFSET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CONSTRAINT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PK_OutboxMessages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PRIMARY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CLUSTERED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GO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خواندن پیام‌های پردازش‌نشده با قفل بهینه بدون انسداد سایر تراکنش‌ها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SELECT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TOP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50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Type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Payload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OutboxMessages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WITH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READPAST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UPDLOCK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WHERE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ProcessedAt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ORDER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BY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CreatedAt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سمت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پس‌زمینه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Worker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Services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TypeScript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پیاده‌سازی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ode_block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ConsumeMessage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'amqplib'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interface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OrderEventPayload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eventId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aggregateId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function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processOrderMessage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msg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ConsumeMessage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|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Promise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void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!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msg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OrderEventPayload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parse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msg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content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toString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'utf-8'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console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log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 xml:space="preserve">[Worker] دریافت رویداد پردازش سفارش: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  <w:rtl w:val="0"/>
              </w:rPr>
              <w:t>${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aggregateId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  <w:rtl w:val="0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dispatchNotification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eventId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ارسال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اعلان‌های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رویداد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خارجی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لوله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ETL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کلاینت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پایتون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ode_block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  <w:rtl w:val="0"/>
              </w:rPr>
              <w:t>asyncio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  <w:rtl w:val="0"/>
              </w:rPr>
              <w:t>typing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Any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  <w:rtl w:val="0"/>
              </w:rPr>
              <w:t>httpx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  <w:rtl w:val="0"/>
              </w:rPr>
              <w:t>dispatch_order_notification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str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Any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webhook_url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str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bool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4070a0"/>
                <w:lang w:val="en-US" w:bidi="fa-IR"/>
                <w:rtl w:val="0"/>
              </w:rPr>
              <w:t>"""ارسال ناهمگام اعلان رویداد سفارش به سرویس پیام‌رسان کاربری"""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headers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Content-Type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application/json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X-Event-Source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OrderService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with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httpx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AsyncClient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timeout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5.0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client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try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response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client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post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webhook_url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headers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headers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response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status_code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200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except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httpx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RequestError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False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۱.۲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1"/>
            </w:pPr>
            <w:bookmarkStart w:id="3" w:name="md______________________________ebbd7d51"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مانیتورینگ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داشبوردهای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عملیاتی</w:t>
            </w:r>
            <w:bookmarkEnd w:id="3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پیوسته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سلامت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مانیتورینگ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یکپارچه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مبتنی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Prometheus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Grafana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معیارهای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حیاتی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نظیر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نرخ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درخواست‌ها،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میزان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مصرف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حافظه،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شاخص‌های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p95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p99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صورت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لحظه‌ای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ثبت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می‌گردند.</w:t>
      </w:r>
    </w:p>
    <w:p>
      <w:pPr>
        <w:spacing w:before="120" w:after="8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120130" cy="2769169"/>
            <wp:docPr id="2" name="Picture 2" descr="نمای پنل مانیتورینگ و داشبورد مدیریتی" title="نمای پنل مانیتورینگ و داشبورد مدیریت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6916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96"/>
        <w:gridCol w:w="8342"/>
      </w:tblGrid>
      <w:tr>
        <w:trPr>
          <w:cantSplit/>
        </w:trPr>
        <w:tc>
          <w:tcPr>
            <w:tcW w:type="dxa" w:w="129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 w:val="1"/>
              </w:rPr>
              <w:t>۱.۲.۱</w:t>
            </w:r>
          </w:p>
        </w:tc>
        <w:tc>
          <w:tcPr>
            <w:tcW w:type="dxa" w:w="834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2"/>
            </w:pPr>
            <w:bookmarkStart w:id="4" w:name="md______________________________8b0dd51f"/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تحلیل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جدول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مشخصات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سرویس‌های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کلیدی</w:t>
            </w:r>
            <w:bookmarkEnd w:id="4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خلاصه‌ای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وضعیت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کلیدی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نیازمندی‌های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شبکه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ذخیره‌سازی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می‌دهد: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data_table"/>
        <w:bidiVisual/>
      </w:tblPr>
      <w:tblGrid>
        <w:gridCol w:w="1928"/>
        <w:gridCol w:w="1928"/>
        <w:gridCol w:w="1928"/>
        <w:gridCol w:w="1928"/>
        <w:gridCol w:w="1926"/>
      </w:tblGrid>
      <w:tr>
        <w:trPr>
          <w:tblHeader/>
          <w:cantSplit/>
        </w:trPr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نام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سرویس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وظیفه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اصلی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پروتکل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ارتباطی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حساسیت</w:t>
            </w:r>
          </w:p>
        </w:tc>
        <w:tc>
          <w:tcPr>
            <w:tcW w:type="dxa" w:w="192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وضعیت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پایداری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احراز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هویت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(Auth)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صدور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اعتبارسنجی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JWT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gRPC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/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HTTPS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حیاتی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Tier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0)</w:t>
            </w:r>
          </w:p>
        </w:tc>
        <w:tc>
          <w:tcPr>
            <w:tcW w:type="dxa" w:w="192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فعال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مدیریت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کاتالوگ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ارائه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لیست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محصولات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قیمت‌ها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REST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API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/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HTTPS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متوسط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Tier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2)</w:t>
            </w:r>
          </w:p>
        </w:tc>
        <w:tc>
          <w:tcPr>
            <w:tcW w:type="dxa" w:w="192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فعال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تسویه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حساب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پرداخت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اتصال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درگاه‌های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بانکی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شاپرک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HTTPS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/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Webhook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فوق‌العاده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حساس</w:t>
            </w:r>
          </w:p>
        </w:tc>
        <w:tc>
          <w:tcPr>
            <w:tcW w:type="dxa" w:w="192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نظارت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ویژه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رهگیری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سفارش‌ها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موقعیت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مکانی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وضعیت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انبار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WebSocket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/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REST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عادی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Tier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3)</w:t>
            </w:r>
          </w:p>
        </w:tc>
        <w:tc>
          <w:tcPr>
            <w:tcW w:type="dxa" w:w="192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فعال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۱.۳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1"/>
            </w:pPr>
            <w:bookmarkStart w:id="5" w:name="md______________________________3886012b"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ملاحظات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امنیتی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ایزوله‌سازی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منابع</w:t>
            </w:r>
            <w:bookmarkEnd w:id="5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امنیت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شبکه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ایزوله‌سازی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منابع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زیرساخت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اعمال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می‌گردد.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مستقیم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پورت‌های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خارج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شبکه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Private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مسدود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بوده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فقط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اختصاصی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حداقل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اختیارات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اتصال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</w:p>
    <w:p>
      <w:pPr>
        <w:spacing w:before="120" w:after="8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4648200" cy="6991350"/>
            <wp:docPr id="3" name="Picture 3" descr="ساختار توزیع منابع و خوشه‌بندی سرورها" title="ساختار توزیع منابع و خوشه‌بندی سروره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699135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allout"/>
        <w:bidiVisual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نکتهٔ پایانی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تیم‌های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توسعه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ملزم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هستند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پیش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بارگذاری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تغییرات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روی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محیط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Production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فرایند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بازبینی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Peer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Review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آزمون‌های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بارگذاری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Load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Testing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موفقیت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سپری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نمایند.</w:t>
            </w:r>
          </w:p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both"/>
    </w:pPr>
    <w:rPr>
      <w:rFonts w:ascii="Segoe UI" w:hAnsi="Segoe UI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