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dxa" w:w="9638"/>
        <w:tblLayout w:type="fixed"/>
        <w:tblLook w:firstColumn="1" w:firstRow="1" w:lastColumn="0" w:lastRow="0" w:noHBand="0" w:noVBand="1" w:val="04A0"/>
        <w:tblDescription w:val="heading_badge"/>
        <w:bidiVisual/>
      </w:tblPr>
      <w:tblGrid>
        <w:gridCol w:w="1200"/>
        <w:gridCol w:w="8438"/>
      </w:tblGrid>
      <w:tr>
        <w:trPr>
          <w:cantSplit/>
        </w:trPr>
        <w:tc>
          <w:tcPr>
            <w:tcW w:type="dxa" w:w="1200"/>
            <w:shd w:val="clear" w:color="auto" w:fill="6B2FA0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center"/>
              <w:keepNext/>
              <w:keepLines/>
            </w:pPr>
            <w:r>
              <w:rPr>
                <w:rFonts w:ascii="Vazirmatn" w:hAnsi="Vazirmatn" w:cs="Vazirmatn"/>
                <w:sz w:val="32"/>
                <w:szCs w:val="32"/>
                <w:b/>
                <w:bCs/>
                <w:color w:val="FFFFFF"/>
                <w:lang w:val="en-US" w:bidi="fa-IR"/>
                <w:rtl w:val="1"/>
              </w:rPr>
              <w:t>۱.۵</w:t>
            </w:r>
          </w:p>
        </w:tc>
        <w:tc>
          <w:tcPr>
            <w:tcW w:type="dxa" w:w="843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single" w:sz="14" w:space="4" w:color="6B2FA0"/>
              <w:left w:val="none"/>
              <w:right w:val="none"/>
            </w:tcBorders>
          </w:tcPr>
          <w:p>
            <w:pPr>
              <w:bidi w:val="1"/>
              <w:jc w:val="right"/>
              <w:keepNext/>
              <w:keepLines/>
              <w:outlineLvl w:val="0"/>
            </w:pPr>
            <w:bookmarkStart w:id="1" w:name="md_______________________sql_se_e67c546f"/>
            <w:r>
              <w:rPr>
                <w:rFonts w:ascii="Vazirmatn" w:hAnsi="Vazirmatn" w:cs="Vazirmatn"/>
                <w:sz w:val="32"/>
                <w:szCs w:val="32"/>
                <w:b/>
                <w:bCs/>
                <w:color w:val="2D2D2D"/>
                <w:lang w:val="en-US" w:bidi="fa-IR"/>
              </w:rPr>
              <w:t>پایگاه‌های</w:t>
            </w:r>
            <w:r>
              <w:rPr>
                <w:rFonts w:ascii="Vazirmatn" w:hAnsi="Vazirmatn" w:cs="Vazirmatn"/>
                <w:sz w:val="32"/>
                <w:szCs w:val="32"/>
                <w:b/>
                <w:bCs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32"/>
                <w:szCs w:val="32"/>
                <w:b/>
                <w:bCs/>
                <w:color w:val="2D2D2D"/>
                <w:lang w:val="en-US" w:bidi="fa-IR"/>
              </w:rPr>
              <w:t>دادهٔ</w:t>
            </w:r>
            <w:r>
              <w:rPr>
                <w:rFonts w:ascii="Vazirmatn" w:hAnsi="Vazirmatn" w:cs="Vazirmatn"/>
                <w:sz w:val="32"/>
                <w:szCs w:val="32"/>
                <w:b/>
                <w:bCs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32"/>
                <w:szCs w:val="32"/>
                <w:b/>
                <w:bCs/>
                <w:color w:val="2D2D2D"/>
                <w:lang w:val="en-US" w:bidi="fa-IR"/>
              </w:rPr>
              <w:t>سیستمی</w:t>
            </w:r>
            <w:r>
              <w:rPr>
                <w:rFonts w:ascii="Vazirmatn" w:hAnsi="Vazirmatn" w:cs="Vazirmatn"/>
                <w:sz w:val="32"/>
                <w:szCs w:val="32"/>
                <w:b/>
                <w:bCs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32"/>
                <w:szCs w:val="32"/>
                <w:b/>
                <w:bCs/>
                <w:color w:val="2D2D2D"/>
                <w:lang w:val="en-US" w:bidi="fa-IR"/>
                <w:rtl w:val="0"/>
              </w:rPr>
              <w:t>SQL</w:t>
            </w:r>
            <w:r>
              <w:rPr>
                <w:rFonts w:ascii="Vazirmatn" w:hAnsi="Vazirmatn" w:cs="Vazirmatn"/>
                <w:sz w:val="32"/>
                <w:szCs w:val="32"/>
                <w:b/>
                <w:bCs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32"/>
                <w:szCs w:val="32"/>
                <w:b/>
                <w:bCs/>
                <w:color w:val="2D2D2D"/>
                <w:lang w:val="en-US" w:bidi="fa-IR"/>
                <w:rtl w:val="0"/>
              </w:rPr>
              <w:t>Server</w:t>
            </w:r>
            <w:bookmarkEnd w:id="1"/>
          </w:p>
        </w:tc>
      </w:tr>
    </w:tbl>
    <w:p>
      <w:pPr>
        <w:spacing w:before="0" w:after="120"/>
        <w:keepNext/>
      </w:pPr>
      <w:r/>
    </w:p>
    <w:p>
      <w:pPr>
        <w:bidi w:val="1"/>
        <w:spacing w:line="336" w:lineRule="auto" w:after="120"/>
        <w:jc w:val="both"/>
      </w:pP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یک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نصب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معمولی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SQL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Server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دو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نام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را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زیاد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می‌بینید: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SQL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Server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و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Database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Engine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و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SQL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Server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Agent.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این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دو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هم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کار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می‌کنند،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اما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یک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Component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واحد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نیستند.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هر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SQL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Server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Instance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مجموعه‌ای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از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System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Database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ها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دارد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که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برای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کار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Engine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و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مدیریت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Instance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لازم‌اند.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این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فصل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قرار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نیست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ساختار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آن‌ها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را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باز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کنیم؛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فقط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می‌خواهیم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نقشهٔ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کلی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دستمان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باشد.</w:t>
      </w:r>
    </w:p>
    <w:tbl>
      <w:tblPr>
        <w:tblW w:type="dxa" w:w="9638"/>
        <w:tblLayout w:type="fixed"/>
        <w:tblLook w:firstColumn="1" w:firstRow="1" w:lastColumn="0" w:lastRow="0" w:noHBand="0" w:noVBand="1" w:val="04A0"/>
        <w:tblDescription w:val="heading_badge"/>
        <w:bidiVisual/>
      </w:tblPr>
      <w:tblGrid>
        <w:gridCol w:w="1368"/>
        <w:gridCol w:w="8270"/>
      </w:tblGrid>
      <w:tr>
        <w:trPr>
          <w:cantSplit/>
        </w:trPr>
        <w:tc>
          <w:tcPr>
            <w:tcW w:type="dxa" w:w="1368"/>
            <w:shd w:val="clear" w:color="auto" w:fill="6B2FA0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center"/>
              <w:keepNext/>
              <w:keepLines/>
            </w:pPr>
            <w:r>
              <w:rPr>
                <w:rFonts w:ascii="Vazirmatn" w:hAnsi="Vazirmatn" w:cs="Vazirmatn"/>
                <w:sz w:val="28"/>
                <w:szCs w:val="28"/>
                <w:b/>
                <w:bCs/>
                <w:color w:val="FFFFFF"/>
                <w:lang w:val="en-US" w:bidi="fa-IR"/>
                <w:rtl w:val="1"/>
              </w:rPr>
              <w:t>۱.۴.۱</w:t>
            </w:r>
          </w:p>
        </w:tc>
        <w:tc>
          <w:tcPr>
            <w:tcW w:type="dxa" w:w="8270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single" w:sz="14" w:space="4" w:color="6B2FA0"/>
              <w:left w:val="none"/>
              <w:right w:val="none"/>
            </w:tcBorders>
          </w:tcPr>
          <w:p>
            <w:pPr>
              <w:bidi w:val="1"/>
              <w:jc w:val="right"/>
              <w:keepNext/>
              <w:keepLines/>
              <w:outlineLvl w:val="1"/>
            </w:pPr>
            <w:bookmarkStart w:id="2" w:name="md_____database_engine_851729ed"/>
            <w:r>
              <w:rPr>
                <w:rFonts w:ascii="Vazirmatn" w:hAnsi="Vazirmatn" w:cs="Vazirmatn"/>
                <w:sz w:val="28"/>
                <w:szCs w:val="28"/>
                <w:b/>
                <w:bCs/>
                <w:color w:val="2D2D2D"/>
                <w:lang w:val="en-US" w:bidi="fa-IR"/>
              </w:rPr>
              <w:t>نقش</w:t>
            </w:r>
            <w:r>
              <w:rPr>
                <w:rFonts w:ascii="Vazirmatn" w:hAnsi="Vazirmatn" w:cs="Vazirmatn"/>
                <w:sz w:val="28"/>
                <w:szCs w:val="28"/>
                <w:b/>
                <w:bCs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8"/>
                <w:szCs w:val="28"/>
                <w:b/>
                <w:bCs/>
                <w:color w:val="2D2D2D"/>
                <w:lang w:val="en-US" w:bidi="fa-IR"/>
                <w:rtl w:val="0"/>
              </w:rPr>
              <w:t>Database</w:t>
            </w:r>
            <w:r>
              <w:rPr>
                <w:rFonts w:ascii="Vazirmatn" w:hAnsi="Vazirmatn" w:cs="Vazirmatn"/>
                <w:sz w:val="28"/>
                <w:szCs w:val="28"/>
                <w:b/>
                <w:bCs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8"/>
                <w:szCs w:val="28"/>
                <w:b/>
                <w:bCs/>
                <w:color w:val="2D2D2D"/>
                <w:lang w:val="en-US" w:bidi="fa-IR"/>
                <w:rtl w:val="0"/>
              </w:rPr>
              <w:t>Engine</w:t>
            </w:r>
            <w:bookmarkEnd w:id="2"/>
          </w:p>
        </w:tc>
      </w:tr>
    </w:tbl>
    <w:p>
      <w:pPr>
        <w:spacing w:before="0" w:after="120"/>
        <w:keepNext/>
      </w:pPr>
      <w:r/>
    </w:p>
    <w:p>
      <w:pPr>
        <w:bidi w:val="1"/>
        <w:spacing w:line="336" w:lineRule="auto" w:after="120"/>
        <w:jc w:val="both"/>
      </w:pP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Database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Engine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هستهٔ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اصلی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SQL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Server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است.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Client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ها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و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Application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ها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Database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مربوط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Instance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متصل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می‌شوند.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Database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Engine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Query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ها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را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اجرا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می‌کند،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Database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ها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را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مدیریت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می‌کند،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Security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و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Transaction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ها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را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اعمال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می‌کند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و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عملیات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خواندن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و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نوشتن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داده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را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هماهنگ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می‌کند.</w:t>
      </w:r>
    </w:p>
    <w:tbl>
      <w:tblPr>
        <w:tblW w:type="dxa" w:w="9638"/>
        <w:tblLayout w:type="fixed"/>
        <w:tblLook w:firstColumn="1" w:firstRow="1" w:lastColumn="0" w:lastRow="0" w:noHBand="0" w:noVBand="1" w:val="04A0"/>
        <w:tblDescription w:val="heading_badge"/>
        <w:bidiVisual/>
      </w:tblPr>
      <w:tblGrid>
        <w:gridCol w:w="1368"/>
        <w:gridCol w:w="8270"/>
      </w:tblGrid>
      <w:tr>
        <w:trPr>
          <w:cantSplit/>
        </w:trPr>
        <w:tc>
          <w:tcPr>
            <w:tcW w:type="dxa" w:w="1368"/>
            <w:shd w:val="clear" w:color="auto" w:fill="6B2FA0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center"/>
              <w:keepNext/>
              <w:keepLines/>
            </w:pPr>
            <w:r>
              <w:rPr>
                <w:rFonts w:ascii="Vazirmatn" w:hAnsi="Vazirmatn" w:cs="Vazirmatn"/>
                <w:sz w:val="28"/>
                <w:szCs w:val="28"/>
                <w:b/>
                <w:bCs/>
                <w:color w:val="FFFFFF"/>
                <w:lang w:val="en-US" w:bidi="fa-IR"/>
                <w:rtl w:val="1"/>
              </w:rPr>
              <w:t>۱.۴.۲</w:t>
            </w:r>
          </w:p>
        </w:tc>
        <w:tc>
          <w:tcPr>
            <w:tcW w:type="dxa" w:w="8270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single" w:sz="14" w:space="4" w:color="6B2FA0"/>
              <w:left w:val="none"/>
              <w:right w:val="none"/>
            </w:tcBorders>
          </w:tcPr>
          <w:p>
            <w:pPr>
              <w:bidi w:val="1"/>
              <w:jc w:val="right"/>
              <w:keepNext/>
              <w:keepLines/>
              <w:outlineLvl w:val="1"/>
            </w:pPr>
            <w:bookmarkStart w:id="3" w:name="md_____sql_server_agent_429fe779"/>
            <w:r>
              <w:rPr>
                <w:rFonts w:ascii="Vazirmatn" w:hAnsi="Vazirmatn" w:cs="Vazirmatn"/>
                <w:sz w:val="28"/>
                <w:szCs w:val="28"/>
                <w:b/>
                <w:bCs/>
                <w:color w:val="2D2D2D"/>
                <w:lang w:val="en-US" w:bidi="fa-IR"/>
              </w:rPr>
              <w:t>نقش</w:t>
            </w:r>
            <w:r>
              <w:rPr>
                <w:rFonts w:ascii="Vazirmatn" w:hAnsi="Vazirmatn" w:cs="Vazirmatn"/>
                <w:sz w:val="28"/>
                <w:szCs w:val="28"/>
                <w:b/>
                <w:bCs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8"/>
                <w:szCs w:val="28"/>
                <w:b/>
                <w:bCs/>
                <w:color w:val="2D2D2D"/>
                <w:lang w:val="en-US" w:bidi="fa-IR"/>
                <w:rtl w:val="0"/>
              </w:rPr>
              <w:t>SQL</w:t>
            </w:r>
            <w:r>
              <w:rPr>
                <w:rFonts w:ascii="Vazirmatn" w:hAnsi="Vazirmatn" w:cs="Vazirmatn"/>
                <w:sz w:val="28"/>
                <w:szCs w:val="28"/>
                <w:b/>
                <w:bCs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8"/>
                <w:szCs w:val="28"/>
                <w:b/>
                <w:bCs/>
                <w:color w:val="2D2D2D"/>
                <w:lang w:val="en-US" w:bidi="fa-IR"/>
                <w:rtl w:val="0"/>
              </w:rPr>
              <w:t>Server</w:t>
            </w:r>
            <w:r>
              <w:rPr>
                <w:rFonts w:ascii="Vazirmatn" w:hAnsi="Vazirmatn" w:cs="Vazirmatn"/>
                <w:sz w:val="28"/>
                <w:szCs w:val="28"/>
                <w:b/>
                <w:bCs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8"/>
                <w:szCs w:val="28"/>
                <w:b/>
                <w:bCs/>
                <w:color w:val="2D2D2D"/>
                <w:lang w:val="en-US" w:bidi="fa-IR"/>
                <w:rtl w:val="0"/>
              </w:rPr>
              <w:t>Agent</w:t>
            </w:r>
            <w:bookmarkEnd w:id="3"/>
          </w:p>
        </w:tc>
      </w:tr>
    </w:tbl>
    <w:p>
      <w:pPr>
        <w:spacing w:before="0" w:after="120"/>
        <w:keepNext/>
      </w:pPr>
      <w:r/>
    </w:p>
    <w:p>
      <w:pPr>
        <w:bidi w:val="1"/>
        <w:spacing w:line="336" w:lineRule="auto" w:after="120"/>
        <w:jc w:val="both"/>
      </w:pP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SQL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Server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Agent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یک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Windows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Service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جداگانه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برای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Automation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(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خودکارسازی)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وظایف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مدیریتی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است.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Job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ها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(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کارهای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زمان‌بندی‌شده)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می‌توانند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زمان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مشخص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اجرا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شوند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یا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مجموعه‌ای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از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Step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ها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(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مراحل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اجرا)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را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به‌ترتیب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انجام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دهند.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Backup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های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زمان‌بندی‌شده،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Maintenance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(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نگه‌داری)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و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بعضی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کارهای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Monitoring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(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پایش)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نمونه‌های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رایج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استفاده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از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Agent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هستند.</w:t>
      </w:r>
    </w:p>
    <w:p>
      <w:pPr>
        <w:bidi w:val="1"/>
        <w:spacing w:line="336" w:lineRule="auto" w:after="120"/>
        <w:jc w:val="both"/>
      </w:pP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خود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Agent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سرویس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جداگانه‌ای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است،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اما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اطلاعات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Job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ها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و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History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مربوط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آن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System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Database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نام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msdb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ذخیره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می‌شود.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این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ارتباط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مهم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است: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از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نظر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معماری،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Jobs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زیرمجموعهٔ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Database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های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کاربر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نیستند،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اما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Metadata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آن‌ها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msdb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قرار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می‌گیرد.</w:t>
      </w:r>
    </w:p>
    <w:tbl>
      <w:tblPr>
        <w:tblW w:type="dxa" w:w="9638"/>
        <w:tblLayout w:type="fixed"/>
        <w:tblLook w:firstColumn="1" w:firstRow="1" w:lastColumn="0" w:lastRow="0" w:noHBand="0" w:noVBand="1" w:val="04A0"/>
        <w:tblDescription w:val="callout"/>
        <w:bidiVisual/>
      </w:tblPr>
      <w:tblGrid>
        <w:gridCol w:w="9638"/>
      </w:tblGrid>
      <w:tr>
        <w:trPr>
          <w:cantSplit/>
        </w:trPr>
        <w:tc>
          <w:tcPr>
            <w:tcW w:type="dxa" w:w="9638"/>
            <w:shd w:val="clear" w:color="auto" w:fill="4A156D"/>
            <w:tcMar>
              <w:top w:w="100" w:type="dxa"/>
              <w:bottom w:w="100" w:type="dxa"/>
              <w:left w:w="160" w:type="dxa"/>
              <w:right w:w="16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bidi w:val="1"/>
              <w:jc w:val="right"/>
              <w:keepNext/>
              <w:keepLines/>
            </w:pPr>
            <w:r>
              <w:rPr>
                <w:rFonts w:ascii="Vazirmatn" w:hAnsi="Vazirmatn" w:cs="Vazirmatn"/>
                <w:sz w:val="22"/>
                <w:szCs w:val="22"/>
                <w:b/>
                <w:bCs/>
                <w:color w:val="FFFFFF"/>
                <w:lang w:val="en-US" w:bidi="fa-IR"/>
              </w:rPr>
              <w:t xml:space="preserve">◆ </w:t>
            </w:r>
            <w:r>
              <w:rPr>
                <w:rFonts w:ascii="Vazirmatn" w:hAnsi="Vazirmatn" w:cs="Vazirmatn"/>
                <w:sz w:val="22"/>
                <w:szCs w:val="22"/>
                <w:b/>
                <w:bCs/>
                <w:color w:val="FFFFFF"/>
                <w:lang w:val="en-US" w:bidi="fa-IR"/>
              </w:rPr>
              <w:t xml:space="preserve">نکتهٔ </w:t>
            </w:r>
            <w:r>
              <w:rPr>
                <w:rFonts w:ascii="Segoe UI" w:hAnsi="Segoe UI" w:cs="Vazirmatn"/>
                <w:sz w:val="22"/>
                <w:szCs w:val="22"/>
                <w:b/>
                <w:bCs/>
                <w:color w:val="FFFFFF"/>
                <w:lang w:val="en-US" w:bidi="fa-IR"/>
                <w:rtl w:val="0"/>
              </w:rPr>
              <w:t>DBA</w:t>
            </w:r>
          </w:p>
        </w:tc>
      </w:tr>
      <w:tr>
        <w:tc>
          <w:tcPr>
            <w:tcW w:type="dxa" w:w="9638"/>
            <w:shd w:val="clear" w:color="auto" w:fill="F7F3FB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none"/>
              <w:bottom w:val="single" w:sz="4" w:space="0" w:color="E0D9EB"/>
              <w:left w:val="single" w:sz="4" w:space="0" w:color="E0D9EB"/>
              <w:right w:val="single" w:sz="4" w:space="0" w:color="E0D9EB"/>
            </w:tcBorders>
          </w:tcPr>
          <w:p>
            <w:pPr>
              <w:bidi w:val="1"/>
              <w:spacing w:line="276" w:lineRule="auto" w:after="80"/>
              <w:jc w:val="both"/>
            </w:pP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در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شکل،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SSMS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و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Application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به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Database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Engine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Instance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متصل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می‌شوند.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آن‌ها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مستقیماً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به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Windows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Server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یا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فایل‌های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Database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وصل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نمی‌شوند.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همچنین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Login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در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این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شکل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یک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Principal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(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هویت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امنیتی)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سطح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Instance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است،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نه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صرفاً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«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صفحهٔ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ورود»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یک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نرم‌افزار.</w:t>
            </w:r>
          </w:p>
        </w:tc>
      </w:tr>
    </w:tbl>
    <w:p>
      <w:pPr>
        <w:spacing w:before="0" w:after="120"/>
      </w:pPr>
      <w:r/>
    </w:p>
    <w:tbl>
      <w:tblPr>
        <w:tblW w:type="dxa" w:w="9638"/>
        <w:tblLayout w:type="fixed"/>
        <w:tblLook w:firstColumn="1" w:firstRow="1" w:lastColumn="0" w:lastRow="0" w:noHBand="0" w:noVBand="1" w:val="04A0"/>
        <w:tblDescription w:val="heading_badge"/>
        <w:bidiVisual/>
      </w:tblPr>
      <w:tblGrid>
        <w:gridCol w:w="1368"/>
        <w:gridCol w:w="8270"/>
      </w:tblGrid>
      <w:tr>
        <w:trPr>
          <w:cantSplit/>
        </w:trPr>
        <w:tc>
          <w:tcPr>
            <w:tcW w:type="dxa" w:w="1368"/>
            <w:shd w:val="clear" w:color="auto" w:fill="6B2FA0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center"/>
              <w:keepNext/>
              <w:keepLines/>
            </w:pPr>
            <w:r>
              <w:rPr>
                <w:rFonts w:ascii="Vazirmatn" w:hAnsi="Vazirmatn" w:cs="Vazirmatn"/>
                <w:sz w:val="28"/>
                <w:szCs w:val="28"/>
                <w:b/>
                <w:bCs/>
                <w:color w:val="FFFFFF"/>
                <w:lang w:val="en-US" w:bidi="fa-IR"/>
                <w:rtl w:val="1"/>
              </w:rPr>
              <w:t>۱.۴.۳</w:t>
            </w:r>
          </w:p>
        </w:tc>
        <w:tc>
          <w:tcPr>
            <w:tcW w:type="dxa" w:w="8270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single" w:sz="14" w:space="4" w:color="6B2FA0"/>
              <w:left w:val="none"/>
              <w:right w:val="none"/>
            </w:tcBorders>
          </w:tcPr>
          <w:p>
            <w:pPr>
              <w:bidi w:val="1"/>
              <w:jc w:val="right"/>
              <w:keepNext/>
              <w:keepLines/>
              <w:outlineLvl w:val="1"/>
            </w:pPr>
            <w:bookmarkStart w:id="4" w:name="md______________sql_server_data_6c697bec"/>
            <w:r>
              <w:rPr>
                <w:rFonts w:ascii="Vazirmatn" w:hAnsi="Vazirmatn" w:cs="Vazirmatn"/>
                <w:sz w:val="28"/>
                <w:szCs w:val="28"/>
                <w:b/>
                <w:bCs/>
                <w:color w:val="2D2D2D"/>
                <w:lang w:val="en-US" w:bidi="fa-IR"/>
              </w:rPr>
              <w:t>معماری</w:t>
            </w:r>
            <w:r>
              <w:rPr>
                <w:rFonts w:ascii="Vazirmatn" w:hAnsi="Vazirmatn" w:cs="Vazirmatn"/>
                <w:sz w:val="28"/>
                <w:szCs w:val="28"/>
                <w:b/>
                <w:bCs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8"/>
                <w:szCs w:val="28"/>
                <w:b/>
                <w:bCs/>
                <w:color w:val="2D2D2D"/>
                <w:lang w:val="en-US" w:bidi="fa-IR"/>
              </w:rPr>
              <w:t>داخلی</w:t>
            </w:r>
            <w:r>
              <w:rPr>
                <w:rFonts w:ascii="Vazirmatn" w:hAnsi="Vazirmatn" w:cs="Vazirmatn"/>
                <w:sz w:val="28"/>
                <w:szCs w:val="28"/>
                <w:b/>
                <w:bCs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8"/>
                <w:szCs w:val="28"/>
                <w:b/>
                <w:bCs/>
                <w:color w:val="2D2D2D"/>
                <w:lang w:val="en-US" w:bidi="fa-IR"/>
                <w:rtl w:val="0"/>
              </w:rPr>
              <w:t>SQL</w:t>
            </w:r>
            <w:r>
              <w:rPr>
                <w:rFonts w:ascii="Vazirmatn" w:hAnsi="Vazirmatn" w:cs="Vazirmatn"/>
                <w:sz w:val="28"/>
                <w:szCs w:val="28"/>
                <w:b/>
                <w:bCs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8"/>
                <w:szCs w:val="28"/>
                <w:b/>
                <w:bCs/>
                <w:color w:val="2D2D2D"/>
                <w:lang w:val="en-US" w:bidi="fa-IR"/>
                <w:rtl w:val="0"/>
              </w:rPr>
              <w:t>Server</w:t>
            </w:r>
            <w:r>
              <w:rPr>
                <w:rFonts w:ascii="Vazirmatn" w:hAnsi="Vazirmatn" w:cs="Vazirmatn"/>
                <w:sz w:val="28"/>
                <w:szCs w:val="28"/>
                <w:b/>
                <w:bCs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8"/>
                <w:szCs w:val="28"/>
                <w:b/>
                <w:bCs/>
                <w:color w:val="2D2D2D"/>
                <w:lang w:val="en-US" w:bidi="fa-IR"/>
                <w:rtl w:val="0"/>
              </w:rPr>
              <w:t>Database</w:t>
            </w:r>
            <w:r>
              <w:rPr>
                <w:rFonts w:ascii="Vazirmatn" w:hAnsi="Vazirmatn" w:cs="Vazirmatn"/>
                <w:sz w:val="28"/>
                <w:szCs w:val="28"/>
                <w:b/>
                <w:bCs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8"/>
                <w:szCs w:val="28"/>
                <w:b/>
                <w:bCs/>
                <w:color w:val="2D2D2D"/>
                <w:lang w:val="en-US" w:bidi="fa-IR"/>
                <w:rtl w:val="0"/>
              </w:rPr>
              <w:t>Engine</w:t>
            </w:r>
            <w:bookmarkEnd w:id="4"/>
          </w:p>
        </w:tc>
      </w:tr>
    </w:tbl>
    <w:p>
      <w:pPr>
        <w:spacing w:before="0" w:after="120"/>
        <w:keepNext/>
      </w:pPr>
      <w:r/>
    </w:p>
    <w:p>
      <w:pPr>
        <w:bidi w:val="1"/>
        <w:spacing w:line="336" w:lineRule="auto" w:after="120"/>
        <w:jc w:val="both"/>
      </w:pP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برای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درک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عملکرد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SQL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Server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باید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مسیر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یک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درخواست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را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از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لحظهٔ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ارسال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توسط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Client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تا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پردازش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Query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دسترسی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داده،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استفاده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از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Memory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و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نهایت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ارتباط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فایل‌های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Database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بشناسیم.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Database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Engine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از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چند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مؤلفهٔ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اصلی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تشکیل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شده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است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که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هرکدام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مسئول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بخشی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از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چرخهٔ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اجرای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درخواست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هستند.</w:t>
      </w:r>
    </w:p>
    <w:p>
      <w:pPr>
        <w:spacing w:before="120" w:after="80"/>
        <w:jc w:val="center"/>
        <w:keepNext/>
        <w:keepLines/>
      </w:pPr>
      <w:r>
        <w:drawing>
          <wp:inline xmlns:a="http://schemas.openxmlformats.org/drawingml/2006/main" xmlns:pic="http://schemas.openxmlformats.org/drawingml/2006/picture">
            <wp:extent cx="5760720" cy="4760031"/>
            <wp:docPr id="1" name="Mermaid Diagram" descr="mermaid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_00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7600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 w:val="1"/>
        <w:spacing w:before="40" w:after="200"/>
        <w:jc w:val="center"/>
      </w:pPr>
      <w:r>
        <w:rPr>
          <w:rFonts w:ascii="Vazirmatn" w:hAnsi="Vazirmatn" w:cs="Vazirmatn"/>
          <w:sz w:val="19"/>
          <w:szCs w:val="19"/>
          <w:color w:val="5A5A5A"/>
          <w:lang w:val="en-US" w:bidi="fa-IR"/>
        </w:rPr>
        <w:t xml:space="preserve">شکل ۲-۱. معماری داخلی </w:t>
      </w:r>
      <w:r>
        <w:rPr>
          <w:rFonts w:ascii="Segoe UI" w:hAnsi="Segoe UI" w:cs="Vazirmatn"/>
          <w:sz w:val="19"/>
          <w:szCs w:val="19"/>
          <w:color w:val="5A5A5A"/>
          <w:lang w:val="en-US" w:bidi="fa-IR"/>
          <w:rtl w:val="0"/>
        </w:rPr>
        <w:t>SQL Server Database Engine</w:t>
      </w:r>
      <w:r>
        <w:rPr>
          <w:rFonts w:ascii="Vazirmatn" w:hAnsi="Vazirmatn" w:cs="Vazirmatn"/>
          <w:sz w:val="19"/>
          <w:szCs w:val="19"/>
          <w:color w:val="5A5A5A"/>
          <w:lang w:val="en-US" w:bidi="fa-IR"/>
        </w:rPr>
        <w:t xml:space="preserve"> و مسیر ساده‌شدهٔ پردازش درخواست‌ها</w:t>
      </w:r>
    </w:p>
    <w:tbl>
      <w:tblPr>
        <w:tblW w:type="dxa" w:w="9638"/>
        <w:tblLayout w:type="fixed"/>
        <w:tblLook w:firstColumn="1" w:firstRow="1" w:lastColumn="0" w:lastRow="0" w:noHBand="0" w:noVBand="1" w:val="04A0"/>
        <w:tblDescription w:val="callout"/>
        <w:bidiVisual/>
      </w:tblPr>
      <w:tblGrid>
        <w:gridCol w:w="9638"/>
      </w:tblGrid>
      <w:tr>
        <w:trPr>
          <w:cantSplit/>
        </w:trPr>
        <w:tc>
          <w:tcPr>
            <w:tcW w:type="dxa" w:w="9638"/>
            <w:shd w:val="clear" w:color="auto" w:fill="FBF7F4"/>
            <w:tcMar>
              <w:top w:w="100" w:type="dxa"/>
              <w:bottom w:w="100" w:type="dxa"/>
              <w:left w:w="160" w:type="dxa"/>
              <w:right w:w="16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bidi w:val="1"/>
              <w:jc w:val="right"/>
              <w:keepNext/>
              <w:keepLines/>
            </w:pPr>
            <w:r>
              <w:rPr>
                <w:rFonts w:ascii="Vazirmatn" w:hAnsi="Vazirmatn" w:cs="Vazirmatn"/>
                <w:sz w:val="22"/>
                <w:szCs w:val="22"/>
                <w:b/>
                <w:bCs/>
                <w:color w:val="8B6914"/>
                <w:lang w:val="en-US" w:bidi="fa-IR"/>
              </w:rPr>
              <w:t>هشدار</w:t>
            </w:r>
          </w:p>
        </w:tc>
      </w:tr>
      <w:tr>
        <w:tc>
          <w:tcPr>
            <w:tcW w:type="dxa" w:w="9638"/>
            <w:shd w:val="clear" w:color="auto" w:fill="FBF7F4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none"/>
              <w:bottom w:val="single" w:sz="4" w:space="0" w:color="E0D9EB"/>
              <w:left w:val="single" w:sz="4" w:space="0" w:color="E0D9EB"/>
              <w:right w:val="single" w:sz="4" w:space="0" w:color="E0D9EB"/>
            </w:tcBorders>
          </w:tcPr>
          <w:p>
            <w:pPr>
              <w:bidi w:val="1"/>
              <w:spacing w:line="276" w:lineRule="auto" w:after="80"/>
              <w:jc w:val="both"/>
            </w:pP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System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Database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ها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را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به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چشم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Database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های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کم‌اهمیت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نگاه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نکنید.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برای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مثال،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اطلاعات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بسیاری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از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Job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های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SQL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Server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Agent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در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msdb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است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و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اطلاعات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سطح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Instance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در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master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نگه‌داری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می‌شود.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Strategy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پشتیبان‌گیری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از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System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Database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ها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در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فصل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Backup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بررسی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خواهد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شد.</w:t>
            </w:r>
          </w:p>
        </w:tc>
      </w:tr>
    </w:tbl>
    <w:p>
      <w:pPr>
        <w:spacing w:before="0" w:after="120"/>
      </w:pPr>
      <w:r/>
    </w:p>
    <w:tbl>
      <w:tblPr>
        <w:tblW w:type="dxa" w:w="9638"/>
        <w:tblLayout w:type="fixed"/>
        <w:tblLook w:firstColumn="1" w:firstRow="1" w:lastColumn="0" w:lastRow="0" w:noHBand="0" w:noVBand="1" w:val="04A0"/>
        <w:tblDescription w:val="heading_badge"/>
        <w:bidiVisual/>
      </w:tblPr>
      <w:tblGrid>
        <w:gridCol w:w="1200"/>
        <w:gridCol w:w="8438"/>
      </w:tblGrid>
      <w:tr>
        <w:trPr>
          <w:cantSplit/>
        </w:trPr>
        <w:tc>
          <w:tcPr>
            <w:tcW w:type="dxa" w:w="1200"/>
            <w:shd w:val="clear" w:color="auto" w:fill="6B2FA0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none"/>
              <w:left w:val="none"/>
              <w:right w:val="none"/>
            </w:tcBorders>
          </w:tcPr>
          <w:p>
            <w:pPr>
              <w:jc w:val="center"/>
              <w:keepNext/>
              <w:keepLines/>
            </w:pPr>
            <w:r>
              <w:rPr>
                <w:rFonts w:ascii="Vazirmatn" w:hAnsi="Vazirmatn" w:cs="Vazirmatn"/>
                <w:sz w:val="28"/>
                <w:szCs w:val="28"/>
                <w:b/>
                <w:bCs/>
                <w:color w:val="FFFFFF"/>
                <w:lang w:val="en-US" w:bidi="fa-IR"/>
                <w:rtl w:val="1"/>
              </w:rPr>
              <w:t>۱.۶</w:t>
            </w:r>
          </w:p>
        </w:tc>
        <w:tc>
          <w:tcPr>
            <w:tcW w:type="dxa" w:w="8438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none"/>
              <w:bottom w:val="single" w:sz="14" w:space="4" w:color="6B2FA0"/>
              <w:left w:val="none"/>
              <w:right w:val="none"/>
            </w:tcBorders>
          </w:tcPr>
          <w:p>
            <w:pPr>
              <w:bidi w:val="1"/>
              <w:jc w:val="right"/>
              <w:keepNext/>
              <w:keepLines/>
              <w:outlineLvl w:val="1"/>
            </w:pPr>
            <w:bookmarkStart w:id="5" w:name="md________________________cd130b46"/>
            <w:r>
              <w:rPr>
                <w:rFonts w:ascii="Vazirmatn" w:hAnsi="Vazirmatn" w:cs="Vazirmatn"/>
                <w:sz w:val="28"/>
                <w:szCs w:val="28"/>
                <w:b/>
                <w:bCs/>
                <w:color w:val="2D2D2D"/>
                <w:lang w:val="en-US" w:bidi="fa-IR"/>
              </w:rPr>
              <w:t>مدل</w:t>
            </w:r>
            <w:r>
              <w:rPr>
                <w:rFonts w:ascii="Vazirmatn" w:hAnsi="Vazirmatn" w:cs="Vazirmatn"/>
                <w:sz w:val="28"/>
                <w:szCs w:val="28"/>
                <w:b/>
                <w:bCs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8"/>
                <w:szCs w:val="28"/>
                <w:b/>
                <w:bCs/>
                <w:color w:val="2D2D2D"/>
                <w:lang w:val="en-US" w:bidi="fa-IR"/>
              </w:rPr>
              <w:t>ذهنی</w:t>
            </w:r>
            <w:r>
              <w:rPr>
                <w:rFonts w:ascii="Vazirmatn" w:hAnsi="Vazirmatn" w:cs="Vazirmatn"/>
                <w:sz w:val="28"/>
                <w:szCs w:val="28"/>
                <w:b/>
                <w:bCs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8"/>
                <w:szCs w:val="28"/>
                <w:b/>
                <w:bCs/>
                <w:color w:val="2D2D2D"/>
                <w:lang w:val="en-US" w:bidi="fa-IR"/>
              </w:rPr>
              <w:t>هویت</w:t>
            </w:r>
            <w:r>
              <w:rPr>
                <w:rFonts w:ascii="Vazirmatn" w:hAnsi="Vazirmatn" w:cs="Vazirmatn"/>
                <w:sz w:val="28"/>
                <w:szCs w:val="28"/>
                <w:b/>
                <w:bCs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8"/>
                <w:szCs w:val="28"/>
                <w:b/>
                <w:bCs/>
                <w:color w:val="2D2D2D"/>
                <w:lang w:val="en-US" w:bidi="fa-IR"/>
              </w:rPr>
              <w:t>و</w:t>
            </w:r>
            <w:r>
              <w:rPr>
                <w:rFonts w:ascii="Vazirmatn" w:hAnsi="Vazirmatn" w:cs="Vazirmatn"/>
                <w:sz w:val="28"/>
                <w:szCs w:val="28"/>
                <w:b/>
                <w:bCs/>
                <w:color w:val="2D2D2D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8"/>
                <w:szCs w:val="28"/>
                <w:b/>
                <w:bCs/>
                <w:color w:val="2D2D2D"/>
                <w:lang w:val="en-US" w:bidi="fa-IR"/>
              </w:rPr>
              <w:t>دسترسی</w:t>
            </w:r>
            <w:bookmarkEnd w:id="5"/>
          </w:p>
        </w:tc>
      </w:tr>
    </w:tbl>
    <w:p>
      <w:pPr>
        <w:spacing w:before="0" w:after="120"/>
        <w:keepNext/>
      </w:pPr>
      <w:r/>
    </w:p>
    <w:p>
      <w:pPr>
        <w:bidi w:val="1"/>
        <w:spacing w:line="336" w:lineRule="auto" w:after="120"/>
        <w:jc w:val="both"/>
      </w:pP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یکی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از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اشتباه‌های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رایج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Junior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DBA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ها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یکی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دانستن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User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و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Login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است.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برای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شروع،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این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مدل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ساده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را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ذهن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داشته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باشید:</w:t>
      </w:r>
    </w:p>
    <w:p>
      <w:pPr>
        <w:bidi w:val="1"/>
        <w:spacing w:line="336" w:lineRule="auto" w:after="120"/>
        <w:jc w:val="both"/>
        <w:pBdr>
          <w:right w:val="single" w:sz="96" w:space="15" w:color="6B2FA0"/>
        </w:pBdr>
        <w:shd w:val="clear" w:color="auto" w:fill="ECE4F1"/>
      </w:pPr>
      <w:r>
        <w:rPr>
          <w:rFonts w:ascii="Segoe UI" w:hAnsi="Segoe UI" w:cs="Vazirmatn"/>
          <w:sz w:val="21"/>
          <w:szCs w:val="21"/>
          <w:color w:val="2D2D2D"/>
          <w:lang w:val="en-US" w:bidi="fa-IR"/>
          <w:rtl w:val="0"/>
        </w:rPr>
        <w:t>Login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معمولاً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هویت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ورود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در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سطح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1"/>
          <w:szCs w:val="21"/>
          <w:color w:val="2D2D2D"/>
          <w:lang w:val="en-US" w:bidi="fa-IR"/>
          <w:rtl w:val="0"/>
        </w:rPr>
        <w:t>Instance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است.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1"/>
          <w:szCs w:val="21"/>
          <w:color w:val="2D2D2D"/>
          <w:lang w:val="en-US" w:bidi="fa-IR"/>
          <w:rtl w:val="0"/>
        </w:rPr>
        <w:t>User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هویتی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است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که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داخل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یک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1"/>
          <w:szCs w:val="21"/>
          <w:color w:val="2D2D2D"/>
          <w:lang w:val="en-US" w:bidi="fa-IR"/>
          <w:rtl w:val="0"/>
        </w:rPr>
        <w:t>Database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اجازهٔ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دسترسی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به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1"/>
          <w:szCs w:val="21"/>
          <w:color w:val="2D2D2D"/>
          <w:lang w:val="en-US" w:bidi="fa-IR"/>
          <w:rtl w:val="0"/>
        </w:rPr>
        <w:t>Object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ها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را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پیدا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1"/>
          <w:szCs w:val="21"/>
          <w:color w:val="2D2D2D"/>
          <w:lang w:val="en-US" w:bidi="fa-IR"/>
        </w:rPr>
        <w:t>می‌کند.</w:t>
      </w:r>
    </w:p>
    <w:p>
      <w:pPr>
        <w:bidi w:val="1"/>
        <w:spacing w:line="336" w:lineRule="auto" w:after="120"/>
        <w:jc w:val="both"/>
      </w:pP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اگر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یک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Login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اجازه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داشته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باشد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Instance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متصل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شود،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این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موضوع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به‌تنهایی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تضمین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نمی‌کند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که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بتواند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همهٔ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Database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ها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را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بخواند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یا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تغییر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دهد.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برای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دسترسی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معمول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یک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Database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همان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Login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یک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User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نگاشت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(Map)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می‌شود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و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Permission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ها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(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مجوزهای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دسترسی)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User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یا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Role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های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Database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داده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می‌شوند.</w:t>
      </w:r>
    </w:p>
    <w:tbl>
      <w:tblPr>
        <w:tblW w:type="dxa" w:w="9638"/>
        <w:tblLayout w:type="fixed"/>
        <w:tblLook w:firstColumn="1" w:firstRow="1" w:lastColumn="0" w:lastRow="0" w:noHBand="0" w:noVBand="1" w:val="04A0"/>
        <w:tblDescription w:val="data_table"/>
        <w:bidiVisual/>
      </w:tblPr>
      <w:tblGrid>
        <w:gridCol w:w="3212"/>
        <w:gridCol w:w="3212"/>
        <w:gridCol w:w="3214"/>
      </w:tblGrid>
      <w:tr>
        <w:trPr>
          <w:tblHeader/>
          <w:cantSplit/>
        </w:trPr>
        <w:tc>
          <w:tcPr>
            <w:tcW w:type="dxa" w:w="3212"/>
            <w:shd w:val="clear" w:color="auto" w:fill="6B2FA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542380"/>
              <w:bottom w:val="single" w:sz="4" w:space="0" w:color="542380"/>
              <w:left w:val="single" w:sz="4" w:space="0" w:color="542380"/>
              <w:right w:val="single" w:sz="4" w:space="0" w:color="542380"/>
            </w:tcBorders>
          </w:tcPr>
          <w:p>
            <w:pPr>
              <w:bidi w:val="1"/>
              <w:spacing w:line="276" w:lineRule="auto" w:after="80"/>
              <w:jc w:val="left"/>
            </w:pPr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>مفهوم</w:t>
            </w:r>
          </w:p>
        </w:tc>
        <w:tc>
          <w:tcPr>
            <w:tcW w:type="dxa" w:w="3212"/>
            <w:shd w:val="clear" w:color="auto" w:fill="6B2FA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542380"/>
              <w:bottom w:val="single" w:sz="4" w:space="0" w:color="542380"/>
              <w:left w:val="single" w:sz="4" w:space="0" w:color="542380"/>
              <w:right w:val="single" w:sz="4" w:space="0" w:color="542380"/>
            </w:tcBorders>
          </w:tcPr>
          <w:p>
            <w:pPr>
              <w:bidi w:val="1"/>
              <w:spacing w:line="276" w:lineRule="auto" w:after="80"/>
              <w:jc w:val="left"/>
            </w:pPr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>سطح</w:t>
            </w:r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 xml:space="preserve"> </w:t>
            </w:r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>معمول</w:t>
            </w:r>
          </w:p>
        </w:tc>
        <w:tc>
          <w:tcPr>
            <w:tcW w:type="dxa" w:w="3214"/>
            <w:shd w:val="clear" w:color="auto" w:fill="6B2FA0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4" w:space="0" w:color="542380"/>
              <w:bottom w:val="single" w:sz="4" w:space="0" w:color="542380"/>
              <w:left w:val="single" w:sz="4" w:space="0" w:color="542380"/>
              <w:right w:val="single" w:sz="4" w:space="0" w:color="542380"/>
            </w:tcBorders>
          </w:tcPr>
          <w:p>
            <w:pPr>
              <w:bidi w:val="1"/>
              <w:spacing w:line="276" w:lineRule="auto" w:after="80"/>
              <w:jc w:val="left"/>
            </w:pPr>
            <w:r>
              <w:rPr>
                <w:rFonts w:ascii="Vazirmatn" w:hAnsi="Vazirmatn" w:cs="Vazirmatn"/>
                <w:sz w:val="21"/>
                <w:szCs w:val="21"/>
                <w:b/>
                <w:bCs/>
                <w:color w:val="FFFFFF"/>
                <w:lang w:val="en-US" w:bidi="fa-IR"/>
              </w:rPr>
              <w:t>نمونه</w:t>
            </w:r>
          </w:p>
        </w:tc>
      </w:tr>
      <w:tr>
        <w:tc>
          <w:tcPr>
            <w:tcW w:type="dxa" w:w="3212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 w:val="0"/>
              <w:spacing w:line="276" w:lineRule="auto" w:after="80"/>
              <w:jc w:val="left"/>
            </w:pP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Login</w:t>
            </w:r>
          </w:p>
        </w:tc>
        <w:tc>
          <w:tcPr>
            <w:tcW w:type="dxa" w:w="3212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 w:val="0"/>
              <w:spacing w:line="276" w:lineRule="auto" w:after="80"/>
              <w:jc w:val="left"/>
            </w:pP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Instance</w:t>
            </w:r>
          </w:p>
        </w:tc>
        <w:tc>
          <w:tcPr>
            <w:tcW w:type="dxa" w:w="3214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 w:val="0"/>
              <w:spacing w:line="276" w:lineRule="auto" w:after="80"/>
              <w:jc w:val="left"/>
            </w:pP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DOMAIN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>\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Niloofar</w:t>
            </w:r>
          </w:p>
        </w:tc>
      </w:tr>
      <w:tr>
        <w:tc>
          <w:tcPr>
            <w:tcW w:type="dxa" w:w="3212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 w:val="0"/>
              <w:spacing w:line="276" w:lineRule="auto" w:after="80"/>
              <w:jc w:val="left"/>
            </w:pP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User</w:t>
            </w:r>
          </w:p>
        </w:tc>
        <w:tc>
          <w:tcPr>
            <w:tcW w:type="dxa" w:w="3212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 w:val="0"/>
              <w:spacing w:line="276" w:lineRule="auto" w:after="80"/>
              <w:jc w:val="left"/>
            </w:pP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Database</w:t>
            </w:r>
          </w:p>
        </w:tc>
        <w:tc>
          <w:tcPr>
            <w:tcW w:type="dxa" w:w="3214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 w:val="0"/>
              <w:spacing w:line="276" w:lineRule="auto" w:after="80"/>
              <w:jc w:val="left"/>
            </w:pP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Niloofar</w:t>
            </w:r>
          </w:p>
        </w:tc>
      </w:tr>
      <w:tr>
        <w:tc>
          <w:tcPr>
            <w:tcW w:type="dxa" w:w="3212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 w:val="0"/>
              <w:spacing w:line="276" w:lineRule="auto" w:after="80"/>
              <w:jc w:val="left"/>
            </w:pP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Database</w:t>
            </w:r>
            <w:r>
              <w:rPr>
                <w:rFonts w:ascii="Vazirmatn" w:hAnsi="Vazirmatn" w:cs="Vazirmatn"/>
                <w:sz w:val="21"/>
                <w:szCs w:val="21"/>
                <w:color w:val="2D2D2D"/>
                <w:lang w:val="en-US" w:bidi="fa-IR"/>
              </w:rPr>
              <w:t xml:space="preserve"> </w:t>
            </w: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Role</w:t>
            </w:r>
          </w:p>
        </w:tc>
        <w:tc>
          <w:tcPr>
            <w:tcW w:type="dxa" w:w="3212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 w:val="0"/>
              <w:spacing w:line="276" w:lineRule="auto" w:after="80"/>
              <w:jc w:val="left"/>
            </w:pP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Database</w:t>
            </w:r>
          </w:p>
        </w:tc>
        <w:tc>
          <w:tcPr>
            <w:tcW w:type="dxa" w:w="3214"/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8D8D8"/>
              <w:bottom w:val="single" w:sz="4" w:space="0" w:color="D8D8D8"/>
              <w:left w:val="single" w:sz="4" w:space="0" w:color="D8D8D8"/>
              <w:right w:val="single" w:sz="4" w:space="0" w:color="D8D8D8"/>
            </w:tcBorders>
          </w:tcPr>
          <w:p>
            <w:pPr>
              <w:bidi w:val="0"/>
              <w:spacing w:line="276" w:lineRule="auto" w:after="80"/>
              <w:jc w:val="left"/>
            </w:pPr>
            <w:r>
              <w:rPr>
                <w:rFonts w:ascii="Segoe UI" w:hAnsi="Segoe UI" w:cs="Vazirmatn"/>
                <w:sz w:val="21"/>
                <w:szCs w:val="21"/>
                <w:color w:val="2D2D2D"/>
                <w:lang w:val="en-US" w:bidi="fa-IR"/>
                <w:rtl w:val="0"/>
              </w:rPr>
              <w:t>db_datareader</w:t>
            </w:r>
          </w:p>
        </w:tc>
      </w:tr>
    </w:tbl>
    <w:p>
      <w:pPr>
        <w:spacing w:before="0" w:after="120"/>
      </w:pPr>
      <w:r/>
    </w:p>
    <w:p>
      <w:pPr>
        <w:bidi w:val="1"/>
        <w:spacing w:line="336" w:lineRule="auto" w:after="120"/>
        <w:jc w:val="both"/>
      </w:pP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این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مدل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استثناهایی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دارد.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برای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مثال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Contained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Database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User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(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کاربر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Database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مستقل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از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Login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سطح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Instance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)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می‌تواند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بدون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Login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متناظر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کار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کند.</w:t>
      </w:r>
    </w:p>
    <w:p>
      <w:pPr>
        <w:bidi w:val="1"/>
        <w:spacing w:line="336" w:lineRule="auto" w:after="120"/>
        <w:jc w:val="both"/>
      </w:pP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نمونه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دستورات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T-SQL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برای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تعریف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Login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سطح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سرور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و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اعطای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نقش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به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User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در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سطح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 xml:space="preserve"> </w:t>
      </w:r>
      <w:r>
        <w:rPr>
          <w:rFonts w:ascii="Segoe UI" w:hAnsi="Segoe UI" w:cs="Vazirmatn"/>
          <w:sz w:val="22"/>
          <w:szCs w:val="22"/>
          <w:color w:val="2D2D2D"/>
          <w:lang w:val="en-US" w:bidi="fa-IR"/>
          <w:rtl w:val="0"/>
        </w:rPr>
        <w:t>Database</w:t>
      </w:r>
      <w:r>
        <w:rPr>
          <w:rFonts w:ascii="Vazirmatn" w:hAnsi="Vazirmatn" w:cs="Vazirmatn"/>
          <w:sz w:val="22"/>
          <w:szCs w:val="22"/>
          <w:color w:val="2D2D2D"/>
          <w:lang w:val="en-US" w:bidi="fa-IR"/>
        </w:rPr>
        <w:t>:</w:t>
      </w:r>
    </w:p>
    <w:tbl>
      <w:tblPr>
        <w:tblW w:type="dxa" w:w="9638"/>
        <w:tblLayout w:type="fixed"/>
        <w:tblLook w:firstColumn="1" w:firstRow="1" w:lastColumn="0" w:lastRow="0" w:noHBand="0" w:noVBand="1" w:val="04A0"/>
        <w:tblDescription w:val="code_block"/>
        <w:jc w:val="center"/>
      </w:tblPr>
      <w:tblGrid>
        <w:gridCol w:w="9638"/>
      </w:tblGrid>
      <w:tr>
        <w:tc>
          <w:tcPr>
            <w:tcW w:type="dxa" w:w="9638"/>
            <w:shd w:val="clear" w:color="auto" w:fill="F6F8FA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4" w:space="0" w:color="D0D7DE"/>
              <w:bottom w:val="single" w:sz="4" w:space="0" w:color="D0D7DE"/>
              <w:left w:val="single" w:sz="4" w:space="0" w:color="D0D7DE"/>
              <w:right w:val="single" w:sz="4" w:space="0" w:color="D0D7DE"/>
            </w:tcBorders>
          </w:tcPr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i/>
                <w:iCs/>
                <w:color w:val="60a0b0"/>
                <w:lang w:val="en-US" w:bidi="fa-IR"/>
                <w:rtl w:val="0"/>
              </w:rPr>
              <w:t>-- ایجاد Login ویندوزی در سطح Instance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CREATE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LOGIN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[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DOMAIN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\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Niloofar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]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FROM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WINDOWS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;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GO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i/>
                <w:iCs/>
                <w:color w:val="60a0b0"/>
                <w:lang w:val="en-US" w:bidi="fa-IR"/>
                <w:rtl w:val="0"/>
              </w:rPr>
              <w:t>-- اتصال به پایگاه داده و ایجاد User متناظر همراه با عضویت در Role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USE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[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SalesDatabase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]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;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GO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CREATE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USER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[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Niloofar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]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FOR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LOGIN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[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DOMAIN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\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Niloofar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]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;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ALTER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ROLE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[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db_datareader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]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ADD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MEMBER</w:t>
            </w:r>
            <w:r>
              <w:rPr>
                <w:rFonts w:ascii="Courier New" w:hAnsi="Courier New" w:cs="Vazirmatn"/>
                <w:sz w:val="19"/>
                <w:szCs w:val="19"/>
                <w:color w:val="bbbbbb"/>
                <w:lang w:val="en-US" w:bidi="fa-IR"/>
                <w:rtl w:val="0"/>
              </w:rPr>
              <w:t xml:space="preserve"> 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[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Niloofar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]</w:t>
            </w:r>
            <w:r>
              <w:rPr>
                <w:rFonts w:ascii="Courier New" w:hAnsi="Courier New" w:cs="Vazirmatn"/>
                <w:sz w:val="19"/>
                <w:szCs w:val="19"/>
                <w:color w:val="24292E"/>
                <w:lang w:val="en-US" w:bidi="fa-IR"/>
                <w:rtl w:val="0"/>
              </w:rPr>
              <w:t>;</w:t>
            </w:r>
          </w:p>
          <w:p>
            <w:pPr>
              <w:bidi w:val="0"/>
              <w:spacing w:before="0" w:after="0" w:line="276" w:lineRule="auto"/>
              <w:jc w:val="left"/>
            </w:pPr>
            <w:r>
              <w:rPr>
                <w:rFonts w:ascii="Courier New" w:hAnsi="Courier New" w:cs="Vazirmatn"/>
                <w:sz w:val="19"/>
                <w:szCs w:val="19"/>
                <w:b/>
                <w:bCs/>
                <w:color w:val="007020"/>
                <w:lang w:val="en-US" w:bidi="fa-IR"/>
                <w:rtl w:val="0"/>
              </w:rPr>
              <w:t>GO</w:t>
            </w:r>
          </w:p>
        </w:tc>
      </w:tr>
    </w:tbl>
    <w:p>
      <w:pPr>
        <w:spacing w:before="0" w:after="120"/>
      </w:pPr>
      <w:r/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  <w:bidi w:val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bidi w:val="1"/>
      <w:jc w:val="both"/>
    </w:pPr>
    <w:rPr>
      <w:rFonts w:ascii="Segoe UI" w:hAnsi="Segoe UI" w:cs="Vazirmatn"/>
      <w:sz w:val="22"/>
      <w:szCs w:val="22"/>
      <w:lang w:val="en-US" w:bidi="fa-IR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