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______075299df"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عنوان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یک: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معماری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سرویس‌ها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واژگان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Docker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سنجش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BiDi.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_________________________12526896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عنوان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دو: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پیکربندی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نگارش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مختلف: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حالت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b/>
          <w:bCs/>
          <w:color w:val="2D2D2D"/>
          <w:lang w:val="en-US" w:bidi="fa-IR"/>
          <w:rtl w:val="0"/>
        </w:rPr>
        <w:t>(Bold)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حالت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  <w:rtl w:val="0"/>
        </w:rPr>
        <w:t>(Italic)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b/>
          <w:bCs/>
          <w:i/>
          <w:iCs/>
          <w:color w:val="2D2D2D"/>
          <w:lang w:val="en-US" w:bidi="fa-IR"/>
          <w:rtl w:val="0"/>
        </w:rPr>
        <w:t>Bold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b/>
          <w:bCs/>
          <w:i/>
          <w:iCs/>
          <w:color w:val="2D2D2D"/>
          <w:lang w:val="en-US" w:bidi="fa-IR"/>
          <w:rtl w:val="0"/>
        </w:rPr>
        <w:t>Italic</w:t>
      </w:r>
      <w:r>
        <w:rPr>
          <w:rFonts w:ascii="Vazirmatn" w:hAnsi="Vazirmatn" w:cs="Vazirmatn"/>
          <w:sz w:val="22"/>
          <w:szCs w:val="22"/>
          <w:b/>
          <w:bCs/>
          <w:i/>
          <w:iCs/>
          <w:color w:val="2D2D2D"/>
          <w:lang w:val="en-US" w:bidi="fa-IR"/>
        </w:rPr>
        <w:t>)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strike/>
          <w:color w:val="2D2D2D"/>
          <w:lang w:val="en-US" w:bidi="fa-IR"/>
        </w:rPr>
        <w:t>خط‌خورده</w:t>
      </w:r>
      <w:r>
        <w:rPr>
          <w:rFonts w:ascii="Vazirmatn" w:hAnsi="Vazirmatn" w:cs="Vazirmatn"/>
          <w:sz w:val="22"/>
          <w:szCs w:val="22"/>
          <w:strike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strike/>
          <w:color w:val="2D2D2D"/>
          <w:lang w:val="en-US" w:bidi="fa-IR"/>
          <w:rtl w:val="0"/>
        </w:rPr>
        <w:t>(Strikeout)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vertAlign w:val="superscript"/>
          <w:color w:val="2D2D2D"/>
          <w:lang w:val="en-US" w:bidi="fa-IR"/>
        </w:rPr>
        <w:t>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شیمیایی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vertAlign w:val="subscript"/>
          <w:color w:val="2D2D2D"/>
          <w:lang w:val="en-US" w:bidi="fa-IR"/>
        </w:rPr>
        <w:t>۲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  <w:rtl w:val="0"/>
        </w:rPr>
        <w:t>const port = 8080;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قلم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مونو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96"/>
        <w:gridCol w:w="8342"/>
      </w:tblGrid>
      <w:tr>
        <w:trPr>
          <w:cantSplit/>
        </w:trPr>
        <w:tc>
          <w:tcPr>
            <w:tcW w:type="dxa" w:w="129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</w:t>
            </w:r>
          </w:p>
        </w:tc>
        <w:tc>
          <w:tcPr>
            <w:tcW w:type="dxa" w:w="834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2"/>
            </w:pPr>
            <w:bookmarkStart w:id="3" w:name="md______________________________08429a41"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سه: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پیوندها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تصاویر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hyperlink r:id="rId9"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>پیوند</w:t>
        </w:r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 xml:space="preserve"> </w:t>
        </w:r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>وب</w:t>
        </w:r>
      </w:hyperlink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1" name="Picture 1" descr="عکس ۱" title="عکس 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پیونددار: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hyperlink r:id="rId9">
        <w:r>
          <w:drawing>
            <wp:inline xmlns:a="http://schemas.openxmlformats.org/drawingml/2006/main" xmlns:pic="http://schemas.openxmlformats.org/drawingml/2006/picture">
              <wp:extent cx="3031366" cy="1371600"/>
              <wp:docPr id="2" name="Picture 2" descr="لوگوی کلیک‌خور" title="لوگوی کلیک‌خور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image.png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31366" cy="1371600"/>
                      </a:xfrm>
                      <a:prstGeom prst="rect"/>
                    </pic:spPr>
                  </pic:pic>
                </a:graphicData>
              </a:graphic>
            </wp:inline>
          </w:drawing>
        </w:r>
      </w:hyperlink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عنوان: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911908" cy="1371600"/>
            <wp:docPr id="3" name="Picture 3" descr="توضیح دسترسی‌پذیری" title="شکل ۱-۲. دیاگرام استقرار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1908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670"/>
        <w:gridCol w:w="7968"/>
      </w:tblGrid>
      <w:tr>
        <w:trPr>
          <w:cantSplit/>
        </w:trPr>
        <w:tc>
          <w:tcPr>
            <w:tcW w:type="dxa" w:w="167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</w:t>
            </w:r>
          </w:p>
        </w:tc>
        <w:tc>
          <w:tcPr>
            <w:tcW w:type="dxa" w:w="796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3"/>
            </w:pPr>
            <w:bookmarkStart w:id="4" w:name="md______________________________29611746"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چهار: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لیست‌های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تو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تو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۱.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آماده‌سازی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</w:p>
    <w:p>
      <w:pPr>
        <w:bidi w:val="1"/>
        <w:spacing w:line="336" w:lineRule="auto" w:after="40"/>
        <w:ind w:right="103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۱.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پکیج‌های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</w:p>
    <w:p>
      <w:pPr>
        <w:bidi w:val="1"/>
        <w:spacing w:line="336" w:lineRule="auto" w:after="40"/>
        <w:ind w:right="103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۲.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فایروال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۲.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دوم: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راه‌اندازی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</w:p>
    <w:p>
      <w:pPr>
        <w:bidi w:val="1"/>
        <w:spacing w:line="336" w:lineRule="auto" w:after="40"/>
        <w:ind w:right="103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دیتابیس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  <w:rtl w:val="0"/>
        </w:rPr>
        <w:t>ProductionDB</w:t>
      </w:r>
    </w:p>
    <w:p>
      <w:pPr>
        <w:bidi w:val="1"/>
        <w:spacing w:line="336" w:lineRule="auto" w:after="40"/>
        <w:ind w:right="103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ادمین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2044"/>
        <w:gridCol w:w="7594"/>
      </w:tblGrid>
      <w:tr>
        <w:trPr>
          <w:cantSplit/>
        </w:trPr>
        <w:tc>
          <w:tcPr>
            <w:tcW w:type="dxa" w:w="2044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۱.۱.۱.۱.۱</w:t>
            </w:r>
          </w:p>
        </w:tc>
        <w:tc>
          <w:tcPr>
            <w:tcW w:type="dxa" w:w="759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4"/>
            </w:pPr>
            <w:bookmarkStart w:id="5" w:name="md______________________________8e59d2ec"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پنج: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نقل‌قول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تعاریف</w:t>
            </w:r>
            <w:bookmarkEnd w:id="5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چندخطی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توضیح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تکمیلی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آمده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line="336" w:lineRule="auto" w:before="120" w:after="40"/>
        <w:jc w:val="right"/>
      </w:pP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اول</w:t>
      </w:r>
    </w:p>
    <w:p>
      <w:pPr>
        <w:bidi w:val="1"/>
        <w:spacing w:line="336" w:lineRule="auto" w:after="80"/>
        <w:ind w:right="432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تعاریف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2419"/>
        <w:gridCol w:w="7219"/>
      </w:tblGrid>
      <w:tr>
        <w:trPr>
          <w:cantSplit/>
        </w:trPr>
        <w:tc>
          <w:tcPr>
            <w:tcW w:type="dxa" w:w="2419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۱.۱.۱.۱.۱.۱</w:t>
            </w:r>
          </w:p>
        </w:tc>
        <w:tc>
          <w:tcPr>
            <w:tcW w:type="dxa" w:w="721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5"/>
            </w:pPr>
            <w:bookmarkStart w:id="6" w:name="md______________________________d0d937df"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شش: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جدول‌ها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فرمول‌ها</w:t>
            </w:r>
            <w:bookmarkEnd w:id="6"/>
          </w:p>
        </w:tc>
      </w:tr>
    </w:tbl>
    <w:p>
      <w:pPr>
        <w:spacing w:before="0" w:after="120"/>
        <w:keepNext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2409"/>
        <w:gridCol w:w="2409"/>
        <w:gridCol w:w="2409"/>
        <w:gridCol w:w="2411"/>
      </w:tblGrid>
      <w:tr>
        <w:trPr>
          <w:tblHeader/>
          <w:cantSplit/>
        </w:trPr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</w:p>
        </w:tc>
        <w:tc>
          <w:tcPr>
            <w:tcW w:type="dxa" w:w="2411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</w:p>
        </w:tc>
      </w:tr>
      <w:t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101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Gateway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102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Queue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AMQP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پردازش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مستقل: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پاورقی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ارجاع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vertAlign w:val="superscript"/>
        </w:rPr>
        <w:footnoteReference w:id="1"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HTML</w:t>
      </w:r>
      <w:r>
        <w:br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# کد نمونه پایتون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calculate_metrics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sum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Services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active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اجرایی در کادر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راهنما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درون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یادداشت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همراه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بلاک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تو:</w:t>
            </w:r>
          </w:p>
          <w:tbl>
            <w:tblPr>
              <w:tblW w:type="pct" w:w="5000"/>
              <w:tblLayout w:type="fixed"/>
              <w:tblLook w:firstColumn="1" w:firstRow="1" w:lastColumn="0" w:lastRow="0" w:noHBand="0" w:noVBand="1" w:val="04A0"/>
              <w:tblDescription w:val="code_block"/>
              <w:jc w:val="center"/>
            </w:tblPr>
            <w:tblGrid>
              <w:gridCol w:w="9318"/>
            </w:tblGrid>
            <w:tr>
              <w:tc>
                <w:tcPr>
                  <w:tcW w:type="dxa" w:w="9638"/>
                  <w:shd w:val="clear" w:color="auto" w:fill="F6F8FA"/>
                  <w:tcMar>
                    <w:top w:w="120" w:type="dxa"/>
                    <w:bottom w:w="120" w:type="dxa"/>
                    <w:left w:w="160" w:type="dxa"/>
                    <w:right w:w="160" w:type="dxa"/>
                  </w:tcMar>
                  <w:tcBorders>
                    <w:top w:val="single" w:sz="4" w:space="0" w:color="D0D7DE"/>
                    <w:bottom w:val="single" w:sz="4" w:space="0" w:color="D0D7DE"/>
                    <w:left w:val="single" w:sz="4" w:space="0" w:color="D0D7DE"/>
                    <w:right w:val="single" w:sz="4" w:space="0" w:color="D0D7DE"/>
                  </w:tcBorders>
                </w:tcPr>
                <w:p>
                  <w:pPr>
                    <w:bidi w:val="0"/>
                    <w:spacing w:before="0" w:after="0" w:line="276" w:lineRule="auto"/>
                    <w:jc w:val="left"/>
                  </w:pPr>
                  <w:r>
                    <w:rPr>
                      <w:rFonts w:ascii="Courier New" w:hAnsi="Courier New" w:cs="Vazirmatn"/>
                      <w:sz w:val="19"/>
                      <w:szCs w:val="19"/>
                      <w:b/>
                      <w:bCs/>
                      <w:color w:val="007020"/>
                      <w:lang w:val="en-US" w:bidi="fa-IR"/>
                      <w:rtl w:val="0"/>
                    </w:rPr>
                    <w:t>const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isServiceHealthy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(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  <w:rtl w:val="0"/>
                    </w:rPr>
                    <w:t>number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)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  <w:rtl w:val="0"/>
                    </w:rPr>
                    <w:t>boolean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=&gt;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===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40a070"/>
                      <w:lang w:val="en-US" w:bidi="fa-IR"/>
                      <w:rtl w:val="0"/>
                    </w:rPr>
                    <w:t>200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;</w:t>
                  </w:r>
                </w:p>
              </w:tc>
            </w:tr>
          </w:tbl>
          <w:p/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این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متن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پاورقی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فنی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برای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سند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>است.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