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۱.۰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عنوان سطح یک: معماری سرویس‌ها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پاراگراف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واژگان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لاتین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Docker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سنجش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BiDi.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۱.۱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عنوان سطح دو: پیکربندی و نگارش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استایل‌های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مختلف: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>حالت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>پررنگ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b/>
          <w:bCs/>
          <w:color w:val="2D2D2D"/>
          <w:lang w:val="en-US" w:bidi="fa-IR"/>
          <w:rtl w:val="0"/>
        </w:rPr>
        <w:t>(Bold)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>حالت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>کج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i/>
          <w:iCs/>
          <w:color w:val="2D2D2D"/>
          <w:lang w:val="en-US" w:bidi="fa-IR"/>
          <w:rtl w:val="0"/>
        </w:rPr>
        <w:t>(Italic)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پررنگ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کج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b/>
          <w:bCs/>
          <w:i/>
          <w:iCs/>
          <w:color w:val="2D2D2D"/>
          <w:lang w:val="en-US" w:bidi="fa-IR"/>
          <w:rtl w:val="0"/>
        </w:rPr>
        <w:t>Bold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b/>
          <w:bCs/>
          <w:i/>
          <w:iCs/>
          <w:color w:val="2D2D2D"/>
          <w:lang w:val="en-US" w:bidi="fa-IR"/>
          <w:rtl w:val="0"/>
        </w:rPr>
        <w:t>Italic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)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strike/>
          <w:color w:val="2D2D2D"/>
          <w:lang w:val="en-US" w:bidi="fa-IR"/>
        </w:rPr>
        <w:t>خط‌خورده</w:t>
      </w:r>
      <w:r>
        <w:rPr>
          <w:rFonts w:ascii="Vazirmatn" w:hAnsi="Vazirmatn" w:cs="Vazirmatn"/>
          <w:sz w:val="21"/>
          <w:szCs w:val="21"/>
          <w:strike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strike/>
          <w:color w:val="2D2D2D"/>
          <w:lang w:val="en-US" w:bidi="fa-IR"/>
          <w:rtl w:val="0"/>
        </w:rPr>
        <w:t>(Strikeout)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توان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ریاضی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vertAlign w:val="superscript"/>
          <w:color w:val="2D2D2D"/>
          <w:lang w:val="en-US" w:bidi="fa-IR"/>
        </w:rPr>
        <w:t>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زیروند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شیمیایی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vertAlign w:val="subscript"/>
          <w:color w:val="2D2D2D"/>
          <w:lang w:val="en-US" w:bidi="fa-IR"/>
        </w:rPr>
        <w:t>۲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Courier New" w:hAnsi="Courier New" w:cs="Courier New"/>
          <w:sz w:val="21"/>
          <w:szCs w:val="21"/>
          <w:color w:val="2D2D2D"/>
          <w:lang w:val="en-US" w:bidi="fa-IR"/>
          <w:rtl w:val="0"/>
        </w:rPr>
        <w:t>const port = 8080;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قلم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مونو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16"/>
        <w:gridCol w:w="8422"/>
      </w:tblGrid>
      <w:tr>
        <w:tc>
          <w:tcPr>
            <w:tcW w:type="dxa" w:w="121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۱.۱.۱</w:t>
            </w:r>
          </w:p>
        </w:tc>
        <w:tc>
          <w:tcPr>
            <w:tcW w:type="dxa" w:w="842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سه: پیوندها و تصاویر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hyperlink r:id="rId9">
        <w:r>
          <w:rPr>
            <w:rFonts w:ascii="Vazirmatn" w:hAnsi="Vazirmatn" w:cs="Vazirmatn"/>
            <w:sz w:val="22"/>
            <w:szCs w:val="22"/>
            <w:color w:val="0563C1"/>
            <w:lang w:val="en-US" w:bidi="fa-IR"/>
          </w:rPr>
          <w:t>پیوند</w:t>
        </w:r>
        <w:r>
          <w:rPr>
            <w:rFonts w:ascii="Vazirmatn" w:hAnsi="Vazirmatn" w:cs="Vazirmatn"/>
            <w:sz w:val="22"/>
            <w:szCs w:val="22"/>
            <w:color w:val="0563C1"/>
            <w:lang w:val="en-US" w:bidi="fa-IR"/>
          </w:rPr>
          <w:t xml:space="preserve"> </w:t>
        </w:r>
        <w:r>
          <w:rPr>
            <w:rFonts w:ascii="Vazirmatn" w:hAnsi="Vazirmatn" w:cs="Vazirmatn"/>
            <w:sz w:val="22"/>
            <w:szCs w:val="22"/>
            <w:color w:val="0563C1"/>
            <w:lang w:val="en-US" w:bidi="fa-IR"/>
          </w:rPr>
          <w:t>وب</w:t>
        </w:r>
      </w:hyperlink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تصویر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شروع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3031366" cy="1371600"/>
            <wp:docPr id="1" name="Picture 1" descr="عکس ۱" title="عکس 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1366" cy="1371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پاراگراف.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تصویر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پیونددار: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hyperlink r:id="rId9">
        <w:r>
          <w:drawing>
            <wp:inline xmlns:a="http://schemas.openxmlformats.org/drawingml/2006/main" xmlns:pic="http://schemas.openxmlformats.org/drawingml/2006/picture">
              <wp:extent cx="3031366" cy="1371600"/>
              <wp:docPr id="2" name="Picture 2" descr="لوگوی کلیک‌خور" title="لوگوی کلیک‌خور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image.png"/>
                      <pic:cNvPicPr/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31366" cy="1371600"/>
                      </a:xfrm>
                      <a:prstGeom prst="rect"/>
                    </pic:spPr>
                  </pic:pic>
                </a:graphicData>
              </a:graphic>
            </wp:inline>
          </w:drawing>
        </w:r>
      </w:hyperlink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تصویر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عنوان: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911908" cy="1371600"/>
            <wp:docPr id="3" name="Picture 3" descr="توضیح دسترسی‌پذیری" title="شکل ۱-۲. دیاگرام استقرار سروره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1908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590"/>
        <w:gridCol w:w="8048"/>
      </w:tblGrid>
      <w:tr>
        <w:tc>
          <w:tcPr>
            <w:tcW w:type="dxa" w:w="159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۱.۱.۱.۱</w:t>
            </w:r>
          </w:p>
        </w:tc>
        <w:tc>
          <w:tcPr>
            <w:tcW w:type="dxa" w:w="804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چهار: لیست‌های تو در تو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۱.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گام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اول: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آماده‌سازی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سرور</w:t>
      </w:r>
    </w:p>
    <w:p>
      <w:pPr>
        <w:bidi w:val="1"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۱.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نصب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پکیج‌های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پایه</w:t>
      </w:r>
    </w:p>
    <w:p>
      <w:pPr>
        <w:bidi w:val="1"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۲.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پیکربندی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فایروال</w:t>
      </w:r>
    </w:p>
    <w:p>
      <w:pPr>
        <w:bidi w:val="1"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۲.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گام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دوم: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راه‌اندازی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داده</w:t>
      </w:r>
    </w:p>
    <w:p>
      <w:pPr>
        <w:bidi w:val="1"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ایجاد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دیتابیس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Courier New" w:hAnsi="Courier New" w:cs="Courier New"/>
          <w:sz w:val="21"/>
          <w:szCs w:val="21"/>
          <w:color w:val="2D2D2D"/>
          <w:lang w:val="en-US" w:bidi="fa-IR"/>
          <w:rtl w:val="0"/>
        </w:rPr>
        <w:t>ProductionDB</w:t>
      </w:r>
    </w:p>
    <w:p>
      <w:pPr>
        <w:bidi w:val="1"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ایجاد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ادمین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64"/>
        <w:gridCol w:w="7674"/>
      </w:tblGrid>
      <w:tr>
        <w:tc>
          <w:tcPr>
            <w:tcW w:type="dxa" w:w="1964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۱.۱.۱.۱.۱</w:t>
            </w:r>
          </w:p>
        </w:tc>
        <w:tc>
          <w:tcPr>
            <w:tcW w:type="dxa" w:w="767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پنج: نقل‌قول و تعاریف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یک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نقل‌قول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چندخطی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bidi w:val="1"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خط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دوم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نقل‌قول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توضیح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تکمیلی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آمده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bidi w:val="1"/>
        <w:spacing w:before="120" w:after="40"/>
        <w:jc w:val="start"/>
      </w:pP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>اصطلاح</w:t>
      </w: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>اول</w:t>
      </w:r>
    </w:p>
    <w:p>
      <w:pPr>
        <w:bidi w:val="1"/>
        <w:spacing w:after="80"/>
        <w:ind w:right="432"/>
        <w:jc w:val="both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تعریف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اصطلاح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لیست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تعاریف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2339"/>
        <w:gridCol w:w="7299"/>
      </w:tblGrid>
      <w:tr>
        <w:tc>
          <w:tcPr>
            <w:tcW w:type="dxa" w:w="2339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۱.۱.۱.۱.۱.۱</w:t>
            </w:r>
          </w:p>
        </w:tc>
        <w:tc>
          <w:tcPr>
            <w:tcW w:type="dxa" w:w="7299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شش: جدول‌ها و فرمول‌ها</w:t>
            </w:r>
          </w:p>
        </w:tc>
      </w:tr>
    </w:tbl>
    <w:p>
      <w:pPr>
        <w:spacing w:before="0" w:after="120"/>
        <w:keepNext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شناسه</w:t>
            </w:r>
          </w:p>
        </w:tc>
        <w:tc>
          <w:tcPr>
            <w:tcW w:type="dxa" w:w="2409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نام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مؤلفه</w:t>
            </w:r>
          </w:p>
        </w:tc>
        <w:tc>
          <w:tcPr>
            <w:tcW w:type="dxa" w:w="2409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پروتکل</w:t>
            </w:r>
          </w:p>
        </w:tc>
        <w:tc>
          <w:tcPr>
            <w:tcW w:type="dxa" w:w="2411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</w:t>
            </w:r>
          </w:p>
        </w:tc>
      </w:tr>
      <w:tr>
        <w:trPr>
          <w:cantSplit/>
        </w:trPr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101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Auth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Gateway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center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</w:t>
            </w:r>
          </w:p>
        </w:tc>
        <w:tc>
          <w:tcPr>
            <w:tcW w:type="dxa" w:w="241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  <w:tr>
        <w:trPr>
          <w:cantSplit/>
        </w:trPr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102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Worker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Queue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center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AMQP</w:t>
            </w:r>
          </w:p>
        </w:tc>
        <w:tc>
          <w:tcPr>
            <w:tcW w:type="dxa" w:w="241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righ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پردازش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فرمول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ریاضی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m:oMath>
        <m:e>
          <m:sSup>
            <m:e>
              <m:r>
                <m:rPr>
                  <m:sty m:val="i"/>
                </m:rPr>
                <m:t xml:space="preserve">E = mc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i"/>
            </m:rPr>
            <m:t xml:space="preserve"/>
          </m:r>
        </m:e>
      </m:oMath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فرمول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مستقل:</w:t>
      </w:r>
    </w:p>
    <w:p>
      <w:pPr>
        <w:bidi w:val="0"/>
        <w:spacing w:line="336" w:lineRule="auto" w:after="120"/>
        <w:jc w:val="both"/>
      </w:pPr>
      <m:oMathPara>
        <m:oMath>
          <m:nary>
            <m:naryPr>
              <m:chr m:val="∑"/>
            </m:naryPr>
            <m:sub>
              <m:r>
                <m:rPr>
                  <m:sty m:val="i"/>
                </m:rPr>
                <m:t xml:space="preserve">i=1</m:t>
              </m:r>
            </m:sub>
            <m:sup>
              <m:r>
                <m:rPr>
                  <m:sty m:val="i"/>
                </m:rPr>
                <m:t xml:space="preserve">n</m:t>
              </m:r>
            </m:sup>
            <m:e>
              <m:e>
                <m:sSub>
                  <m:e>
                    <m:r>
                      <m:rPr>
                        <m:sty m:val="i"/>
                      </m:rPr>
                      <m:t xml:space="preserve">x_i = X</m:t>
                    </m:r>
                  </m:e>
                  <m:sub>
                    <m:r>
                      <m:rPr>
                        <m:sty m:val="i"/>
                      </m:rPr>
                      <m:t xml:space="preserve">total</m:t>
                    </m:r>
                  </m:sub>
                </m:sSub>
                <m:r>
                  <m:rPr>
                    <m:sty m:val="i"/>
                  </m:rPr>
                  <m:t xml:space="preserve"/>
                </m:r>
              </m:e>
            </m:e>
          </m:nary>
        </m:oMath>
      </m:oMathPara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پاورقی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ارجاع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فنی</w:t>
      </w:r>
      <w:r>
        <w:rPr>
          <w:vertAlign w:val="superscript"/>
        </w:rPr>
        <w:footnoteReference w:id="1"/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شکست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HTML</w:t>
      </w:r>
      <w:r>
        <w:br/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شکست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خط.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# کد نمونه پایتون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  <w:rtl w:val="0"/>
              </w:rPr>
              <w:t>calculate_metrics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items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sum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items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SELECT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Services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active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اجرایی در کادر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راهنما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درون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کادر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یادداشت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همراه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بلاک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تو:</w:t>
            </w:r>
          </w:p>
          <w:tbl>
            <w:tblPr>
              <w:tblW w:type="pct" w:w="5000"/>
              <w:tblLayout w:type="fixed"/>
              <w:tblLook w:firstColumn="1" w:firstRow="1" w:lastColumn="0" w:lastRow="0" w:noHBand="0" w:noVBand="1" w:val="04A0"/>
              <w:jc w:val="center"/>
            </w:tblPr>
            <w:tblGrid>
              <w:gridCol w:w="9638"/>
            </w:tblGrid>
            <w:tr>
              <w:tc>
                <w:tcPr>
                  <w:tcW w:type="dxa" w:w="9638"/>
                  <w:shd w:val="clear" w:color="auto" w:fill="F6F8FA"/>
                  <w:tcMar>
                    <w:top w:w="120" w:type="dxa"/>
                    <w:bottom w:w="120" w:type="dxa"/>
                    <w:left w:w="160" w:type="dxa"/>
                    <w:right w:w="160" w:type="dxa"/>
                  </w:tcMar>
                  <w:tcBorders>
                    <w:top w:val="single" w:sz="4" w:space="0" w:color="D0D7DE"/>
                    <w:bottom w:val="single" w:sz="4" w:space="0" w:color="D0D7DE"/>
                    <w:left w:val="single" w:sz="4" w:space="0" w:color="D0D7DE"/>
                    <w:right w:val="single" w:sz="4" w:space="0" w:color="D0D7DE"/>
                  </w:tcBorders>
                </w:tcPr>
                <w:p>
                  <w:pPr>
                    <w:bidi w:val="0"/>
                    <w:spacing w:before="0" w:after="0" w:line="276" w:lineRule="auto"/>
                    <w:jc w:val="left"/>
                  </w:pPr>
                  <w:r>
                    <w:rPr>
                      <w:rFonts w:ascii="Courier New" w:hAnsi="Courier New" w:cs="Vazirmatn"/>
                      <w:sz w:val="19"/>
                      <w:szCs w:val="19"/>
                      <w:b/>
                      <w:bCs/>
                      <w:color w:val="007020"/>
                      <w:lang w:val="en-US" w:bidi="fa-IR"/>
                      <w:rtl w:val="0"/>
                    </w:rPr>
                    <w:t>const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isServiceHealthy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  <w:rtl w:val="0"/>
                    </w:rPr>
                    <w:t>=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(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status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  <w:rtl w:val="0"/>
                    </w:rPr>
                    <w:t>: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902000"/>
                      <w:lang w:val="en-US" w:bidi="fa-IR"/>
                      <w:rtl w:val="0"/>
                    </w:rPr>
                    <w:t>number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)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  <w:rtl w:val="0"/>
                    </w:rPr>
                    <w:t>: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902000"/>
                      <w:lang w:val="en-US" w:bidi="fa-IR"/>
                      <w:rtl w:val="0"/>
                    </w:rPr>
                    <w:t>boolean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=&gt;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status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  <w:rtl w:val="0"/>
                    </w:rPr>
                    <w:t>===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  <w:rtl w:val="0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40a070"/>
                      <w:lang w:val="en-US" w:bidi="fa-IR"/>
                      <w:rtl w:val="0"/>
                    </w:rPr>
                    <w:t>200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  <w:rtl w:val="0"/>
                    </w:rPr>
                    <w:t>;</w:t>
                  </w:r>
                </w:p>
              </w:tc>
            </w:tr>
          </w:tbl>
          <w:p/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  <w:bookmarkStart w:id="43491" w:name="عنوان-سطح-یک-معماری-سرویسها"/>
    <w:bookmarkEnd w:id="43491">
      <w:bookmarkStart w:id="51536" w:name="عنوان-سطح-دو-پیکربندی-و-نگارش"/>
      <w:bookmarkEnd w:id="51536"/>
      <w:bookmarkStart w:id="43299" w:name="عنوان-سطح-سه-پیوندها-و-تصاویر"/>
      <w:bookmarkEnd w:id="43299"/>
      <w:bookmarkStart w:id="66973" w:name="عنوان-سطح-چهار-لیستهای-تو-در-تو"/>
      <w:bookmarkEnd w:id="66973"/>
      <w:bookmarkStart w:id="7422" w:name="عنوان-سطح-پنج-نقلقول-و-تعاریف"/>
      <w:bookmarkEnd w:id="7422"/>
      <w:bookmarkStart w:id="15423" w:name="عنوان-سطح-شش-جدولها-و-فرمولها"/>
      <w:bookmarkEnd w:id="15423"/>
    </w:bookmarkEnd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rPr>
          <w:rFonts w:ascii="Vazirmatn" w:hAnsi="Vazirmatn" w:cs="Vazirmatn"/>
          <w:sz w:val="19"/>
          <w:szCs w:val="19"/>
          <w:color w:val="2D2D2D"/>
          <w:lang w:val="en-US" w:bidi="fa-IR"/>
        </w:rPr>
        <w:t xml:space="preserve"> این متن پاورقی فنی برای سند است.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