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0"/>
              </w:rPr>
              <w:t>1.0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Distributed Cache and Persistence Architecture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1.1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Cache-Aside Pattern and Invalidation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start"/>
            </w:pP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0"/>
        <w:spacing w:before="40" w:after="200"/>
        <w:jc w:val="center"/>
      </w:pP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and asynchronous replenishment.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1.2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 Access Implementation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json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Partitioned Orders schema with clustered index and foreign constraints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Filtered nonclustered index for high-velocity pending transactions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IX_Orders_Pending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1.3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Cluster Node Telemetry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nodes.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0.35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"2026-09-05T14:30:00Z"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Primary cluster topology and network routing map" title="Primary cluster topology and network routing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0"/>
              </w:rPr>
              <w:t>1.3.1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Cluster Node Status Matrix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Health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0.8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0ms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1ms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512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Quorum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1.4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Maintenance and Backup Procedures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23772" w:name="distributed-cache-and-persistence-archit"/>
    <w:bookmarkEnd w:id="23772">
      <w:bookmarkStart w:id="10778" w:name="cache-aside-pattern-and-invalidation"/>
      <w:bookmarkEnd w:id="10778"/>
      <w:bookmarkStart w:id="91085" w:name="data-access-implementation"/>
      <w:bookmarkEnd w:id="91085"/>
      <w:bookmarkStart w:id="28463" w:name="cluster-node-telemetry"/>
      <w:bookmarkEnd w:id="28463"/>
      <w:bookmarkStart w:id="18695" w:name="cluster-node-status-matrix"/>
      <w:bookmarkEnd w:id="18695"/>
      <w:bookmarkStart w:id="31723" w:name="maintenance-and-backup-procedures"/>
      <w:bookmarkEnd w:id="31723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