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  <w:rtl w:val="1"/>
              </w:rPr>
              <w:t>۱.۰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راهنمای جامع معماری سیستم </w:t>
            </w:r>
            <w:r>
              <w:rPr>
                <w:rFonts w:ascii="Segoe UI" w:hAnsi="Segoe UI" w:cs="Vazirmatn"/>
                <w:sz w:val="32"/>
                <w:szCs w:val="32"/>
                <w:b/>
                <w:bCs/>
                <w:color w:val="2D2D2D"/>
                <w:lang w:val="en-US" w:bidi="fa-IR"/>
                <w:rtl w:val="0"/>
              </w:rPr>
              <w:t>(System Architecture Guide)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کیفیت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نمایش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بصری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نویسه‌های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راست‌به‌چپ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(RTL)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نویسه‌های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لاتین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(LTR)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نشانه‌گذاری‌های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ترکیبی،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عبارات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پرانتزی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جداول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طراحی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۱.۱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مدیریت نسخه‌ها و شناسه‌ها (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Version Management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&amp;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Identifiers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)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بخش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رفتارهای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نگارشی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گوناگون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می‌شود:</w:t>
      </w:r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آدرس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مستندات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رسمی: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https://developer.mozilla.org/en-US/docs/Web/HTTP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وب‌سرویس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https://api.example.com:8443/v1/auth?redirect_uri=/dashboard</w:t>
      </w:r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فایل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پیکربندی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مسیر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/etc/nginx/conf.d/proxy.conf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لاگ‌ها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/var/log/audit.log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قرار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دارد.</w:t>
      </w:r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نسخه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فعلی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v2.1.0-rc1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نگارش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پیش‌نیاز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Python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3.11.8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است.</w:t>
      </w:r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نسخهٔ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۲.۱.۰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ویرایش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۳.۴.۲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برای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کلاینت‌های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همراه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منتشر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شد.</w:t>
      </w:r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شماره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سفارش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فارسی: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۰۱۲۳۴۵۶۷۸۹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کد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رهگیری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عربی: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٠١٢٣٤٥٦٧٨٩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شناسه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لاتین: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0123456789.</w:t>
      </w:r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سرویس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احراز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هویت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مرکزی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(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Central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Authentication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Service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)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توکن‌های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نشست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(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Session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Tokens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)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پیکربندی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شدند.</w:t>
      </w:r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تنظیمات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امنیتی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(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راهنمای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جامع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مدیران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سامانه)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باید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تمام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ماژول‌ها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رعایت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شود.</w:t>
      </w:r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بسته‌های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نرم‌افزاری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(v1.2.3)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کلیدهای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دسترسی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(AKIA_EXAMPLE_123)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اعتبارسنجی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شدند.</w:t>
      </w:r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آیا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از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صحت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تنظیمات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اطمینان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دارید؟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بله؛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عملیات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موفقیت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۱۰۰٪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انجام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شد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(«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تأییدیه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نهایی»).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1"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نکته مهم در پیکربندی زیرساخت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1"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تغییرات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فایل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Courier New" w:hAnsi="Courier New" w:cs="Courier New"/>
                <w:sz w:val="21"/>
                <w:szCs w:val="21"/>
                <w:color w:val="2D2D2D"/>
                <w:lang w:val="en-US" w:bidi="fa-IR"/>
                <w:rtl w:val="0"/>
              </w:rPr>
              <w:t>/etc/systemd/system/app.service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تنها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پس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اجرای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دستور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Courier New" w:hAnsi="Courier New" w:cs="Courier New"/>
                <w:sz w:val="21"/>
                <w:szCs w:val="21"/>
                <w:color w:val="2D2D2D"/>
                <w:lang w:val="en-US" w:bidi="fa-IR"/>
                <w:rtl w:val="0"/>
              </w:rPr>
              <w:t>systemctl daemon-reload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اعمال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خواهد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شد.</w:t>
            </w:r>
          </w:p>
        </w:tc>
      </w:tr>
    </w:tbl>
    <w:p>
      <w:pPr>
        <w:spacing w:before="0" w:after="120"/>
      </w:pPr>
      <w:r/>
    </w:p>
    <w:p>
      <w:pPr>
        <w:bidi w:val="1"/>
        <w:spacing w:line="336" w:lineRule="auto" w:after="120"/>
        <w:jc w:val="both"/>
        <w:pBdr>
          <w:right w:val="single" w:sz="96" w:space="15" w:color="6B2FA0"/>
        </w:pBdr>
        <w:shd w:val="clear" w:color="auto" w:fill="ECE4F1"/>
      </w:pP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این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یک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نقل‌قول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استاندارد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برای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ارزیابی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خط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راست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(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Quote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Right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Bar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)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چینش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پاراگراف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محیط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راست‌به‌چپ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است.</w:t>
      </w:r>
    </w:p>
    <w:p>
      <w:pPr>
        <w:spacing w:before="120" w:after="80"/>
        <w:jc w:val="center"/>
        <w:keepNext/>
        <w:keepLines/>
      </w:pPr>
      <w:r>
        <w:drawing>
          <wp:inline xmlns:a="http://schemas.openxmlformats.org/drawingml/2006/main" xmlns:pic="http://schemas.openxmlformats.org/drawingml/2006/picture">
            <wp:extent cx="6120130" cy="2769169"/>
            <wp:docPr id="1" name="Picture 1" descr="معماری ارتباطی ماژول‌ها" title="معماری ارتباطی ماژول‌ه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69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شکل ۱-۱. معماری جامع ماژول‌های سامانه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۱.۲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جدول وضعیت ماژول‌ها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(Modules Status Matrix)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جدول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سازگاری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ستون‌ها،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چینش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راست‌به‌چپ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سلول‌های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حاوی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آدرس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اینترنتی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نگارش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نشان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می‌دهد: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927"/>
        <w:gridCol w:w="1927"/>
        <w:gridCol w:w="1927"/>
        <w:gridCol w:w="1927"/>
        <w:gridCol w:w="1930"/>
      </w:tblGrid>
      <w:tr>
        <w:trPr>
          <w:cantSplit/>
          <w:tblHeader/>
        </w:trPr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شناسه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سرویس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Service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ID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)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center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نسخه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نرم‌افزار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center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پورت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دسترسی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وضعیت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همگام‌سازی</w:t>
            </w:r>
          </w:p>
        </w:tc>
        <w:tc>
          <w:tcPr>
            <w:tcW w:type="dxa" w:w="1930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آدرس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سلامت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Health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Endpoint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)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srv-auth-01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center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نسخهٔ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۲.۱.۰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center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8080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همگام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(Active)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https://auth.internal/health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srv-data-02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center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v3.0.4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center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9092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حال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آماده‌سازی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https://data.internal/healthz</w:t>
            </w:r>
          </w:p>
        </w:tc>
      </w:tr>
    </w:tbl>
    <w:p>
      <w:pPr>
        <w:spacing w:before="0" w:after="120"/>
      </w:pPr>
      <w:r/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 w:val="1"/>
    </w:sectPr>
    <w:bookmarkStart w:id="51714" w:name="راهنمای-جامع-معماری-سیستم-system-archite"/>
    <w:bookmarkEnd w:id="51714">
      <w:bookmarkStart w:id="85405" w:name="مدیریت-نسخهها-و-شناسهها-version-manageme"/>
      <w:bookmarkEnd w:id="85405"/>
      <w:bookmarkStart w:id="87630" w:name="جدول-وضعیت-ماژولها-modules-status-matrix"/>
      <w:bookmarkEnd w:id="87630"/>
    </w:bookmarkEnd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jc w:val="both"/>
    </w:pPr>
    <w:rPr>
      <w:rFonts w:ascii="Segoe UI" w:hAnsi="Segoe UI" w:cs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