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200"/>
        <w:gridCol w:w="8438"/>
      </w:tblGrid>
      <w:t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FFFFFF"/>
                <w:lang w:val="en-US" w:bidi="fa-IR"/>
                <w:rtl w:val="1"/>
              </w:rPr>
              <w:t>۱.۰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راهنمای جامع معماری داده و سرویس‌ها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سیستم‌های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توزیع‌شده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امروزی،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هماهنگی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لایه‌های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مختلف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پردازش،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ذخیره‌سازی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سیستم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نقشی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اساسی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پایداری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کسب‌وکار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دارد.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معماری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پایگاه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الگوهای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تبادل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رویه‌های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مانیتورینگ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سیستم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تشریح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می‌کند.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200"/>
        <w:gridCol w:w="8438"/>
      </w:tblGrid>
      <w:t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۱.۱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ساختار میکروسرویس‌ها و تبادل پیام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موظف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پایگاه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اختصاصی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الگوی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Database-per-Service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نگه‌داری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کند.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ارتباطات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همگام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(Synchronous)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طریق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پروتکل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gRPC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تبادل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داخلی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سریع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کم‌تاخیر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حالی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رویدادها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Domain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Events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طریق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لایه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Message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Broker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صورت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ناهمگام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(Asynchronous)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توزیع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می‌گردند.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 w:val="1"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>نکتهٔ کلیدی پایگاه داده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 w:val="1"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همیشه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اتصال‌های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پایگاه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داده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Connection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Pooling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مدیریت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کنید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اشباع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Worker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Thread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جلوگیری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شود.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برای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سرویس‌های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پربار،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اندازه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Pool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متناسب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ظرفیت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پردازنده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تنظیم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نمایید.</w:t>
            </w:r>
          </w:p>
        </w:tc>
      </w:tr>
    </w:tbl>
    <w:p>
      <w:pPr>
        <w:spacing w:before="0" w:after="120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FBF7F4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 w:val="1"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8B6914"/>
                <w:lang w:val="en-US" w:bidi="fa-IR"/>
              </w:rPr>
              <w:t>هشدار مهاجرت داده</w:t>
            </w:r>
          </w:p>
        </w:tc>
      </w:tr>
      <w:tr>
        <w:tc>
          <w:tcPr>
            <w:tcW w:type="dxa" w:w="9638"/>
            <w:shd w:val="clear" w:color="auto" w:fill="FBF7F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 w:val="1"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پیش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اجرای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Migration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روی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سرورهای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Production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حتماً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دیتابیس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پشتیبان‌گیری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کامل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Full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Backup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انجام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دهید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اسکریپت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Rollback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آزمایش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کنید.</w:t>
            </w:r>
          </w:p>
        </w:tc>
      </w:tr>
    </w:tbl>
    <w:p>
      <w:pPr>
        <w:spacing w:before="0" w:after="120"/>
      </w:pPr>
      <w:r/>
    </w:p>
    <w:p>
      <w:pPr>
        <w:spacing w:before="120" w:after="80"/>
        <w:jc w:val="center"/>
        <w:keepNext/>
        <w:keepLines/>
      </w:pPr>
      <w:r>
        <w:drawing>
          <wp:inline xmlns:a="http://schemas.openxmlformats.org/drawingml/2006/main" xmlns:pic="http://schemas.openxmlformats.org/drawingml/2006/picture">
            <wp:extent cx="5760720" cy="5011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1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شکل ۱-۱. جریان پردازش پیام‌ها و تعامل میکروسرویس‌ها در معماری توزیع‌شده</w:t>
      </w:r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نمونه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رویداد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ثبت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سفارش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Courier New" w:hAnsi="Courier New" w:cs="Courier New"/>
          <w:sz w:val="22"/>
          <w:szCs w:val="22"/>
          <w:color w:val="2D2D2D"/>
          <w:lang w:val="en-US" w:bidi="fa-IR"/>
          <w:rtl w:val="0"/>
        </w:rPr>
        <w:t>OrderCreated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قالب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JSON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صف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ارسال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"eventId"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"evt-883491-a1b"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"eventType"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"OrderCreated"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"aggregateId"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"ord-2024-9982"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"timestamp"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"2026-09-05T14:20:00Z"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"version"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1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"payload"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"customerId"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54021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"totalAmount"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18500000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"currency"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"IRR"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"items"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"sku"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"SRV-COMP-X1"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"quantity"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2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"unitPrice"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9250000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</w:tc>
      </w:tr>
    </w:tbl>
    <w:p>
      <w:pPr>
        <w:spacing w:before="0" w:after="120"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پیاده‌سازی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الگوی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مطمئن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Transactional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Outbox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لایه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ساختار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جدول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پرس‌وجوی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T-SQL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  <w:rtl w:val="0"/>
              </w:rPr>
              <w:t>-- ایجاد جدول Outbox جهت پیاده‌سازی الگوی Transactional Outbox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CREATE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TABLE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dbo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OutboxMessages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UNIQUEIDENTIFIER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DEFAULT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NEWSEQUENTIALID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AggregateType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NVARCHAR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100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AggregateId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NVARCHAR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100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Type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NVARCHAR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255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Payload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NVARCHAR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MAX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CreatedAt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DATETIMEOFFSET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DEFAULT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SYSDATETIMEOFFSET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ProcessedAt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DATETIMEOFFSET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CONSTRAINT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PK_OutboxMessages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PRIMARY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KEY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CLUSTERED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GO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  <w:rtl w:val="0"/>
              </w:rPr>
              <w:t>-- خواندن پیام‌های پردازش‌نشده با قفل بهینه بدون انسداد سایر تراکنش‌ها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SELECT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TOP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50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Type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Payload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dbo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OutboxMessages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WITH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READPAST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UPDLOCK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WHERE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ProcessedAt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ORDER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BY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CreatedAt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</w:tc>
      </w:tr>
    </w:tbl>
    <w:p>
      <w:pPr>
        <w:spacing w:before="0" w:after="120"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سمت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پس‌زمینه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Worker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Services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پردازش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ناهمگام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پیام‌ها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TypeScript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پیاده‌سازی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ConsumeMessage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'amqplib'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interface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OrderEventPayload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eventId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aggregateId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totalAmount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number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export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async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function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processOrderMessage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msg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ConsumeMessage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|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Promise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void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!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msg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const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OrderEventPayload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JSON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parse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msg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content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toString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'utf-8'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console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log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`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 xml:space="preserve">[Worker] دریافت رویداد پردازش سفارش: 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  <w:rtl w:val="0"/>
              </w:rPr>
              <w:t>${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aggregateId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  <w:rtl w:val="0"/>
              </w:rPr>
              <w:t>}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`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await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dispatchNotification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eventId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totalAmount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</w:tc>
      </w:tr>
    </w:tbl>
    <w:p>
      <w:pPr>
        <w:spacing w:before="0" w:after="120"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ارسال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اعلان‌های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رویداد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خارجی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پردازش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لوله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ETL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کلاینت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ناهمگام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پایتون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  <w:rtl w:val="0"/>
              </w:rPr>
              <w:t>asyncio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  <w:rtl w:val="0"/>
              </w:rPr>
              <w:t>typing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Dict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Any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  <w:rtl w:val="0"/>
              </w:rPr>
              <w:t>httpx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async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def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6287e"/>
                <w:lang w:val="en-US" w:bidi="fa-IR"/>
                <w:rtl w:val="0"/>
              </w:rPr>
              <w:t>dispatch_order_notification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Dict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str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Any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webhook_url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str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-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bool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4070a0"/>
                <w:lang w:val="en-US" w:bidi="fa-IR"/>
                <w:rtl w:val="0"/>
              </w:rPr>
              <w:t>"""ارسال ناهمگام اعلان رویداد سفارش به سرویس پیام‌رسان کاربری"""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headers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Content-Type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application/json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X-Event-Source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OrderService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async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with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httpx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AsyncClient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timeout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5.0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client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try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response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await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client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post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webhook_url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json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event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headers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headers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response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status_code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200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except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httpx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RequestError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False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200"/>
        <w:gridCol w:w="8438"/>
      </w:tblGrid>
      <w:t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۱.۲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مانیتورینگ و داشبوردهای عملیاتی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پیوسته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سلامت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سرویس‌ها،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سیستم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مانیتورینگ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یکپارچه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مبتنی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Prometheus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Grafana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معیارهای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حیاتی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نظیر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نرخ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خطای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درخواست‌ها،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میزان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مصرف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حافظه،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شاخص‌های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تاخیر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p95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p99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صورت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لحظه‌ای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ثبت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می‌گردند.</w:t>
      </w:r>
    </w:p>
    <w:p>
      <w:pPr>
        <w:spacing w:before="120" w:after="8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6120130" cy="2769169"/>
            <wp:docPr id="2" name="Picture 2" descr="نمای پنل مانیتورینگ و داشبورد مدیریتی" title="نمای پنل مانیتورینگ و داشبورد مدیریت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6916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216"/>
        <w:gridCol w:w="8422"/>
      </w:tblGrid>
      <w:tr>
        <w:tc>
          <w:tcPr>
            <w:tcW w:type="dxa" w:w="121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FFFFFF"/>
                <w:lang w:val="en-US" w:bidi="fa-IR"/>
                <w:rtl w:val="1"/>
              </w:rPr>
              <w:t>۱.۲.۱</w:t>
            </w:r>
          </w:p>
        </w:tc>
        <w:tc>
          <w:tcPr>
            <w:tcW w:type="dxa" w:w="842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تحلیل جدول مشخصات سرویس‌های کلیدی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جدول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خلاصه‌ای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وضعیت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معماری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کلیدی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نیازمندی‌های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شبکه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ذخیره‌سازی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آن‌ها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نمایش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می‌دهد: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927"/>
        <w:gridCol w:w="1927"/>
        <w:gridCol w:w="1927"/>
        <w:gridCol w:w="1927"/>
        <w:gridCol w:w="1930"/>
      </w:tblGrid>
      <w:tr>
        <w:trPr>
          <w:cantSplit/>
          <w:tblHeader/>
        </w:trPr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نام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سرویس</w:t>
            </w:r>
          </w:p>
        </w:tc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وظیفه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اصلی</w:t>
            </w:r>
          </w:p>
        </w:tc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پروتکل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ارتباطی</w:t>
            </w:r>
          </w:p>
        </w:tc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سطح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حساسیت</w:t>
            </w:r>
          </w:p>
        </w:tc>
        <w:tc>
          <w:tcPr>
            <w:tcW w:type="dxa" w:w="1930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وضعیت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پایداری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احراز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هویت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(Auth)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صدور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اعتبارسنجی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JWT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gRPC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/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HTTPS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حیاتی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Tier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0)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پایدار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فعال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مدیریت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کاتالوگ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ارائه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لیست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محصولات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قیمت‌ها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REST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API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/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HTTPS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متوسط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Tier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2)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پایدار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فعال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تسویه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حساب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پرداخت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اتصال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درگاه‌های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بانکی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شاپرک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HTTPS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/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Webhook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فوق‌العاده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حساس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نظارت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ویژه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رهگیری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سفارش‌ها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پایش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موقعیت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مکانی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وضعیت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انبار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WebSocket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/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REST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عادی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Tier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3)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پایدار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فعال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200"/>
        <w:gridCol w:w="8438"/>
      </w:tblGrid>
      <w:t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۱.۳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ملاحظات امنیتی و ایزوله‌سازی منابع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امنیت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لایه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شبکه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ایزوله‌سازی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منابع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سطح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زیرساخت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اعمال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می‌گردد.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دسترسی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مستقیم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پورت‌های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پایگاه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خارج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شبکه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Private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مسدود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بوده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فقط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کاربری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اختصاصی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حداقل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اختیارات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مجاز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اتصال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</w:p>
    <w:p>
      <w:pPr>
        <w:spacing w:before="120" w:after="8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4648200" cy="6991350"/>
            <wp:docPr id="3" name="Picture 3" descr="ساختار توزیع منابع و خوشه‌بندی سرورها" title="ساختار توزیع منابع و خوشه‌بندی سروره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699135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 w:val="1"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>نکتهٔ پایانی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 w:val="1"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تیم‌های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توسعه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ملزم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هستند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پیش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بارگذاری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تغییرات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روی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محیط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Production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فرایند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بازبینی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Peer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Review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آزمون‌های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بارگذاری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Load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Testing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موفقیت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سپری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نمایند.</w:t>
            </w:r>
          </w:p>
        </w:tc>
      </w:tr>
    </w:tbl>
    <w:p>
      <w:pPr>
        <w:spacing w:before="0" w:after="120"/>
      </w:pPr>
      <w:r/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  <w:bidi w:val="1"/>
    </w:sectPr>
    <w:bookmarkStart w:id="13698" w:name="راهنمای-جامع-معماری-داده-و-سرویسها"/>
    <w:bookmarkEnd w:id="13698">
      <w:bookmarkStart w:id="76178" w:name="ساختار-میکروسرویسها-و-تبادل-پیام"/>
      <w:bookmarkEnd w:id="76178"/>
      <w:bookmarkStart w:id="38654" w:name="مانیتورینگ-و-داشبوردهای-عملیاتی"/>
      <w:bookmarkEnd w:id="38654"/>
      <w:bookmarkStart w:id="42231" w:name="تحلیل-جدول-مشخصات-سرویسهای-کلیدی"/>
      <w:bookmarkEnd w:id="42231"/>
      <w:bookmarkStart w:id="21754" w:name="ملاحظات-امنیتی-و-ایزولهسازی-منابع"/>
      <w:bookmarkEnd w:id="21754"/>
    </w:bookmarkEnd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 w:val="1"/>
      <w:jc w:val="both"/>
    </w:pPr>
    <w:rPr>
      <w:rFonts w:ascii="Segoe UI" w:hAnsi="Segoe UI" w:cs="Vazirmatn"/>
      <w:sz w:val="22"/>
      <w:szCs w:val="22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