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 w:val="1"/>
              </w:rPr>
              <w:t>۱.۰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راهنمای جامع معماری سیستم </w:t>
            </w:r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</w:rPr>
              <w:t>(System Architecture Guide)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کیفیت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بصری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نویسه‌های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راست‌به‌چپ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(RTL)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نویسه‌های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لاتین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(LTR)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نشانه‌گذاری‌های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ترکیبی،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عبارات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پرانتزی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جداول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طراحی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۱.۱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مدیریت نسخه‌ها و شناسه‌ها (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Version Management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&amp;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Identifiers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)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بخش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رفتارهای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نگارشی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گوناگون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آدرس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مستندات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رسمی: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https://developer.mozilla.org/en-US/docs/Web/HTTP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وب‌سرویس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https://api.example.com:8443/v1/auth?redirect_uri=/dashboard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فایل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پیکربندی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مسیر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/etc/nginx/conf.d/proxy.conf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لاگ‌ها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/var/log/audit.log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قرار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دارد.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نسخه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فعلی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v2.1.0-rc1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نگارش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پیش‌نیاز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Python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3.11.8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نسخهٔ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۲.۱.۰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ویرایش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۳.۴.۲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برای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کلاینت‌های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همراه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منتشر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شد.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شماره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سفارش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فارسی: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۰۱۲۳۴۵۶۷۸۹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رهگیری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عربی: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٠١٢٣٤٥٦٧٨٩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شناسه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لاتین: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0123456789.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احراز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هویت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مرکزی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Central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Authentication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Service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توکن‌های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نشست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Session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Tokens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پیکربندی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شدند.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تنظیمات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امنیتی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راهنمای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جامع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مدیران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سامانه)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باید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تمام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ماژول‌ها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رعایت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شود.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بسته‌های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نرم‌افزاری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(v1.2.3)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کلیدهای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(AKIA_EXAMPLE_123)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اعتبارسنجی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شدند.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آیا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صحت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تنظیمات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اطمینان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دارید؟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بله؛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عملیات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موفقیت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۱۰۰٪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انجام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(«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تأییدیه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نهایی»).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 مهم در پیکربندی زیرساخت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تغییرات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فایل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  <w:rtl w:val="0"/>
              </w:rPr>
              <w:t>/etc/systemd/system/app.service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تنها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پس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اجرای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دستور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  <w:rtl w:val="0"/>
              </w:rPr>
              <w:t>systemctl daemon-reload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اعمال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خواهد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شد.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  <w:pBdr>
          <w:right w:val="single" w:sz="96" w:space="15" w:color="6B2FA0"/>
        </w:pBdr>
        <w:shd w:val="clear" w:color="auto" w:fill="ECE4F1"/>
      </w:pP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این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یک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نقل‌قول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استاندارد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برای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ارزیابی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خط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راست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Quote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Right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Bar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چینش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پاراگراف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محیط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راست‌به‌چپ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</w:p>
    <w:p>
      <w:pPr>
        <w:spacing w:before="120" w:after="8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6120130" cy="2769169"/>
            <wp:docPr id="1" name="Picture 1" descr="معماری ارتباطی ماژول‌ها" title="معماری ارتباطی ماژول‌ه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69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شکل ۱-۱. معماری جامع ماژول‌های سامانه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۱.۲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جدول وضعیت ماژول‌ها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(Modules Status Matrix)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سازگاری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ستون‌ها،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چینش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راست‌به‌چپ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سلول‌های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آدرس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اینترنتی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نگارش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نشان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می‌دهد: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927"/>
        <w:gridCol w:w="1927"/>
        <w:gridCol w:w="1927"/>
        <w:gridCol w:w="1927"/>
        <w:gridCol w:w="1930"/>
      </w:tblGrid>
      <w:tr>
        <w:trPr>
          <w:cantSplit/>
          <w:tblHeader/>
        </w:trPr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شناسه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سرویس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Service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ID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)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نسخه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نرم‌افزار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پورت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دسترسی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وضعیت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همگام‌سازی</w:t>
            </w:r>
          </w:p>
        </w:tc>
        <w:tc>
          <w:tcPr>
            <w:tcW w:type="dxa" w:w="1930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آدرس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سلامت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Health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Endpoint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)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srv-auth-01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نسخهٔ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۲.۱.۰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8080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همگام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(Active)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https://auth.internal/health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srv-data-02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center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v3.0.4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9092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حال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آماده‌سازی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https://data.internal/healthz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 w:val="1"/>
    </w:sectPr>
    <w:bookmarkStart w:id="12002" w:name="راهنمای-جامع-معماری-سیستم-system-archite"/>
    <w:bookmarkEnd w:id="12002">
      <w:bookmarkStart w:id="4278" w:name="مدیریت-نسخهها-و-شناسهها-version-manageme"/>
      <w:bookmarkEnd w:id="4278"/>
      <w:bookmarkStart w:id="34799" w:name="جدول-وضعیت-ماژولها-modules-status-matrix"/>
      <w:bookmarkEnd w:id="34799"/>
    </w:bookmarkEnd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