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</w:rPr>
              <w:t>1.0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Distributed Cache and Persistence Architecture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document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provides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technical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specification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layer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synchronization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pipelines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deployed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clusters.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Cache-Aside Pattern and Invalidation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architecture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implements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standard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Cache-Aside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combined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time-to-live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(TTL)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expiration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proactive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write-through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invalidation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sensitive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records.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can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experience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brief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during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heavy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write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spikes.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For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strictly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consistent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,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route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queries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node.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Ensure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maxmemory-policy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configured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volatile-lru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persistent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tokens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never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evicted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prematurely.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9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End-to-end sequence diagram demonstrating Cache-Aside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and asynchronous replenishment.</w:t>
      </w:r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interface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fallback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mechanism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implemented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1.2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 Access Implementation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Python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snippet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demonstrates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repository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connection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pooling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resilient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timeout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json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relational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persistence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utilizes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partitioned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indexing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optimize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range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Partitioned Orders schema with clustered index and foreign constraints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Filtered nonclustered index for high-velocity pending transactions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IX_Orders_Pending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1.3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Cluster Node Telemetry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telemetry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verifies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nodes.</w:t>
      </w:r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health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daemons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emit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payloads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0.35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"2026-09-05T14:30:00Z"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 descr="Primary cluster topology and network routing map" title="Primary cluster topology and network routing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</w:rPr>
              <w:t>1.3.1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Cluster Node Status Matrix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table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summarizes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resource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operational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Latency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(p99)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Status</w:t>
            </w:r>
          </w:p>
        </w:tc>
        <w:tc>
          <w:tcPr>
            <w:tcW w:type="dxa" w:w="160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Health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redis-master-01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0.8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Master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redis-replica-01a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0ms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redis-replica-01b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1ms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redis-sentinel-01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512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Quorum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Active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1.4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Maintenance and Backup Procedures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snapshots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streamed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storage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buckets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nightly.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Automated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verification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ensures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Point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15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minutes.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