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1A05" w:rsidRDefault="0070001E">
      <w:pPr>
        <w:pStyle w:val="AtricleCode"/>
        <w:numPr>
          <w:ilvl w:val="0"/>
          <w:numId w:val="0"/>
        </w:numPr>
        <w:rPr>
          <w:color w:val="EE0000"/>
          <w:rtl/>
          <w:lang w:bidi="fa-IR"/>
        </w:rPr>
      </w:pPr>
      <w:bookmarkStart w:id="0" w:name="_Toc505563959"/>
      <w:r>
        <w:rPr>
          <w:color w:val="EE0000"/>
          <w:highlight w:val="yellow"/>
        </w:rPr>
        <w:t xml:space="preserve">****-* </w:t>
      </w:r>
      <w:r>
        <w:rPr>
          <w:color w:val="EE0000"/>
          <w:sz w:val="22"/>
          <w:szCs w:val="28"/>
          <w:highlight w:val="yellow"/>
        </w:rPr>
        <w:t>(Don’t edit this line.)</w:t>
      </w:r>
      <w:bookmarkEnd w:id="0"/>
      <w:r>
        <w:t xml:space="preserve"> </w:t>
      </w:r>
    </w:p>
    <w:p w:rsidR="009F1A05" w:rsidRDefault="0070001E">
      <w:pPr>
        <w:pStyle w:val="ArticleTitle"/>
        <w:numPr>
          <w:ilvl w:val="0"/>
          <w:numId w:val="1"/>
        </w:numPr>
      </w:pPr>
      <w:r>
        <w:rPr>
          <w:sz w:val="32"/>
          <w:szCs w:val="32"/>
        </w:rPr>
        <w:t>Critical buckling load of a three-layer sandwich Timoshenko beam resting on a Kerr elastic foundation</w:t>
      </w:r>
    </w:p>
    <w:p w:rsidR="00486686" w:rsidRPr="00F56B88" w:rsidRDefault="00486686" w:rsidP="00486686">
      <w:pPr>
        <w:numPr>
          <w:ilvl w:val="1"/>
          <w:numId w:val="0"/>
        </w:numPr>
        <w:suppressAutoHyphens/>
        <w:spacing w:after="240" w:line="240" w:lineRule="auto"/>
        <w:ind w:firstLine="288"/>
        <w:jc w:val="center"/>
        <w:rPr>
          <w:rFonts w:ascii="Calibri Light" w:eastAsia="Times New Roman" w:hAnsi="Calibri Light" w:cs="Times New Roman"/>
          <w:b/>
          <w:bCs/>
          <w:noProof/>
          <w:color w:val="000000"/>
          <w:kern w:val="0"/>
          <w14:ligatures w14:val="none"/>
        </w:rPr>
      </w:pPr>
      <w:r w:rsidRPr="00F56B88">
        <w:rPr>
          <w:rFonts w:ascii="Times New Roman" w:eastAsia="Times New Roman" w:hAnsi="Times New Roman" w:cs="Times New Roman"/>
          <w:color w:val="000000"/>
          <w:kern w:val="0"/>
          <w:vertAlign w:val="superscript"/>
          <w14:ligatures w14:val="none"/>
        </w:rPr>
        <w:t>1</w:t>
      </w:r>
      <w:r w:rsidRPr="00F56B88">
        <w:rPr>
          <w:rFonts w:ascii="Times New Roman" w:eastAsia="Calibri" w:hAnsi="Times New Roman" w:cs="Times New Roman"/>
          <w:b/>
          <w:bCs/>
          <w:kern w:val="0"/>
          <w:sz w:val="24"/>
          <w:szCs w:val="24"/>
          <w14:ligatures w14:val="none"/>
        </w:rPr>
        <w:t xml:space="preserve"> </w:t>
      </w:r>
      <w:proofErr w:type="spellStart"/>
      <w:r w:rsidRPr="00F56B88">
        <w:rPr>
          <w:rFonts w:ascii="Times New Roman" w:eastAsia="Calibri" w:hAnsi="Times New Roman" w:cs="Times New Roman"/>
          <w:kern w:val="0"/>
          <w:sz w:val="24"/>
          <w:szCs w:val="24"/>
          <w14:ligatures w14:val="none"/>
        </w:rPr>
        <w:t>Abolfazl</w:t>
      </w:r>
      <w:proofErr w:type="spellEnd"/>
      <w:r w:rsidRPr="00F56B88">
        <w:rPr>
          <w:rFonts w:ascii="Times New Roman" w:eastAsia="Calibri" w:hAnsi="Times New Roman" w:cs="Times New Roman"/>
          <w:kern w:val="0"/>
          <w:sz w:val="24"/>
          <w:szCs w:val="24"/>
          <w14:ligatures w14:val="none"/>
        </w:rPr>
        <w:t xml:space="preserve"> </w:t>
      </w:r>
      <w:proofErr w:type="spellStart"/>
      <w:r w:rsidRPr="00F56B88">
        <w:rPr>
          <w:rFonts w:ascii="Times New Roman" w:eastAsia="Calibri" w:hAnsi="Times New Roman" w:cs="Times New Roman"/>
          <w:kern w:val="0"/>
          <w:sz w:val="24"/>
          <w:szCs w:val="24"/>
          <w14:ligatures w14:val="none"/>
        </w:rPr>
        <w:t>Akramibostanabad</w:t>
      </w:r>
      <w:proofErr w:type="spellEnd"/>
      <w:r w:rsidRPr="00F56B88">
        <w:rPr>
          <w:rFonts w:ascii="Times New Roman" w:eastAsia="Times New Roman" w:hAnsi="Times New Roman" w:cs="Times New Roman"/>
          <w:color w:val="000000"/>
          <w:kern w:val="0"/>
          <w14:ligatures w14:val="none"/>
        </w:rPr>
        <w:t xml:space="preserve">, </w:t>
      </w:r>
      <w:r w:rsidRPr="00F56B88">
        <w:rPr>
          <w:rFonts w:ascii="Times New Roman" w:eastAsia="Times New Roman" w:hAnsi="Times New Roman" w:cs="Times New Roman"/>
          <w:color w:val="000000"/>
          <w:kern w:val="0"/>
          <w:vertAlign w:val="superscript"/>
          <w14:ligatures w14:val="none"/>
        </w:rPr>
        <w:t>2,*</w:t>
      </w:r>
      <w:r w:rsidRPr="00F56B88">
        <w:rPr>
          <w:rFonts w:ascii="Times New Roman" w:eastAsia="Times New Roman" w:hAnsi="Times New Roman" w:cs="Times New Roman"/>
          <w:color w:val="000000"/>
          <w:kern w:val="0"/>
          <w14:ligatures w14:val="none"/>
        </w:rPr>
        <w:t xml:space="preserve">Mehdi </w:t>
      </w:r>
      <w:proofErr w:type="spellStart"/>
      <w:r w:rsidRPr="00F56B88">
        <w:rPr>
          <w:rFonts w:ascii="Times New Roman" w:eastAsia="Times New Roman" w:hAnsi="Times New Roman" w:cs="Times New Roman"/>
          <w:color w:val="000000"/>
          <w:kern w:val="0"/>
          <w14:ligatures w14:val="none"/>
        </w:rPr>
        <w:t>Mohammadimehr</w:t>
      </w:r>
      <w:proofErr w:type="spellEnd"/>
    </w:p>
    <w:p w:rsidR="00486686" w:rsidRPr="00F56B88" w:rsidRDefault="00486686" w:rsidP="00486686">
      <w:pPr>
        <w:keepNext/>
        <w:numPr>
          <w:ilvl w:val="2"/>
          <w:numId w:val="0"/>
        </w:numPr>
        <w:suppressAutoHyphens/>
        <w:spacing w:after="0" w:line="240" w:lineRule="auto"/>
        <w:jc w:val="center"/>
        <w:rPr>
          <w:rFonts w:ascii="Times New Roman" w:eastAsia="Times New Roman" w:hAnsi="Times New Roman" w:cs="Times New Roman"/>
          <w:color w:val="000000"/>
          <w:kern w:val="0"/>
          <w:sz w:val="20"/>
          <w:szCs w:val="20"/>
          <w14:ligatures w14:val="none"/>
        </w:rPr>
      </w:pPr>
      <w:r w:rsidRPr="00F56B88">
        <w:rPr>
          <w:rFonts w:ascii="Calibri Light" w:eastAsia="Times New Roman" w:hAnsi="Calibri Light" w:cs="Times New Roman"/>
          <w:noProof/>
          <w:color w:val="000000"/>
          <w:kern w:val="0"/>
          <w:sz w:val="20"/>
          <w:szCs w:val="20"/>
          <w14:ligatures w14:val="none"/>
        </w:rPr>
        <w:t xml:space="preserve"> </w:t>
      </w:r>
      <w:r w:rsidRPr="00F56B88">
        <w:rPr>
          <w:rFonts w:ascii="Times New Roman" w:eastAsia="Times New Roman" w:hAnsi="Times New Roman" w:cs="Times New Roman"/>
          <w:color w:val="000000"/>
          <w:kern w:val="0"/>
          <w:sz w:val="20"/>
          <w:szCs w:val="20"/>
          <w:vertAlign w:val="superscript"/>
          <w14:ligatures w14:val="none"/>
        </w:rPr>
        <w:t>1</w:t>
      </w:r>
      <w:r w:rsidRPr="00F56B88">
        <w:rPr>
          <w:rFonts w:ascii="Times New Roman" w:eastAsia="Times New Roman" w:hAnsi="Times New Roman" w:cs="Times New Roman"/>
          <w:color w:val="000000"/>
          <w:kern w:val="0"/>
          <w:sz w:val="20"/>
          <w:szCs w:val="20"/>
          <w14:ligatures w14:val="none"/>
        </w:rPr>
        <w:t xml:space="preserve">MSc Student, </w:t>
      </w:r>
      <w:r w:rsidRPr="00F56B88">
        <w:rPr>
          <w:rFonts w:ascii="Times New Roman" w:eastAsia="Times New Roman" w:hAnsi="Times New Roman" w:cs="Times New Roman"/>
          <w:color w:val="000000"/>
          <w:kern w:val="0"/>
          <w:sz w:val="20"/>
          <w:szCs w:val="20"/>
          <w:vertAlign w:val="superscript"/>
          <w14:ligatures w14:val="none"/>
        </w:rPr>
        <w:t>2</w:t>
      </w:r>
      <w:r w:rsidRPr="00F56B88">
        <w:rPr>
          <w:rFonts w:ascii="Times New Roman" w:eastAsia="Times New Roman" w:hAnsi="Times New Roman" w:cs="Times New Roman"/>
          <w:color w:val="000000"/>
          <w:kern w:val="0"/>
          <w:sz w:val="20"/>
          <w:szCs w:val="20"/>
          <w14:ligatures w14:val="none"/>
        </w:rPr>
        <w:t>Professor</w:t>
      </w:r>
    </w:p>
    <w:p w:rsidR="00486686" w:rsidRPr="00F56B88" w:rsidRDefault="00486686" w:rsidP="00486686">
      <w:pPr>
        <w:spacing w:after="0" w:line="360" w:lineRule="auto"/>
        <w:jc w:val="center"/>
        <w:rPr>
          <w:rFonts w:ascii="Times New Roman" w:eastAsia="Calibri" w:hAnsi="Times New Roman" w:cs="Times New Roman"/>
          <w:i/>
          <w:iCs/>
          <w:kern w:val="0"/>
          <w:lang w:val="en-GB" w:bidi="ar-SA"/>
          <w14:ligatures w14:val="none"/>
        </w:rPr>
      </w:pPr>
      <w:r w:rsidRPr="00F56B88">
        <w:rPr>
          <w:rFonts w:ascii="Calibri" w:eastAsia="Calibri" w:hAnsi="Calibri" w:cs="Arial"/>
          <w:kern w:val="0"/>
          <w:vertAlign w:val="superscript"/>
          <w:lang w:bidi="ar-SA"/>
          <w14:ligatures w14:val="none"/>
        </w:rPr>
        <w:t>1</w:t>
      </w:r>
      <w:proofErr w:type="gramStart"/>
      <w:r w:rsidRPr="00F56B88">
        <w:rPr>
          <w:rFonts w:ascii="Calibri" w:eastAsia="Calibri" w:hAnsi="Calibri" w:cs="Arial"/>
          <w:kern w:val="0"/>
          <w:vertAlign w:val="superscript"/>
          <w:lang w:bidi="ar-SA"/>
          <w14:ligatures w14:val="none"/>
        </w:rPr>
        <w:t>,2</w:t>
      </w:r>
      <w:proofErr w:type="gramEnd"/>
      <w:r w:rsidRPr="00F56B88">
        <w:rPr>
          <w:rFonts w:ascii="Calibri" w:eastAsia="Calibri" w:hAnsi="Calibri" w:cs="Arial"/>
          <w:kern w:val="0"/>
          <w:lang w:bidi="ar-SA"/>
          <w14:ligatures w14:val="none"/>
        </w:rPr>
        <w:t xml:space="preserve"> </w:t>
      </w:r>
      <w:r w:rsidRPr="00F56B88">
        <w:rPr>
          <w:rFonts w:ascii="Times New Roman" w:eastAsia="Times New Roman" w:hAnsi="Times New Roman" w:cs="Times New Roman"/>
          <w:color w:val="000000"/>
          <w:kern w:val="0"/>
          <w:sz w:val="20"/>
          <w:szCs w:val="20"/>
          <w14:ligatures w14:val="none"/>
        </w:rPr>
        <w:t>Department of Solid Mechanics, Faculty of Mechanical Engineering, University of Kashan, Kashan, 87317-53153, Iran.</w:t>
      </w:r>
    </w:p>
    <w:p w:rsidR="00486686" w:rsidRPr="00F56B88" w:rsidRDefault="00486686" w:rsidP="00486686">
      <w:pPr>
        <w:numPr>
          <w:ilvl w:val="3"/>
          <w:numId w:val="0"/>
        </w:numPr>
        <w:suppressAutoHyphens/>
        <w:spacing w:before="240" w:after="240" w:line="240" w:lineRule="auto"/>
        <w:ind w:right="62"/>
        <w:jc w:val="center"/>
        <w:rPr>
          <w:rFonts w:ascii="Times New Roman" w:eastAsia="Times New Roman" w:hAnsi="Times New Roman" w:cs="Times New Roman"/>
          <w:i/>
          <w:iCs/>
          <w:color w:val="000000"/>
          <w:kern w:val="0"/>
          <w:sz w:val="24"/>
          <w:szCs w:val="24"/>
          <w:lang w:bidi="ar-SA"/>
          <w14:ligatures w14:val="none"/>
        </w:rPr>
      </w:pPr>
      <w:r w:rsidRPr="00F56B88">
        <w:rPr>
          <w:rFonts w:ascii="Times New Roman" w:eastAsia="Times New Roman" w:hAnsi="Times New Roman" w:cs="Times New Roman"/>
          <w:i/>
          <w:iCs/>
          <w:color w:val="000000"/>
          <w:kern w:val="0"/>
          <w:sz w:val="24"/>
          <w:szCs w:val="24"/>
          <w:lang w:bidi="ar-SA"/>
          <w14:ligatures w14:val="none"/>
        </w:rPr>
        <w:t xml:space="preserve">*Corresponding Author: </w:t>
      </w:r>
      <w:hyperlink r:id="rId8" w:tgtFrame="_self" w:history="1">
        <w:r w:rsidRPr="00F56B88">
          <w:rPr>
            <w:rFonts w:ascii="Times New Roman" w:eastAsia="Times New Roman" w:hAnsi="Times New Roman" w:cs="Times New Roman"/>
            <w:i/>
            <w:iCs/>
            <w:color w:val="000000"/>
            <w:kern w:val="0"/>
            <w:sz w:val="24"/>
            <w:szCs w:val="24"/>
            <w:lang w:bidi="ar-SA"/>
            <w14:ligatures w14:val="none"/>
          </w:rPr>
          <w:t>mmohammadimehr@kashanu.ac.ir</w:t>
        </w:r>
      </w:hyperlink>
    </w:p>
    <w:p w:rsidR="009F1A05" w:rsidRDefault="009F1A05">
      <w:pPr>
        <w:pStyle w:val="Headers"/>
      </w:pPr>
    </w:p>
    <w:p w:rsidR="000E67BD" w:rsidRPr="000E67BD" w:rsidRDefault="000E67BD" w:rsidP="000E67BD">
      <w:pPr>
        <w:numPr>
          <w:ilvl w:val="5"/>
          <w:numId w:val="0"/>
        </w:numPr>
        <w:suppressAutoHyphens/>
        <w:spacing w:after="0" w:line="276" w:lineRule="auto"/>
        <w:ind w:firstLine="567"/>
        <w:jc w:val="both"/>
        <w:rPr>
          <w:rFonts w:ascii="Times New Roman" w:eastAsia="Times New Roman" w:hAnsi="Times New Roman" w:cs="Times New Roman"/>
          <w:color w:val="000000"/>
          <w:kern w:val="0"/>
          <w:sz w:val="20"/>
          <w:szCs w:val="20"/>
          <w14:ligatures w14:val="none"/>
        </w:rPr>
      </w:pPr>
      <w:r w:rsidRPr="000E67BD">
        <w:rPr>
          <w:rFonts w:ascii="Times New Roman" w:eastAsia="Calibri" w:hAnsi="Times New Roman" w:cs="Times New Roman"/>
          <w:kern w:val="0"/>
          <w:lang w:bidi="ar-SA"/>
          <w14:ligatures w14:val="none"/>
        </w:rPr>
        <w:t>This study presents analytically the buckling behavior of a thin three-layered carbon/epoxy–</w:t>
      </w:r>
      <w:proofErr w:type="spellStart"/>
      <w:r w:rsidRPr="000E67BD">
        <w:rPr>
          <w:rFonts w:ascii="Times New Roman" w:eastAsia="Calibri" w:hAnsi="Times New Roman" w:cs="Times New Roman"/>
          <w:kern w:val="0"/>
          <w:lang w:bidi="ar-SA"/>
          <w14:ligatures w14:val="none"/>
        </w:rPr>
        <w:t>nomex</w:t>
      </w:r>
      <w:proofErr w:type="spellEnd"/>
      <w:r w:rsidRPr="000E67BD">
        <w:rPr>
          <w:rFonts w:ascii="Times New Roman" w:eastAsia="Calibri" w:hAnsi="Times New Roman" w:cs="Times New Roman"/>
          <w:kern w:val="0"/>
          <w:lang w:bidi="ar-SA"/>
          <w14:ligatures w14:val="none"/>
        </w:rPr>
        <w:t xml:space="preserve"> honeycomb–carbon/epoxy sandwich Timoshenko beam resting on Kerr elastic foundation. The beam is modeled using Timoshenko beam theory to account for transverse shear deformation, which may be significant due to the relatively low shear stiffness of the </w:t>
      </w:r>
      <w:proofErr w:type="spellStart"/>
      <w:r w:rsidRPr="000E67BD">
        <w:rPr>
          <w:rFonts w:ascii="Times New Roman" w:eastAsia="Calibri" w:hAnsi="Times New Roman" w:cs="Times New Roman"/>
          <w:kern w:val="0"/>
          <w:lang w:bidi="ar-SA"/>
          <w14:ligatures w14:val="none"/>
        </w:rPr>
        <w:t>Nomex</w:t>
      </w:r>
      <w:proofErr w:type="spellEnd"/>
      <w:r w:rsidRPr="000E67BD">
        <w:rPr>
          <w:rFonts w:ascii="Times New Roman" w:eastAsia="Calibri" w:hAnsi="Times New Roman" w:cs="Times New Roman"/>
          <w:kern w:val="0"/>
          <w:lang w:bidi="ar-SA"/>
          <w14:ligatures w14:val="none"/>
        </w:rPr>
        <w:t xml:space="preserve"> honeycomb core. The displacement field </w:t>
      </w:r>
      <w:proofErr w:type="gramStart"/>
      <w:r w:rsidRPr="000E67BD">
        <w:rPr>
          <w:rFonts w:ascii="Times New Roman" w:eastAsia="Calibri" w:hAnsi="Times New Roman" w:cs="Times New Roman"/>
          <w:kern w:val="0"/>
          <w:lang w:bidi="ar-SA"/>
          <w14:ligatures w14:val="none"/>
        </w:rPr>
        <w:t>is defined</w:t>
      </w:r>
      <w:proofErr w:type="gramEnd"/>
      <w:r w:rsidRPr="000E67BD">
        <w:rPr>
          <w:rFonts w:ascii="Times New Roman" w:eastAsia="Calibri" w:hAnsi="Times New Roman" w:cs="Times New Roman"/>
          <w:kern w:val="0"/>
          <w:lang w:bidi="ar-SA"/>
          <w14:ligatures w14:val="none"/>
        </w:rPr>
        <w:t xml:space="preserve"> in terms of the transverse displacement of the mid-plane and the rotation of the cross-section, from which the axial and transverse shear strains are obtained. The total potential energy </w:t>
      </w:r>
      <w:proofErr w:type="gramStart"/>
      <w:r w:rsidRPr="000E67BD">
        <w:rPr>
          <w:rFonts w:ascii="Times New Roman" w:eastAsia="Calibri" w:hAnsi="Times New Roman" w:cs="Times New Roman"/>
          <w:kern w:val="0"/>
          <w:lang w:bidi="ar-SA"/>
          <w14:ligatures w14:val="none"/>
        </w:rPr>
        <w:t>is formulated</w:t>
      </w:r>
      <w:proofErr w:type="gramEnd"/>
      <w:r w:rsidRPr="000E67BD">
        <w:rPr>
          <w:rFonts w:ascii="Times New Roman" w:eastAsia="Calibri" w:hAnsi="Times New Roman" w:cs="Times New Roman"/>
          <w:kern w:val="0"/>
          <w:lang w:bidi="ar-SA"/>
          <w14:ligatures w14:val="none"/>
        </w:rPr>
        <w:t xml:space="preserve"> by considering the strain energy of the sandwich beam, the elastic potential energy of the Kerr foundation, and the potential associated with the applied axial compressive load. The equilibrium equations </w:t>
      </w:r>
      <w:proofErr w:type="gramStart"/>
      <w:r w:rsidRPr="000E67BD">
        <w:rPr>
          <w:rFonts w:ascii="Times New Roman" w:eastAsia="Calibri" w:hAnsi="Times New Roman" w:cs="Times New Roman"/>
          <w:kern w:val="0"/>
          <w:lang w:bidi="ar-SA"/>
          <w14:ligatures w14:val="none"/>
        </w:rPr>
        <w:t>are obtained</w:t>
      </w:r>
      <w:proofErr w:type="gramEnd"/>
      <w:r w:rsidRPr="000E67BD">
        <w:rPr>
          <w:rFonts w:ascii="Times New Roman" w:eastAsia="Calibri" w:hAnsi="Times New Roman" w:cs="Times New Roman"/>
          <w:kern w:val="0"/>
          <w:lang w:bidi="ar-SA"/>
          <w14:ligatures w14:val="none"/>
        </w:rPr>
        <w:t xml:space="preserve"> by applying the principle of minimum potential energy. The constitutive relations </w:t>
      </w:r>
      <w:proofErr w:type="gramStart"/>
      <w:r w:rsidRPr="000E67BD">
        <w:rPr>
          <w:rFonts w:ascii="Times New Roman" w:eastAsia="Calibri" w:hAnsi="Times New Roman" w:cs="Times New Roman"/>
          <w:kern w:val="0"/>
          <w:lang w:bidi="ar-SA"/>
          <w14:ligatures w14:val="none"/>
        </w:rPr>
        <w:t>are then used</w:t>
      </w:r>
      <w:proofErr w:type="gramEnd"/>
      <w:r w:rsidRPr="000E67BD">
        <w:rPr>
          <w:rFonts w:ascii="Times New Roman" w:eastAsia="Calibri" w:hAnsi="Times New Roman" w:cs="Times New Roman"/>
          <w:kern w:val="0"/>
          <w:lang w:bidi="ar-SA"/>
          <w14:ligatures w14:val="none"/>
        </w:rPr>
        <w:t xml:space="preserve"> to determine the stress resultants and the extensional, bending–extension coupling, bending, and transverse shear stiffness coefficients. Since the three layers configuration of the beam structure is symmetric. The three parameters of the Kerr foundation </w:t>
      </w:r>
      <w:proofErr w:type="gramStart"/>
      <w:r w:rsidRPr="000E67BD">
        <w:rPr>
          <w:rFonts w:ascii="Times New Roman" w:eastAsia="Calibri" w:hAnsi="Times New Roman" w:cs="Times New Roman"/>
          <w:kern w:val="0"/>
          <w:lang w:bidi="ar-SA"/>
          <w14:ligatures w14:val="none"/>
        </w:rPr>
        <w:t>are retained</w:t>
      </w:r>
      <w:proofErr w:type="gramEnd"/>
      <w:r w:rsidRPr="000E67BD">
        <w:rPr>
          <w:rFonts w:ascii="Times New Roman" w:eastAsia="Calibri" w:hAnsi="Times New Roman" w:cs="Times New Roman"/>
          <w:kern w:val="0"/>
          <w:lang w:bidi="ar-SA"/>
          <w14:ligatures w14:val="none"/>
        </w:rPr>
        <w:t xml:space="preserve"> in the governing equations to examine their effects on the buckling load. For simply supported boundary conditions, the </w:t>
      </w:r>
      <w:proofErr w:type="spellStart"/>
      <w:r w:rsidRPr="000E67BD">
        <w:rPr>
          <w:rFonts w:ascii="Times New Roman" w:eastAsia="Calibri" w:hAnsi="Times New Roman" w:cs="Times New Roman"/>
          <w:kern w:val="0"/>
          <w:lang w:bidi="ar-SA"/>
          <w14:ligatures w14:val="none"/>
        </w:rPr>
        <w:t>Navier</w:t>
      </w:r>
      <w:proofErr w:type="spellEnd"/>
      <w:r w:rsidRPr="000E67BD">
        <w:rPr>
          <w:rFonts w:ascii="Times New Roman" w:eastAsia="Calibri" w:hAnsi="Times New Roman" w:cs="Times New Roman"/>
          <w:kern w:val="0"/>
          <w:lang w:bidi="ar-SA"/>
          <w14:ligatures w14:val="none"/>
        </w:rPr>
        <w:t xml:space="preserve"> method </w:t>
      </w:r>
      <w:proofErr w:type="gramStart"/>
      <w:r w:rsidRPr="000E67BD">
        <w:rPr>
          <w:rFonts w:ascii="Times New Roman" w:eastAsia="Calibri" w:hAnsi="Times New Roman" w:cs="Times New Roman"/>
          <w:kern w:val="0"/>
          <w:lang w:bidi="ar-SA"/>
          <w14:ligatures w14:val="none"/>
        </w:rPr>
        <w:t>is used</w:t>
      </w:r>
      <w:proofErr w:type="gramEnd"/>
      <w:r w:rsidRPr="000E67BD">
        <w:rPr>
          <w:rFonts w:ascii="Times New Roman" w:eastAsia="Calibri" w:hAnsi="Times New Roman" w:cs="Times New Roman"/>
          <w:kern w:val="0"/>
          <w:lang w:bidi="ar-SA"/>
          <w14:ligatures w14:val="none"/>
        </w:rPr>
        <w:t xml:space="preserve"> to obtain the modal equations for the transverse displacement and cross-sectional rotation. The resulting equations form a coupled algebraic system, and the critical axial load for each mode </w:t>
      </w:r>
      <w:proofErr w:type="gramStart"/>
      <w:r w:rsidRPr="000E67BD">
        <w:rPr>
          <w:rFonts w:ascii="Times New Roman" w:eastAsia="Calibri" w:hAnsi="Times New Roman" w:cs="Times New Roman"/>
          <w:kern w:val="0"/>
          <w:lang w:bidi="ar-SA"/>
          <w14:ligatures w14:val="none"/>
        </w:rPr>
        <w:t>is obtained</w:t>
      </w:r>
      <w:proofErr w:type="gramEnd"/>
      <w:r w:rsidRPr="000E67BD">
        <w:rPr>
          <w:rFonts w:ascii="Times New Roman" w:eastAsia="Calibri" w:hAnsi="Times New Roman" w:cs="Times New Roman"/>
          <w:kern w:val="0"/>
          <w:lang w:bidi="ar-SA"/>
          <w14:ligatures w14:val="none"/>
        </w:rPr>
        <w:t xml:space="preserve"> from the corresponding characteristic equation. The lowest critical value among the admissible modes </w:t>
      </w:r>
      <w:proofErr w:type="gramStart"/>
      <w:r w:rsidRPr="000E67BD">
        <w:rPr>
          <w:rFonts w:ascii="Times New Roman" w:eastAsia="Calibri" w:hAnsi="Times New Roman" w:cs="Times New Roman"/>
          <w:kern w:val="0"/>
          <w:lang w:bidi="ar-SA"/>
          <w14:ligatures w14:val="none"/>
        </w:rPr>
        <w:t>is taken</w:t>
      </w:r>
      <w:proofErr w:type="gramEnd"/>
      <w:r w:rsidRPr="000E67BD">
        <w:rPr>
          <w:rFonts w:ascii="Times New Roman" w:eastAsia="Calibri" w:hAnsi="Times New Roman" w:cs="Times New Roman"/>
          <w:kern w:val="0"/>
          <w:lang w:bidi="ar-SA"/>
          <w14:ligatures w14:val="none"/>
        </w:rPr>
        <w:t xml:space="preserve"> as the buckling load of the sandwich beam.</w:t>
      </w:r>
    </w:p>
    <w:p w:rsidR="009F1A05" w:rsidRDefault="0070001E">
      <w:pPr>
        <w:pStyle w:val="Keywords"/>
      </w:pPr>
      <w:r>
        <w:t>Buckling behavior; Sandwich Timoshenko beam; Kerr elastic foundation</w:t>
      </w:r>
      <w:proofErr w:type="gramStart"/>
      <w:r>
        <w:t>;</w:t>
      </w:r>
      <w:proofErr w:type="gramEnd"/>
      <w:r>
        <w:t xml:space="preserve"> Principle of minimum potential energy.</w:t>
      </w:r>
    </w:p>
    <w:p w:rsidR="009F1A05" w:rsidRDefault="009F1A05">
      <w:pPr>
        <w:pStyle w:val="CorrespondingAuthor"/>
        <w:numPr>
          <w:ilvl w:val="0"/>
          <w:numId w:val="0"/>
        </w:numPr>
        <w:jc w:val="left"/>
        <w:sectPr w:rsidR="009F1A05">
          <w:footerReference w:type="even" r:id="rId9"/>
          <w:footerReference w:type="default" r:id="rId10"/>
          <w:headerReference w:type="first" r:id="rId11"/>
          <w:pgSz w:w="11906" w:h="16838" w:code="9"/>
          <w:pgMar w:top="1077" w:right="851" w:bottom="1134" w:left="851" w:header="454" w:footer="567" w:gutter="0"/>
          <w:cols w:space="720"/>
          <w:titlePg/>
          <w:docGrid w:linePitch="360"/>
        </w:sectPr>
      </w:pPr>
    </w:p>
    <w:p w:rsidR="009F1A05" w:rsidRDefault="0070001E">
      <w:pPr>
        <w:pStyle w:val="Header1"/>
        <w:keepNext/>
      </w:pPr>
      <w:r>
        <w:t>Introduction</w:t>
      </w:r>
    </w:p>
    <w:p w:rsidR="009F1A05" w:rsidRDefault="0070001E" w:rsidP="00A43608">
      <w:pPr>
        <w:pStyle w:val="Text"/>
      </w:pPr>
      <w:r>
        <w:t>Sandwich structures, with thin stiff face sheets and a light compliant core, combine a high bending</w:t>
      </w:r>
      <w:r w:rsidR="00A45C81">
        <w:t xml:space="preserve"> stiffness with a low weight</w:t>
      </w:r>
      <w:r>
        <w:t xml:space="preserve">. They are used in aircraft floors, fairings, control surfaces and rotor blades, in </w:t>
      </w:r>
      <w:proofErr w:type="gramStart"/>
      <w:r>
        <w:t>launch-vehicle</w:t>
      </w:r>
      <w:proofErr w:type="gramEnd"/>
      <w:r>
        <w:t xml:space="preserve"> and UAV structures, and </w:t>
      </w:r>
      <w:r w:rsidR="00A43608">
        <w:t xml:space="preserve">also used </w:t>
      </w:r>
      <w:r>
        <w:t>in naval and armored defense pl</w:t>
      </w:r>
      <w:r w:rsidR="00A43608">
        <w:t>atforms.</w:t>
      </w:r>
      <w:r>
        <w:t xml:space="preserve"> Glass-fiber skins also keep radomes transparent to radar, whereas carbon-fiber skins give the highest stiffness.</w:t>
      </w:r>
    </w:p>
    <w:p w:rsidR="009F1A05" w:rsidRDefault="0070001E">
      <w:pPr>
        <w:pStyle w:val="Text"/>
      </w:pPr>
      <w:r>
        <w:t>The main limit of these thin-walled members under compression is buckling. Because honeycomb cores</w:t>
      </w:r>
      <w:r w:rsidR="00A43608">
        <w:t xml:space="preserve"> like </w:t>
      </w:r>
      <w:proofErr w:type="spellStart"/>
      <w:r w:rsidR="00A43608">
        <w:t>Nomex</w:t>
      </w:r>
      <w:proofErr w:type="spellEnd"/>
      <w:r w:rsidR="00A43608">
        <w:t xml:space="preserve"> </w:t>
      </w:r>
      <w:r w:rsidR="007B402A">
        <w:t>[</w:t>
      </w:r>
      <w:r w:rsidR="00A45C81">
        <w:t>1</w:t>
      </w:r>
      <w:r w:rsidR="007B402A">
        <w:t>]</w:t>
      </w:r>
      <w:r w:rsidR="00A43608">
        <w:t xml:space="preserve"> </w:t>
      </w:r>
      <w:r>
        <w:t>have a low shear modulus, transverse shear deformation lowers the buckling load, an effect ignored by Euler–Bernoulli theory but included in Timoshenko theory [2]. In service, panels are also bonded to frames, foam or compliant substructures, which behave as an elastic foundation. The Kerr model [3] describes it with two springs and a shear layer.</w:t>
      </w:r>
    </w:p>
    <w:p w:rsidR="009F1A05" w:rsidRDefault="0070001E">
      <w:pPr>
        <w:pStyle w:val="Text"/>
      </w:pPr>
      <w:r>
        <w:t>A closed-form critical load allows fast screening of materials and dimensions in early design, before costly finite-element or test campaigns. This paper derives it for a symmetric sandwich Timoshenko beam on a Kerr foundation and studies the effect of slenderness, resin and fiber type.</w:t>
      </w:r>
    </w:p>
    <w:p w:rsidR="009F1A05" w:rsidRDefault="0070001E">
      <w:pPr>
        <w:pStyle w:val="Header1"/>
        <w:keepNext/>
      </w:pPr>
      <w:r>
        <w:t>Theoretical Formulation</w:t>
      </w:r>
    </w:p>
    <w:p w:rsidR="009F1A05" w:rsidRDefault="0070001E">
      <w:pPr>
        <w:pStyle w:val="Header2"/>
        <w:ind w:left="360"/>
        <w:jc w:val="left"/>
      </w:pPr>
      <w:r>
        <w:t>Kinematics and constitutive relations</w:t>
      </w:r>
    </w:p>
    <w:p w:rsidR="009F1A05" w:rsidRDefault="0070001E">
      <w:pPr>
        <w:pStyle w:val="Text"/>
      </w:pPr>
      <w:r>
        <w:t>Conside</w:t>
      </w:r>
      <w:r w:rsidR="00486686">
        <w:t xml:space="preserve">r a beam of length </w:t>
      </w:r>
      <w:r>
        <w:rPr>
          <w:i/>
          <w:iCs/>
        </w:rPr>
        <w:t>L</w:t>
      </w:r>
      <w:r>
        <w:t xml:space="preserve">, width </w:t>
      </w:r>
      <w:r>
        <w:rPr>
          <w:i/>
          <w:iCs/>
        </w:rPr>
        <w:t>b</w:t>
      </w:r>
      <w:r>
        <w:t xml:space="preserve"> and thickness </w:t>
      </w:r>
      <w:r>
        <w:rPr>
          <w:i/>
          <w:iCs/>
        </w:rPr>
        <w:t>h</w:t>
      </w:r>
      <w:r>
        <w:t>, with two identical face sheets of thickness 0.2</w:t>
      </w:r>
      <w:r>
        <w:rPr>
          <w:i/>
          <w:iCs/>
        </w:rPr>
        <w:t>h</w:t>
      </w:r>
      <w:r>
        <w:t xml:space="preserve"> and a core of thickness </w:t>
      </w:r>
      <w:r>
        <w:rPr>
          <w:i/>
          <w:iCs/>
        </w:rPr>
        <w:t>h</w:t>
      </w:r>
      <w:r>
        <w:rPr>
          <w:vertAlign w:val="subscript"/>
        </w:rPr>
        <w:t>c</w:t>
      </w:r>
      <w:r>
        <w:t xml:space="preserve"> = 0.6</w:t>
      </w:r>
      <w:r>
        <w:rPr>
          <w:i/>
          <w:iCs/>
        </w:rPr>
        <w:t>h</w:t>
      </w:r>
      <w:r>
        <w:t xml:space="preserve">. Timoshenko theory assumes </w:t>
      </w:r>
      <w:r>
        <w:rPr>
          <w:i/>
          <w:iCs/>
        </w:rPr>
        <w:t>u</w:t>
      </w:r>
      <w:r>
        <w:t>(</w:t>
      </w:r>
      <w:r>
        <w:rPr>
          <w:i/>
          <w:iCs/>
        </w:rPr>
        <w:t>x</w:t>
      </w:r>
      <w:r>
        <w:t>,</w:t>
      </w:r>
      <w:r>
        <w:rPr>
          <w:i/>
          <w:iCs/>
        </w:rPr>
        <w:t>z</w:t>
      </w:r>
      <w:r>
        <w:t xml:space="preserve">) = </w:t>
      </w:r>
      <w:r>
        <w:rPr>
          <w:i/>
          <w:iCs/>
        </w:rPr>
        <w:t>u</w:t>
      </w:r>
      <w:r>
        <w:rPr>
          <w:vertAlign w:val="subscript"/>
        </w:rPr>
        <w:t>0</w:t>
      </w:r>
      <w:r>
        <w:t>(</w:t>
      </w:r>
      <w:r>
        <w:rPr>
          <w:i/>
          <w:iCs/>
        </w:rPr>
        <w:t>x</w:t>
      </w:r>
      <w:r>
        <w:t xml:space="preserve">) + </w:t>
      </w:r>
      <w:r>
        <w:rPr>
          <w:i/>
          <w:iCs/>
        </w:rPr>
        <w:t>zψ</w:t>
      </w:r>
      <w:r>
        <w:t>(</w:t>
      </w:r>
      <w:r>
        <w:rPr>
          <w:i/>
          <w:iCs/>
        </w:rPr>
        <w:t>x</w:t>
      </w:r>
      <w:r>
        <w:t xml:space="preserve">) and </w:t>
      </w:r>
      <w:r>
        <w:rPr>
          <w:i/>
          <w:iCs/>
        </w:rPr>
        <w:t>w</w:t>
      </w:r>
      <w:r>
        <w:t>(</w:t>
      </w:r>
      <w:r>
        <w:rPr>
          <w:i/>
          <w:iCs/>
        </w:rPr>
        <w:t>x</w:t>
      </w:r>
      <w:r>
        <w:t>,</w:t>
      </w:r>
      <w:r>
        <w:rPr>
          <w:i/>
          <w:iCs/>
        </w:rPr>
        <w:t>z</w:t>
      </w:r>
      <w:r>
        <w:t xml:space="preserve">) = </w:t>
      </w:r>
      <w:r>
        <w:rPr>
          <w:i/>
          <w:iCs/>
        </w:rPr>
        <w:t>w</w:t>
      </w:r>
      <w:r>
        <w:rPr>
          <w:vertAlign w:val="subscript"/>
        </w:rPr>
        <w:t>0</w:t>
      </w:r>
      <w:r>
        <w:t>(</w:t>
      </w:r>
      <w:r>
        <w:rPr>
          <w:i/>
          <w:iCs/>
        </w:rPr>
        <w:t>x</w:t>
      </w:r>
      <w:r>
        <w:t xml:space="preserve">), where </w:t>
      </w:r>
      <w:r>
        <w:rPr>
          <w:i/>
          <w:iCs/>
        </w:rPr>
        <w:t>u</w:t>
      </w:r>
      <w:r>
        <w:rPr>
          <w:vertAlign w:val="subscript"/>
        </w:rPr>
        <w:t>0</w:t>
      </w:r>
      <w:r>
        <w:t xml:space="preserve"> and </w:t>
      </w:r>
      <w:r>
        <w:rPr>
          <w:i/>
          <w:iCs/>
        </w:rPr>
        <w:t>w</w:t>
      </w:r>
      <w:r>
        <w:rPr>
          <w:vertAlign w:val="subscript"/>
        </w:rPr>
        <w:t>0</w:t>
      </w:r>
      <w:r>
        <w:t xml:space="preserve"> are the mid-plane displacements and </w:t>
      </w:r>
      <w:r>
        <w:rPr>
          <w:i/>
          <w:iCs/>
        </w:rPr>
        <w:t>ψ</w:t>
      </w:r>
      <w:r>
        <w:t xml:space="preserve"> is the cross-section rotation. The strains are</w:t>
      </w:r>
    </w:p>
    <w:p w:rsidR="009F1A05" w:rsidRDefault="0070001E">
      <w:pPr>
        <w:pStyle w:val="Formula"/>
        <w:spacing w:before="40" w:after="40"/>
      </w:pPr>
      <w:r>
        <w:tab/>
      </w:r>
      <m:oMath>
        <m:sSub>
          <m:sSubPr>
            <m:ctrlPr>
              <w:rPr>
                <w:rFonts w:ascii="Cambria Math" w:hAnsi="Cambria Math"/>
              </w:rPr>
            </m:ctrlPr>
          </m:sSubPr>
          <m:e>
            <m:r>
              <w:rPr>
                <w:rFonts w:ascii="Cambria Math" w:hAnsi="Cambria Math"/>
              </w:rPr>
              <m:t>ε</m:t>
            </m:r>
          </m:e>
          <m:sub>
            <m:r>
              <w:rPr>
                <w:rFonts w:ascii="Cambria Math" w:hAnsi="Cambria Math"/>
              </w:rPr>
              <m:t>x</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u</m:t>
                </m:r>
              </m:e>
              <m:sub>
                <m:r>
                  <m:rPr>
                    <m:sty m:val="p"/>
                  </m:rPr>
                  <w:rPr>
                    <w:rFonts w:ascii="Cambria Math" w:hAnsi="Cambria Math"/>
                  </w:rPr>
                  <m:t>0</m:t>
                </m:r>
              </m:sub>
            </m:sSub>
          </m:e>
          <m:sup>
            <m:r>
              <m:rPr>
                <m:sty m:val="p"/>
              </m:rPr>
              <w:rPr>
                <w:rFonts w:ascii="Cambria Math" w:hAnsi="Cambria Math"/>
              </w:rPr>
              <m:t>'</m:t>
            </m:r>
          </m:sup>
        </m:sSup>
        <m:r>
          <m:rPr>
            <m:sty m:val="p"/>
          </m:rP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ψ</m:t>
            </m:r>
          </m:e>
          <m:sup>
            <m:r>
              <m:rPr>
                <m:sty m:val="p"/>
              </m:rPr>
              <w:rPr>
                <w:rFonts w:ascii="Cambria Math" w:hAnsi="Cambria Math"/>
              </w:rPr>
              <m:t>'</m:t>
            </m:r>
          </m:sup>
        </m:sSup>
        <m:r>
          <m:rPr>
            <m:sty m:val="p"/>
          </m:rP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xz</m:t>
            </m:r>
          </m:sub>
        </m:sSub>
        <m:r>
          <m:rPr>
            <m:sty m:val="p"/>
          </m:rPr>
          <w:rPr>
            <w:rFonts w:ascii="Cambria Math" w:hAnsi="Cambria Math"/>
          </w:rPr>
          <m:t>=</m:t>
        </m:r>
        <m:r>
          <w:rPr>
            <w:rFonts w:ascii="Cambria Math" w:hAnsi="Cambria Math"/>
          </w:rPr>
          <m:t>ψ</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w</m:t>
                </m:r>
              </m:e>
              <m:sub>
                <m:r>
                  <m:rPr>
                    <m:sty m:val="p"/>
                  </m:rPr>
                  <w:rPr>
                    <w:rFonts w:ascii="Cambria Math" w:hAnsi="Cambria Math"/>
                  </w:rPr>
                  <m:t>0</m:t>
                </m:r>
              </m:sub>
            </m:sSub>
          </m:e>
          <m:sup>
            <m:r>
              <m:rPr>
                <m:sty m:val="p"/>
              </m:rPr>
              <w:rPr>
                <w:rFonts w:ascii="Cambria Math" w:hAnsi="Cambria Math"/>
              </w:rPr>
              <m:t>'</m:t>
            </m:r>
          </m:sup>
        </m:sSup>
      </m:oMath>
      <w:r>
        <w:tab/>
        <w:t>(1)</w:t>
      </w:r>
    </w:p>
    <w:p w:rsidR="009F1A05" w:rsidRDefault="0070001E">
      <w:pPr>
        <w:pStyle w:val="Text"/>
      </w:pPr>
      <w:r>
        <w:lastRenderedPageBreak/>
        <w:t xml:space="preserve">Each layer obeys </w:t>
      </w:r>
      <w:r>
        <w:rPr>
          <w:i/>
          <w:iCs/>
        </w:rPr>
        <w:t>σ</w:t>
      </w:r>
      <w:r>
        <w:rPr>
          <w:vertAlign w:val="subscript"/>
        </w:rPr>
        <w:t>x</w:t>
      </w:r>
      <w:r>
        <w:t xml:space="preserve"> = </w:t>
      </w:r>
      <w:r>
        <w:rPr>
          <w:i/>
          <w:iCs/>
        </w:rPr>
        <w:t>Q</w:t>
      </w:r>
      <w:r>
        <w:rPr>
          <w:vertAlign w:val="subscript"/>
        </w:rPr>
        <w:t>11</w:t>
      </w:r>
      <w:r>
        <w:rPr>
          <w:i/>
          <w:iCs/>
        </w:rPr>
        <w:t>ε</w:t>
      </w:r>
      <w:r>
        <w:rPr>
          <w:vertAlign w:val="subscript"/>
        </w:rPr>
        <w:t>x</w:t>
      </w:r>
      <w:r>
        <w:t xml:space="preserve"> and </w:t>
      </w:r>
      <w:r>
        <w:rPr>
          <w:i/>
          <w:iCs/>
        </w:rPr>
        <w:t>τ</w:t>
      </w:r>
      <w:r>
        <w:rPr>
          <w:vertAlign w:val="subscript"/>
        </w:rPr>
        <w:t>xz</w:t>
      </w:r>
      <w:r>
        <w:t xml:space="preserve"> = </w:t>
      </w:r>
      <w:r>
        <w:rPr>
          <w:i/>
          <w:iCs/>
        </w:rPr>
        <w:t>Q</w:t>
      </w:r>
      <w:r>
        <w:rPr>
          <w:vertAlign w:val="subscript"/>
        </w:rPr>
        <w:t>55</w:t>
      </w:r>
      <w:r>
        <w:rPr>
          <w:i/>
          <w:iCs/>
        </w:rPr>
        <w:t>γ</w:t>
      </w:r>
      <w:r>
        <w:rPr>
          <w:vertAlign w:val="subscript"/>
        </w:rPr>
        <w:t>xz</w:t>
      </w:r>
      <w:r>
        <w:t xml:space="preserve">. Integrating through the thickness gives the extensional, coupling, bending and shear stiffnesses </w:t>
      </w:r>
      <w:r>
        <w:rPr>
          <w:i/>
          <w:iCs/>
        </w:rPr>
        <w:t>A</w:t>
      </w:r>
      <w:r>
        <w:rPr>
          <w:vertAlign w:val="subscript"/>
        </w:rPr>
        <w:t>11</w:t>
      </w:r>
      <w:r>
        <w:t xml:space="preserve">, </w:t>
      </w:r>
      <w:r>
        <w:rPr>
          <w:i/>
          <w:iCs/>
        </w:rPr>
        <w:t>B</w:t>
      </w:r>
      <w:r>
        <w:rPr>
          <w:vertAlign w:val="subscript"/>
        </w:rPr>
        <w:t>11</w:t>
      </w:r>
      <w:r>
        <w:t xml:space="preserve">, </w:t>
      </w:r>
      <w:r>
        <w:rPr>
          <w:i/>
          <w:iCs/>
        </w:rPr>
        <w:t>D</w:t>
      </w:r>
      <w:r>
        <w:rPr>
          <w:vertAlign w:val="subscript"/>
        </w:rPr>
        <w:t>11</w:t>
      </w:r>
      <w:r>
        <w:t xml:space="preserve"> and </w:t>
      </w:r>
      <w:r>
        <w:rPr>
          <w:i/>
          <w:iCs/>
        </w:rPr>
        <w:t>S</w:t>
      </w:r>
      <w:r>
        <w:t xml:space="preserve"> = </w:t>
      </w:r>
      <w:r>
        <w:rPr>
          <w:i/>
          <w:iCs/>
        </w:rPr>
        <w:t>κ</w:t>
      </w:r>
      <w:r>
        <w:rPr>
          <w:vertAlign w:val="subscript"/>
        </w:rPr>
        <w:t>s</w:t>
      </w:r>
      <w:r>
        <w:rPr>
          <w:i/>
          <w:iCs/>
        </w:rPr>
        <w:t>A</w:t>
      </w:r>
      <w:r>
        <w:rPr>
          <w:vertAlign w:val="subscript"/>
        </w:rPr>
        <w:t>55</w:t>
      </w:r>
      <w:r>
        <w:t xml:space="preserve">, where </w:t>
      </w:r>
      <w:r>
        <w:rPr>
          <w:i/>
          <w:iCs/>
        </w:rPr>
        <w:t>κ</w:t>
      </w:r>
      <w:r>
        <w:rPr>
          <w:vertAlign w:val="subscript"/>
        </w:rPr>
        <w:t>s</w:t>
      </w:r>
      <w:r>
        <w:t xml:space="preserve"> is the shear correction factor. The layup is symmetric, hence </w:t>
      </w:r>
      <w:r>
        <w:rPr>
          <w:i/>
          <w:iCs/>
        </w:rPr>
        <w:t>B</w:t>
      </w:r>
      <w:r>
        <w:rPr>
          <w:vertAlign w:val="subscript"/>
        </w:rPr>
        <w:t>11</w:t>
      </w:r>
      <w:r>
        <w:t xml:space="preserve"> = 0.</w:t>
      </w:r>
    </w:p>
    <w:p w:rsidR="009F1A05" w:rsidRDefault="0070001E">
      <w:pPr>
        <w:pStyle w:val="Header2"/>
        <w:ind w:left="360"/>
        <w:jc w:val="left"/>
      </w:pPr>
      <w:r>
        <w:t>Equilibrium and Navier solution</w:t>
      </w:r>
    </w:p>
    <w:p w:rsidR="009F1A05" w:rsidRDefault="0070001E">
      <w:pPr>
        <w:pStyle w:val="Text"/>
      </w:pPr>
      <w:r>
        <w:t xml:space="preserve">The total potential energy sums the strain energy, the foundation potential and the potential of the axial load </w:t>
      </w:r>
      <w:r>
        <w:rPr>
          <w:i/>
          <w:iCs/>
        </w:rPr>
        <w:t>N</w:t>
      </w:r>
      <w:r>
        <w:rPr>
          <w:vertAlign w:val="subscript"/>
        </w:rPr>
        <w:t>0</w:t>
      </w:r>
      <w:r>
        <w:t xml:space="preserve">. The lower spring </w:t>
      </w:r>
      <w:r>
        <w:rPr>
          <w:i/>
          <w:iCs/>
        </w:rPr>
        <w:t>k</w:t>
      </w:r>
      <w:r>
        <w:rPr>
          <w:vertAlign w:val="subscript"/>
        </w:rPr>
        <w:t>l</w:t>
      </w:r>
      <w:r>
        <w:t xml:space="preserve">, upper spring </w:t>
      </w:r>
      <w:r>
        <w:rPr>
          <w:i/>
          <w:iCs/>
        </w:rPr>
        <w:t>k</w:t>
      </w:r>
      <w:r>
        <w:rPr>
          <w:vertAlign w:val="subscript"/>
        </w:rPr>
        <w:t>u</w:t>
      </w:r>
      <w:r>
        <w:t xml:space="preserve"> and shear layer </w:t>
      </w:r>
      <w:r>
        <w:rPr>
          <w:i/>
          <w:iCs/>
        </w:rPr>
        <w:t>k</w:t>
      </w:r>
      <w:r>
        <w:rPr>
          <w:vertAlign w:val="subscript"/>
        </w:rPr>
        <w:t>g</w:t>
      </w:r>
      <w:r>
        <w:t xml:space="preserve"> of the Kerr foundation reduce to </w:t>
      </w:r>
      <w:r>
        <w:rPr>
          <w:i/>
          <w:iCs/>
        </w:rPr>
        <w:t>K</w:t>
      </w:r>
      <w:r>
        <w:rPr>
          <w:vertAlign w:val="subscript"/>
        </w:rPr>
        <w:t>w</w:t>
      </w:r>
      <w:r>
        <w:t xml:space="preserve"> = </w:t>
      </w:r>
      <w:r>
        <w:rPr>
          <w:i/>
          <w:iCs/>
        </w:rPr>
        <w:t>k</w:t>
      </w:r>
      <w:r>
        <w:rPr>
          <w:vertAlign w:val="subscript"/>
        </w:rPr>
        <w:t>l</w:t>
      </w:r>
      <w:r>
        <w:rPr>
          <w:i/>
          <w:iCs/>
        </w:rPr>
        <w:t>k</w:t>
      </w:r>
      <w:r>
        <w:rPr>
          <w:vertAlign w:val="subscript"/>
        </w:rPr>
        <w:t>u</w:t>
      </w:r>
      <w:r>
        <w:t>/(</w:t>
      </w:r>
      <w:r>
        <w:rPr>
          <w:i/>
          <w:iCs/>
        </w:rPr>
        <w:t>k</w:t>
      </w:r>
      <w:r>
        <w:rPr>
          <w:vertAlign w:val="subscript"/>
        </w:rPr>
        <w:t>l</w:t>
      </w:r>
      <w:r>
        <w:t xml:space="preserve"> + </w:t>
      </w:r>
      <w:r>
        <w:rPr>
          <w:i/>
          <w:iCs/>
        </w:rPr>
        <w:t>k</w:t>
      </w:r>
      <w:r>
        <w:rPr>
          <w:vertAlign w:val="subscript"/>
        </w:rPr>
        <w:t>u</w:t>
      </w:r>
      <w:r>
        <w:t xml:space="preserve">) and </w:t>
      </w:r>
      <w:r>
        <w:rPr>
          <w:i/>
          <w:iCs/>
        </w:rPr>
        <w:t>K</w:t>
      </w:r>
      <w:r>
        <w:rPr>
          <w:vertAlign w:val="subscript"/>
        </w:rPr>
        <w:t>s</w:t>
      </w:r>
      <w:r>
        <w:t xml:space="preserve"> = </w:t>
      </w:r>
      <w:r>
        <w:rPr>
          <w:i/>
          <w:iCs/>
        </w:rPr>
        <w:t>k</w:t>
      </w:r>
      <w:r>
        <w:rPr>
          <w:vertAlign w:val="subscript"/>
        </w:rPr>
        <w:t>g</w:t>
      </w:r>
      <w:r>
        <w:rPr>
          <w:i/>
          <w:iCs/>
        </w:rPr>
        <w:t>k</w:t>
      </w:r>
      <w:r>
        <w:rPr>
          <w:vertAlign w:val="subscript"/>
        </w:rPr>
        <w:t>u</w:t>
      </w:r>
      <w:r>
        <w:t>/(</w:t>
      </w:r>
      <w:r>
        <w:rPr>
          <w:i/>
          <w:iCs/>
        </w:rPr>
        <w:t>k</w:t>
      </w:r>
      <w:r>
        <w:rPr>
          <w:vertAlign w:val="subscript"/>
        </w:rPr>
        <w:t>g</w:t>
      </w:r>
      <w:r>
        <w:t xml:space="preserve"> + </w:t>
      </w:r>
      <w:r>
        <w:rPr>
          <w:i/>
          <w:iCs/>
        </w:rPr>
        <w:t>k</w:t>
      </w:r>
      <w:r>
        <w:rPr>
          <w:vertAlign w:val="subscript"/>
        </w:rPr>
        <w:t>u</w:t>
      </w:r>
      <w:r>
        <w:t>). Minimum potential energy gives the equilibrium equations</w:t>
      </w:r>
    </w:p>
    <w:p w:rsidR="009F1A05" w:rsidRDefault="0070001E" w:rsidP="00A43608">
      <w:pPr>
        <w:pStyle w:val="Formula"/>
        <w:spacing w:before="40" w:after="40"/>
      </w:pPr>
      <w:r>
        <w:tab/>
      </w:r>
      <m:oMath>
        <m:eqArr>
          <m:eqArrPr>
            <m:ctrlPr>
              <w:rPr>
                <w:rFonts w:ascii="Cambria Math" w:hAnsi="Cambria Math"/>
              </w:rPr>
            </m:ctrlPr>
          </m:eqArrPr>
          <m:e>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 0</m:t>
            </m:r>
          </m:e>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 0</m:t>
            </m:r>
          </m:e>
          <m:e>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m:t>
                    </m:r>
                  </m:sub>
                </m:sSub>
              </m:e>
            </m:d>
            <m:sSup>
              <m:sSupPr>
                <m:ctrlPr>
                  <w:rPr>
                    <w:rFonts w:ascii="Cambria Math" w:hAnsi="Cambria Math"/>
                  </w:rPr>
                </m:ctrlPr>
              </m:sSupPr>
              <m:e>
                <m:sSub>
                  <m:sSubPr>
                    <m:ctrlPr>
                      <w:rPr>
                        <w:rFonts w:ascii="Cambria Math" w:hAnsi="Cambria Math"/>
                      </w:rPr>
                    </m:ctrlPr>
                  </m:sSubPr>
                  <m:e>
                    <m:r>
                      <w:rPr>
                        <w:rFonts w:ascii="Cambria Math" w:hAnsi="Cambria Math"/>
                      </w:rPr>
                      <m:t>w</m:t>
                    </m:r>
                  </m:e>
                  <m:sub>
                    <m:r>
                      <m:rPr>
                        <m:sty m:val="p"/>
                      </m:rPr>
                      <w:rPr>
                        <w:rFonts w:ascii="Cambria Math" w:hAnsi="Cambria Math"/>
                      </w:rPr>
                      <m:t>0</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sSub>
              <m:sSubPr>
                <m:ctrlPr>
                  <w:rPr>
                    <w:rFonts w:ascii="Cambria Math" w:hAnsi="Cambria Math"/>
                  </w:rPr>
                </m:ctrlPr>
              </m:sSubPr>
              <m:e>
                <m:r>
                  <w:rPr>
                    <w:rFonts w:ascii="Cambria Math" w:hAnsi="Cambria Math"/>
                  </w:rPr>
                  <m:t>w</m:t>
                </m:r>
              </m:e>
              <m:sub>
                <m:r>
                  <m:rPr>
                    <m:sty m:val="p"/>
                  </m:rPr>
                  <w:rPr>
                    <w:rFonts w:ascii="Cambria Math" w:hAnsi="Cambria Math"/>
                  </w:rPr>
                  <m:t>0</m:t>
                </m:r>
              </m:sub>
            </m:sSub>
            <m:r>
              <m:rPr>
                <m:sty m:val="p"/>
              </m:rPr>
              <w:rPr>
                <w:rFonts w:ascii="Cambria Math" w:hAnsi="Cambria Math"/>
              </w:rPr>
              <m:t>= 0</m:t>
            </m:r>
          </m:e>
        </m:eqArr>
      </m:oMath>
      <w:r>
        <w:tab/>
        <w:t>(2)</w:t>
      </w:r>
      <w:bookmarkStart w:id="1" w:name="_GoBack"/>
      <w:bookmarkEnd w:id="1"/>
    </w:p>
    <w:p w:rsidR="009F1A05" w:rsidRDefault="0070001E">
      <w:pPr>
        <w:pStyle w:val="Header1"/>
        <w:keepNext/>
      </w:pPr>
      <w:r>
        <w:t>Materials and Numerical Procedure</w:t>
      </w:r>
    </w:p>
    <w:p w:rsidR="009F1A05" w:rsidRDefault="0070001E">
      <w:pPr>
        <w:pStyle w:val="Text"/>
      </w:pPr>
      <w:r>
        <w:t>The face sh</w:t>
      </w:r>
      <w:r w:rsidR="00486686">
        <w:t>eets are unidirectional glass and</w:t>
      </w:r>
      <w:r>
        <w:t xml:space="preserve"> carbon fiber/epoxy laminates with fiber volume fraction </w:t>
      </w:r>
      <w:proofErr w:type="gramStart"/>
      <w:r>
        <w:rPr>
          <w:i/>
          <w:iCs/>
        </w:rPr>
        <w:t>V</w:t>
      </w:r>
      <w:r>
        <w:rPr>
          <w:vertAlign w:val="subscript"/>
        </w:rPr>
        <w:t>f</w:t>
      </w:r>
      <w:proofErr w:type="gramEnd"/>
      <w:r>
        <w:t xml:space="preserve"> = 0.6 and four epoxy resins (Table 1). Glass fibers have </w:t>
      </w:r>
      <w:r>
        <w:rPr>
          <w:i/>
          <w:iCs/>
        </w:rPr>
        <w:t>E</w:t>
      </w:r>
      <w:r>
        <w:rPr>
          <w:vertAlign w:val="subscript"/>
        </w:rPr>
        <w:t>f1</w:t>
      </w:r>
      <w:r>
        <w:t xml:space="preserve"> = 72.4 GPa, </w:t>
      </w:r>
      <w:r>
        <w:rPr>
          <w:i/>
          <w:iCs/>
        </w:rPr>
        <w:t>G</w:t>
      </w:r>
      <w:r>
        <w:rPr>
          <w:vertAlign w:val="subscript"/>
        </w:rPr>
        <w:t>f12</w:t>
      </w:r>
      <w:r>
        <w:t xml:space="preserve"> = 38.03 GPa, </w:t>
      </w:r>
      <w:r>
        <w:rPr>
          <w:i/>
          <w:iCs/>
        </w:rPr>
        <w:t>ν</w:t>
      </w:r>
      <w:r>
        <w:rPr>
          <w:vertAlign w:val="subscript"/>
        </w:rPr>
        <w:t>f</w:t>
      </w:r>
      <w:r>
        <w:t xml:space="preserve"> = 0.229; carbon fibers 225 GPa, 30.20 GPa, 0.20; </w:t>
      </w:r>
      <w:r>
        <w:rPr>
          <w:i/>
          <w:iCs/>
        </w:rPr>
        <w:t>E</w:t>
      </w:r>
      <w:r>
        <w:rPr>
          <w:vertAlign w:val="subscript"/>
        </w:rPr>
        <w:t>f2</w:t>
      </w:r>
      <w:r>
        <w:t xml:space="preserve"> = 15.64 GPa for both. </w:t>
      </w:r>
      <w:r>
        <w:rPr>
          <w:i/>
          <w:iCs/>
        </w:rPr>
        <w:t>E</w:t>
      </w:r>
      <w:r>
        <w:rPr>
          <w:vertAlign w:val="subscript"/>
        </w:rPr>
        <w:t>1</w:t>
      </w:r>
      <w:r>
        <w:t xml:space="preserve"> and </w:t>
      </w:r>
      <w:r>
        <w:rPr>
          <w:i/>
          <w:iCs/>
        </w:rPr>
        <w:t>ν</w:t>
      </w:r>
      <w:r>
        <w:rPr>
          <w:vertAlign w:val="subscript"/>
        </w:rPr>
        <w:t>12</w:t>
      </w:r>
      <w:r>
        <w:t xml:space="preserve"> follow the rule of mixtures, </w:t>
      </w:r>
      <w:r>
        <w:rPr>
          <w:i/>
          <w:iCs/>
        </w:rPr>
        <w:t>E</w:t>
      </w:r>
      <w:r>
        <w:rPr>
          <w:vertAlign w:val="subscript"/>
        </w:rPr>
        <w:t>1</w:t>
      </w:r>
      <w:r>
        <w:t xml:space="preserve"> = </w:t>
      </w:r>
      <w:r>
        <w:rPr>
          <w:i/>
          <w:iCs/>
        </w:rPr>
        <w:t>V</w:t>
      </w:r>
      <w:r>
        <w:rPr>
          <w:vertAlign w:val="subscript"/>
        </w:rPr>
        <w:t>f</w:t>
      </w:r>
      <w:r>
        <w:rPr>
          <w:i/>
          <w:iCs/>
        </w:rPr>
        <w:t>E</w:t>
      </w:r>
      <w:r>
        <w:rPr>
          <w:vertAlign w:val="subscript"/>
        </w:rPr>
        <w:t>f1</w:t>
      </w:r>
      <w:r>
        <w:t xml:space="preserve"> + </w:t>
      </w:r>
      <w:r>
        <w:rPr>
          <w:i/>
          <w:iCs/>
        </w:rPr>
        <w:t>V</w:t>
      </w:r>
      <w:r>
        <w:rPr>
          <w:vertAlign w:val="subscript"/>
        </w:rPr>
        <w:t>m</w:t>
      </w:r>
      <w:r>
        <w:rPr>
          <w:i/>
          <w:iCs/>
        </w:rPr>
        <w:t>E</w:t>
      </w:r>
      <w:r>
        <w:rPr>
          <w:vertAlign w:val="subscript"/>
        </w:rPr>
        <w:t>m</w:t>
      </w:r>
      <w:r>
        <w:t xml:space="preserve">, and </w:t>
      </w:r>
      <w:r>
        <w:rPr>
          <w:i/>
          <w:iCs/>
        </w:rPr>
        <w:t>E</w:t>
      </w:r>
      <w:r>
        <w:rPr>
          <w:vertAlign w:val="subscript"/>
        </w:rPr>
        <w:t>2</w:t>
      </w:r>
      <w:r>
        <w:t xml:space="preserve"> and </w:t>
      </w:r>
      <w:r>
        <w:rPr>
          <w:i/>
          <w:iCs/>
        </w:rPr>
        <w:t>G</w:t>
      </w:r>
      <w:r>
        <w:rPr>
          <w:vertAlign w:val="subscript"/>
        </w:rPr>
        <w:t>12</w:t>
      </w:r>
      <w:r>
        <w:t xml:space="preserve"> the Halpin–Tsai relation [4], </w:t>
      </w:r>
      <w:r>
        <w:rPr>
          <w:i/>
          <w:iCs/>
        </w:rPr>
        <w:t>P</w:t>
      </w:r>
      <w:r>
        <w:t xml:space="preserve"> = </w:t>
      </w:r>
      <w:r>
        <w:rPr>
          <w:i/>
          <w:iCs/>
        </w:rPr>
        <w:t>P</w:t>
      </w:r>
      <w:r>
        <w:rPr>
          <w:vertAlign w:val="subscript"/>
        </w:rPr>
        <w:t>m</w:t>
      </w:r>
      <w:r>
        <w:t xml:space="preserve">(1 + </w:t>
      </w:r>
      <w:r>
        <w:rPr>
          <w:i/>
          <w:iCs/>
        </w:rPr>
        <w:t>ξηV</w:t>
      </w:r>
      <w:r>
        <w:rPr>
          <w:vertAlign w:val="subscript"/>
        </w:rPr>
        <w:t>f</w:t>
      </w:r>
      <w:r>
        <w:t xml:space="preserve">)/(1 − </w:t>
      </w:r>
      <w:r>
        <w:rPr>
          <w:i/>
          <w:iCs/>
        </w:rPr>
        <w:t>ηV</w:t>
      </w:r>
      <w:r>
        <w:rPr>
          <w:vertAlign w:val="subscript"/>
        </w:rPr>
        <w:t>f</w:t>
      </w:r>
      <w:r>
        <w:t>),</w:t>
      </w:r>
    </w:p>
    <w:p w:rsidR="009F1A05" w:rsidRDefault="0070001E">
      <w:pPr>
        <w:pStyle w:val="Text"/>
      </w:pPr>
      <w:r>
        <w:t xml:space="preserve">with </w:t>
      </w:r>
      <w:r>
        <w:rPr>
          <w:i/>
          <w:iCs/>
        </w:rPr>
        <w:t>η</w:t>
      </w:r>
      <w:r>
        <w:t xml:space="preserve"> = (</w:t>
      </w:r>
      <w:r>
        <w:rPr>
          <w:i/>
          <w:iCs/>
        </w:rPr>
        <w:t>P</w:t>
      </w:r>
      <w:r>
        <w:rPr>
          <w:vertAlign w:val="subscript"/>
        </w:rPr>
        <w:t>f</w:t>
      </w:r>
      <w:r>
        <w:t>/</w:t>
      </w:r>
      <w:r>
        <w:rPr>
          <w:i/>
          <w:iCs/>
        </w:rPr>
        <w:t>P</w:t>
      </w:r>
      <w:r>
        <w:rPr>
          <w:vertAlign w:val="subscript"/>
        </w:rPr>
        <w:t>m</w:t>
      </w:r>
      <w:r>
        <w:t xml:space="preserve"> − 1)/(</w:t>
      </w:r>
      <w:r>
        <w:rPr>
          <w:i/>
          <w:iCs/>
        </w:rPr>
        <w:t>P</w:t>
      </w:r>
      <w:r>
        <w:rPr>
          <w:vertAlign w:val="subscript"/>
        </w:rPr>
        <w:t>f</w:t>
      </w:r>
      <w:r>
        <w:t>/</w:t>
      </w:r>
      <w:r>
        <w:rPr>
          <w:i/>
          <w:iCs/>
        </w:rPr>
        <w:t>P</w:t>
      </w:r>
      <w:r>
        <w:rPr>
          <w:vertAlign w:val="subscript"/>
        </w:rPr>
        <w:t>m</w:t>
      </w:r>
      <w:r>
        <w:t xml:space="preserve"> + </w:t>
      </w:r>
      <w:r>
        <w:rPr>
          <w:i/>
          <w:iCs/>
        </w:rPr>
        <w:t>ξ</w:t>
      </w:r>
      <w:r>
        <w:t xml:space="preserve">), where </w:t>
      </w:r>
      <w:r>
        <w:rPr>
          <w:i/>
          <w:iCs/>
        </w:rPr>
        <w:t>P</w:t>
      </w:r>
      <w:r>
        <w:t xml:space="preserve"> is </w:t>
      </w:r>
      <w:r>
        <w:rPr>
          <w:i/>
          <w:iCs/>
        </w:rPr>
        <w:t>E</w:t>
      </w:r>
      <w:r>
        <w:rPr>
          <w:vertAlign w:val="subscript"/>
        </w:rPr>
        <w:t>2</w:t>
      </w:r>
      <w:r>
        <w:t xml:space="preserve"> (</w:t>
      </w:r>
      <w:r>
        <w:rPr>
          <w:i/>
          <w:iCs/>
        </w:rPr>
        <w:t>ξ</w:t>
      </w:r>
      <w:r>
        <w:t xml:space="preserve"> = 2) or </w:t>
      </w:r>
      <w:r>
        <w:rPr>
          <w:i/>
          <w:iCs/>
        </w:rPr>
        <w:t>G</w:t>
      </w:r>
      <w:r>
        <w:rPr>
          <w:vertAlign w:val="subscript"/>
        </w:rPr>
        <w:t>12</w:t>
      </w:r>
      <w:r>
        <w:t xml:space="preserve"> (</w:t>
      </w:r>
      <w:r>
        <w:rPr>
          <w:i/>
          <w:iCs/>
        </w:rPr>
        <w:t>ξ</w:t>
      </w:r>
      <w:r>
        <w:t xml:space="preserve"> = 1), and </w:t>
      </w:r>
      <w:r>
        <w:rPr>
          <w:i/>
          <w:iCs/>
        </w:rPr>
        <w:t>G</w:t>
      </w:r>
      <w:r>
        <w:rPr>
          <w:vertAlign w:val="subscript"/>
        </w:rPr>
        <w:t>13</w:t>
      </w:r>
      <w:r>
        <w:t xml:space="preserve"> = </w:t>
      </w:r>
      <w:r>
        <w:rPr>
          <w:i/>
          <w:iCs/>
        </w:rPr>
        <w:t>G</w:t>
      </w:r>
      <w:r>
        <w:rPr>
          <w:vertAlign w:val="subscript"/>
        </w:rPr>
        <w:t>12</w:t>
      </w:r>
      <w:r>
        <w:t xml:space="preserve">. The Nomex core has </w:t>
      </w:r>
      <w:r>
        <w:rPr>
          <w:i/>
          <w:iCs/>
        </w:rPr>
        <w:t>E</w:t>
      </w:r>
      <w:r>
        <w:rPr>
          <w:vertAlign w:val="subscript"/>
        </w:rPr>
        <w:t>1</w:t>
      </w:r>
      <w:r>
        <w:t xml:space="preserve"> = 44.5 MPa, </w:t>
      </w:r>
      <w:r>
        <w:rPr>
          <w:i/>
          <w:iCs/>
        </w:rPr>
        <w:t>E</w:t>
      </w:r>
      <w:r>
        <w:rPr>
          <w:vertAlign w:val="subscript"/>
        </w:rPr>
        <w:t>2</w:t>
      </w:r>
      <w:r>
        <w:t xml:space="preserve"> = 4.4 MPa, </w:t>
      </w:r>
      <w:r>
        <w:rPr>
          <w:i/>
          <w:iCs/>
        </w:rPr>
        <w:t>G</w:t>
      </w:r>
      <w:r>
        <w:rPr>
          <w:vertAlign w:val="subscript"/>
        </w:rPr>
        <w:t>13</w:t>
      </w:r>
      <w:r>
        <w:t xml:space="preserve"> = 14.6 MPa and </w:t>
      </w:r>
      <w:r>
        <w:rPr>
          <w:i/>
          <w:iCs/>
        </w:rPr>
        <w:t>ν</w:t>
      </w:r>
      <w:r>
        <w:rPr>
          <w:vertAlign w:val="subscript"/>
        </w:rPr>
        <w:t>12</w:t>
      </w:r>
      <w:r>
        <w:t xml:space="preserve"> = 0.2606. The beam has </w:t>
      </w:r>
      <w:r>
        <w:rPr>
          <w:i/>
          <w:iCs/>
        </w:rPr>
        <w:t>h</w:t>
      </w:r>
      <w:r>
        <w:t xml:space="preserve"> = 5 mm, </w:t>
      </w:r>
      <w:r>
        <w:rPr>
          <w:i/>
          <w:iCs/>
        </w:rPr>
        <w:t>b</w:t>
      </w:r>
      <w:r>
        <w:t xml:space="preserve"> = </w:t>
      </w:r>
      <w:r>
        <w:rPr>
          <w:i/>
          <w:iCs/>
        </w:rPr>
        <w:t>h</w:t>
      </w:r>
      <w:r>
        <w:t xml:space="preserve">/4 and </w:t>
      </w:r>
      <w:r>
        <w:rPr>
          <w:i/>
          <w:iCs/>
        </w:rPr>
        <w:t>κ</w:t>
      </w:r>
      <w:r>
        <w:rPr>
          <w:vertAlign w:val="subscript"/>
        </w:rPr>
        <w:t>s</w:t>
      </w:r>
      <w:r>
        <w:t xml:space="preserve"> = 0.5. The foundation is defined by </w:t>
      </w:r>
      <w:r>
        <w:rPr>
          <w:i/>
          <w:iCs/>
        </w:rPr>
        <w:t>k</w:t>
      </w:r>
      <w:r>
        <w:rPr>
          <w:vertAlign w:val="subscript"/>
        </w:rPr>
        <w:t>l</w:t>
      </w:r>
      <w:r>
        <w:t xml:space="preserve"> = </w:t>
      </w:r>
      <w:r>
        <w:rPr>
          <w:i/>
          <w:iCs/>
        </w:rPr>
        <w:t>k</w:t>
      </w:r>
      <w:r>
        <w:rPr>
          <w:vertAlign w:val="subscript"/>
        </w:rPr>
        <w:t>u</w:t>
      </w:r>
      <w:r>
        <w:t xml:space="preserve"> = 10</w:t>
      </w:r>
      <w:r>
        <w:rPr>
          <w:vertAlign w:val="superscript"/>
        </w:rPr>
        <w:t>−5</w:t>
      </w:r>
      <w:r>
        <w:rPr>
          <w:i/>
          <w:iCs/>
        </w:rPr>
        <w:t>A</w:t>
      </w:r>
      <w:r>
        <w:rPr>
          <w:vertAlign w:val="subscript"/>
        </w:rPr>
        <w:t>11</w:t>
      </w:r>
      <w:r>
        <w:t>/</w:t>
      </w:r>
      <w:r>
        <w:rPr>
          <w:i/>
          <w:iCs/>
        </w:rPr>
        <w:t>L</w:t>
      </w:r>
      <w:r>
        <w:t xml:space="preserve"> and </w:t>
      </w:r>
      <w:r>
        <w:rPr>
          <w:i/>
          <w:iCs/>
        </w:rPr>
        <w:t>k</w:t>
      </w:r>
      <w:r>
        <w:rPr>
          <w:vertAlign w:val="subscript"/>
        </w:rPr>
        <w:t>g</w:t>
      </w:r>
      <w:r>
        <w:t xml:space="preserve"> = 10</w:t>
      </w:r>
      <w:r>
        <w:rPr>
          <w:vertAlign w:val="superscript"/>
        </w:rPr>
        <w:t>−6</w:t>
      </w:r>
      <w:r>
        <w:rPr>
          <w:i/>
          <w:iCs/>
        </w:rPr>
        <w:t>A</w:t>
      </w:r>
      <w:r>
        <w:rPr>
          <w:vertAlign w:val="subscript"/>
        </w:rPr>
        <w:t>11</w:t>
      </w:r>
      <w:r>
        <w:rPr>
          <w:i/>
          <w:iCs/>
        </w:rPr>
        <w:t>L</w:t>
      </w:r>
      <w:r>
        <w:t>. The slenderness study uses isotropic face sheets (</w:t>
      </w:r>
      <w:r>
        <w:rPr>
          <w:i/>
          <w:iCs/>
        </w:rPr>
        <w:t>E</w:t>
      </w:r>
      <w:r>
        <w:t xml:space="preserve"> = 1.44 GPa, </w:t>
      </w:r>
      <w:r>
        <w:rPr>
          <w:i/>
          <w:iCs/>
        </w:rPr>
        <w:t>ν</w:t>
      </w:r>
      <w:r>
        <w:t xml:space="preserve"> = 0.3) and modes </w:t>
      </w:r>
      <w:r>
        <w:rPr>
          <w:i/>
          <w:iCs/>
        </w:rPr>
        <w:t>n</w:t>
      </w:r>
      <w:r>
        <w:t xml:space="preserve"> = 1–20.</w:t>
      </w:r>
    </w:p>
    <w:p w:rsidR="009F1A05" w:rsidRDefault="0070001E">
      <w:pPr>
        <w:pStyle w:val="Header1"/>
        <w:keepNext/>
      </w:pPr>
      <w:r>
        <w:t>Results and Discussion</w:t>
      </w:r>
    </w:p>
    <w:p w:rsidR="009F1A05" w:rsidRDefault="007B402A">
      <w:pPr>
        <w:pStyle w:val="FootnoteText"/>
        <w:keepNext/>
        <w:spacing w:before="60"/>
        <w:ind w:firstLine="0"/>
        <w:jc w:val="center"/>
      </w:pPr>
      <w:r w:rsidRPr="007B402A">
        <w:rPr>
          <w:noProof/>
        </w:rPr>
        <w:drawing>
          <wp:inline distT="0" distB="0" distL="0" distR="0">
            <wp:extent cx="1862140" cy="1394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64413" cy="1396162"/>
                    </a:xfrm>
                    <a:prstGeom prst="rect">
                      <a:avLst/>
                    </a:prstGeom>
                    <a:noFill/>
                    <a:ln>
                      <a:noFill/>
                    </a:ln>
                  </pic:spPr>
                </pic:pic>
              </a:graphicData>
            </a:graphic>
          </wp:inline>
        </w:drawing>
      </w:r>
    </w:p>
    <w:p w:rsidR="009F1A05" w:rsidRDefault="0070001E">
      <w:pPr>
        <w:pStyle w:val="FigureTitle"/>
        <w:spacing w:after="60"/>
      </w:pPr>
      <w:r>
        <w:t xml:space="preserve">Critical load versus mode number for different slenderness ratios </w:t>
      </w:r>
      <w:r>
        <w:rPr>
          <w:i/>
          <w:iCs/>
        </w:rPr>
        <w:t>L</w:t>
      </w:r>
      <w:r>
        <w:t>/</w:t>
      </w:r>
      <w:r>
        <w:rPr>
          <w:i/>
          <w:iCs/>
        </w:rPr>
        <w:t>h</w:t>
      </w:r>
      <w:r>
        <w:t>.</w:t>
      </w:r>
    </w:p>
    <w:p w:rsidR="007B402A" w:rsidRDefault="0070001E" w:rsidP="00A45C81">
      <w:pPr>
        <w:pStyle w:val="Text"/>
      </w:pPr>
      <w:r>
        <w:t xml:space="preserve">Fig. 1 plots </w:t>
      </w:r>
      <w:r>
        <w:rPr>
          <w:i/>
          <w:iCs/>
        </w:rPr>
        <w:t>N</w:t>
      </w:r>
      <w:r>
        <w:rPr>
          <w:vertAlign w:val="subscript"/>
        </w:rPr>
        <w:t>cr</w:t>
      </w:r>
      <w:r>
        <w:rPr>
          <w:vertAlign w:val="superscript"/>
        </w:rPr>
        <w:t>(n)</w:t>
      </w:r>
      <w:r>
        <w:t xml:space="preserve"> against the mode number for slenderness ratios from 5 to 200. Every curve rises with </w:t>
      </w:r>
      <w:r>
        <w:rPr>
          <w:i/>
          <w:iCs/>
        </w:rPr>
        <w:t>n</w:t>
      </w:r>
      <w:r>
        <w:t>, so the first mode is critical in all cases. The buckling load falls from 1.52×10</w:t>
      </w:r>
      <w:r>
        <w:rPr>
          <w:vertAlign w:val="superscript"/>
        </w:rPr>
        <w:t>5</w:t>
      </w:r>
      <w:r>
        <w:t xml:space="preserve"> at </w:t>
      </w:r>
      <w:r>
        <w:rPr>
          <w:i/>
          <w:iCs/>
        </w:rPr>
        <w:t>L</w:t>
      </w:r>
      <w:r>
        <w:t>/</w:t>
      </w:r>
      <w:r>
        <w:rPr>
          <w:i/>
          <w:iCs/>
        </w:rPr>
        <w:t>h</w:t>
      </w:r>
      <w:r>
        <w:t xml:space="preserve"> = 5 to 1.33×10</w:t>
      </w:r>
      <w:r>
        <w:rPr>
          <w:vertAlign w:val="superscript"/>
        </w:rPr>
        <w:t>2</w:t>
      </w:r>
      <w:r>
        <w:t xml:space="preserve"> at </w:t>
      </w:r>
      <w:r>
        <w:rPr>
          <w:i/>
          <w:iCs/>
        </w:rPr>
        <w:t>L</w:t>
      </w:r>
      <w:r>
        <w:t>/</w:t>
      </w:r>
      <w:r>
        <w:rPr>
          <w:i/>
          <w:iCs/>
        </w:rPr>
        <w:t>h</w:t>
      </w:r>
      <w:r w:rsidR="000E28BF">
        <w:t xml:space="preserve"> = 200</w:t>
      </w:r>
      <w:r>
        <w:t xml:space="preserve">. Short beams flatten near </w:t>
      </w:r>
      <w:r>
        <w:rPr>
          <w:i/>
          <w:iCs/>
        </w:rPr>
        <w:t>S</w:t>
      </w:r>
      <w:r>
        <w:t xml:space="preserve"> = 5.76×10</w:t>
      </w:r>
      <w:r>
        <w:rPr>
          <w:vertAlign w:val="superscript"/>
        </w:rPr>
        <w:t>5</w:t>
      </w:r>
      <w:r>
        <w:t xml:space="preserve">, the shear-stiffness bound in Eq. (3), so for stubby members core shear limits the load. The Kerr terms change the load by under 0.5% up to </w:t>
      </w:r>
      <w:r>
        <w:rPr>
          <w:i/>
          <w:iCs/>
        </w:rPr>
        <w:t>L</w:t>
      </w:r>
      <w:r>
        <w:t>/</w:t>
      </w:r>
      <w:r>
        <w:rPr>
          <w:i/>
          <w:iCs/>
        </w:rPr>
        <w:t>h</w:t>
      </w:r>
      <w:r>
        <w:t xml:space="preserve"> = 100.</w:t>
      </w:r>
    </w:p>
    <w:p w:rsidR="009F1A05" w:rsidRDefault="007B402A">
      <w:pPr>
        <w:pStyle w:val="FootnoteText"/>
        <w:keepNext/>
        <w:spacing w:before="60"/>
        <w:ind w:firstLine="0"/>
        <w:jc w:val="center"/>
      </w:pPr>
      <w:r w:rsidRPr="007B402A">
        <w:rPr>
          <w:noProof/>
        </w:rPr>
        <w:drawing>
          <wp:inline distT="0" distB="0" distL="0" distR="0" wp14:anchorId="17A3A3C2" wp14:editId="7BCE0125">
            <wp:extent cx="1791190" cy="1341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96067" cy="1344772"/>
                    </a:xfrm>
                    <a:prstGeom prst="rect">
                      <a:avLst/>
                    </a:prstGeom>
                    <a:noFill/>
                    <a:ln>
                      <a:noFill/>
                    </a:ln>
                  </pic:spPr>
                </pic:pic>
              </a:graphicData>
            </a:graphic>
          </wp:inline>
        </w:drawing>
      </w:r>
    </w:p>
    <w:p w:rsidR="009F1A05" w:rsidRDefault="0070001E">
      <w:pPr>
        <w:pStyle w:val="FigureTitle"/>
        <w:spacing w:after="60"/>
      </w:pPr>
      <w:r>
        <w:t xml:space="preserve">Effect of the resin on the critical load of glass-fiber face sheets, </w:t>
      </w:r>
      <w:r>
        <w:rPr>
          <w:i/>
          <w:iCs/>
        </w:rPr>
        <w:t>L</w:t>
      </w:r>
      <w:r>
        <w:t>/</w:t>
      </w:r>
      <w:r>
        <w:rPr>
          <w:i/>
          <w:iCs/>
        </w:rPr>
        <w:t>h</w:t>
      </w:r>
      <w:r>
        <w:t xml:space="preserve"> = 20.</w:t>
      </w:r>
    </w:p>
    <w:p w:rsidR="009F1A05" w:rsidRDefault="0070001E">
      <w:pPr>
        <w:pStyle w:val="Text"/>
      </w:pPr>
      <w:r>
        <w:t xml:space="preserve">Fig. 2 compares the four resins for glass-fiber skins at </w:t>
      </w:r>
      <w:r>
        <w:rPr>
          <w:i/>
          <w:iCs/>
        </w:rPr>
        <w:t>L</w:t>
      </w:r>
      <w:r>
        <w:t>/</w:t>
      </w:r>
      <w:r>
        <w:rPr>
          <w:i/>
          <w:iCs/>
        </w:rPr>
        <w:t>h</w:t>
      </w:r>
      <w:r>
        <w:t xml:space="preserve"> = 20. All curves nearly coincide at the first mode, which is governed by </w:t>
      </w:r>
      <w:r>
        <w:rPr>
          <w:i/>
          <w:iCs/>
        </w:rPr>
        <w:t>D</w:t>
      </w:r>
      <w:r>
        <w:rPr>
          <w:vertAlign w:val="subscript"/>
        </w:rPr>
        <w:t>11</w:t>
      </w:r>
      <w:r>
        <w:t xml:space="preserve"> and therefore by the fiber, and they separate at higher modes, where the load approaches the shear-controlled value and the resin matters. LR620 gives the highest load, since its larger modulus raises </w:t>
      </w:r>
      <w:r>
        <w:rPr>
          <w:i/>
          <w:iCs/>
        </w:rPr>
        <w:t>G</w:t>
      </w:r>
      <w:r>
        <w:rPr>
          <w:vertAlign w:val="subscript"/>
        </w:rPr>
        <w:t>12</w:t>
      </w:r>
      <w:r>
        <w:t xml:space="preserve"> and hence </w:t>
      </w:r>
      <w:r>
        <w:rPr>
          <w:i/>
          <w:iCs/>
        </w:rPr>
        <w:t>S</w:t>
      </w:r>
      <w:r>
        <w:t>, whereas EPR 1080 is the lowest (Table 1). The first-mode spread is only about 4%, so the resin can be chosen for processing or environmental resistance.</w:t>
      </w:r>
    </w:p>
    <w:p w:rsidR="009F1A05" w:rsidRDefault="0070001E">
      <w:pPr>
        <w:pStyle w:val="TableHeading"/>
        <w:keepNext/>
      </w:pPr>
      <w:r>
        <w:t>Matrix, effective face-sheet moduli (GPa) and critical load</w:t>
      </w:r>
    </w:p>
    <w:tbl>
      <w:tblPr>
        <w:tblW w:w="4770" w:type="dxa"/>
        <w:jc w:val="center"/>
        <w:tblLayout w:type="fixed"/>
        <w:tblCellMar>
          <w:left w:w="40" w:type="dxa"/>
          <w:right w:w="40" w:type="dxa"/>
        </w:tblCellMar>
        <w:tblLook w:val="04A0" w:firstRow="1" w:lastRow="0" w:firstColumn="1" w:lastColumn="0" w:noHBand="0" w:noVBand="1"/>
      </w:tblPr>
      <w:tblGrid>
        <w:gridCol w:w="1850"/>
        <w:gridCol w:w="640"/>
        <w:gridCol w:w="640"/>
        <w:gridCol w:w="640"/>
        <w:gridCol w:w="1000"/>
      </w:tblGrid>
      <w:tr w:rsidR="009F1A05">
        <w:trPr>
          <w:cantSplit/>
          <w:jc w:val="center"/>
        </w:trPr>
        <w:tc>
          <w:tcPr>
            <w:tcW w:w="1850" w:type="dxa"/>
            <w:tcBorders>
              <w:top w:val="single" w:sz="12" w:space="0" w:color="auto"/>
              <w:left w:val="nil"/>
              <w:bottom w:val="single" w:sz="12" w:space="0" w:color="auto"/>
              <w:right w:val="nil"/>
            </w:tcBorders>
            <w:vAlign w:val="center"/>
          </w:tcPr>
          <w:p w:rsidR="009F1A05" w:rsidRDefault="0070001E">
            <w:pPr>
              <w:spacing w:after="0"/>
            </w:pPr>
            <w:r>
              <w:rPr>
                <w:sz w:val="17"/>
                <w:szCs w:val="17"/>
              </w:rPr>
              <w:t>Face sheet</w:t>
            </w:r>
          </w:p>
        </w:tc>
        <w:tc>
          <w:tcPr>
            <w:tcW w:w="640" w:type="dxa"/>
            <w:tcBorders>
              <w:top w:val="single" w:sz="12" w:space="0" w:color="auto"/>
              <w:left w:val="nil"/>
              <w:bottom w:val="single" w:sz="12" w:space="0" w:color="auto"/>
              <w:right w:val="nil"/>
            </w:tcBorders>
            <w:vAlign w:val="center"/>
          </w:tcPr>
          <w:p w:rsidR="009F1A05" w:rsidRDefault="0070001E">
            <w:pPr>
              <w:spacing w:after="0"/>
              <w:jc w:val="center"/>
            </w:pPr>
            <w:r>
              <w:rPr>
                <w:i/>
                <w:iCs/>
                <w:sz w:val="17"/>
                <w:szCs w:val="17"/>
              </w:rPr>
              <w:t>E</w:t>
            </w:r>
            <w:r>
              <w:rPr>
                <w:sz w:val="17"/>
                <w:szCs w:val="17"/>
                <w:vertAlign w:val="subscript"/>
              </w:rPr>
              <w:t>m</w:t>
            </w:r>
          </w:p>
        </w:tc>
        <w:tc>
          <w:tcPr>
            <w:tcW w:w="640" w:type="dxa"/>
            <w:tcBorders>
              <w:top w:val="single" w:sz="12" w:space="0" w:color="auto"/>
              <w:left w:val="nil"/>
              <w:bottom w:val="single" w:sz="12" w:space="0" w:color="auto"/>
              <w:right w:val="nil"/>
            </w:tcBorders>
            <w:vAlign w:val="center"/>
          </w:tcPr>
          <w:p w:rsidR="009F1A05" w:rsidRDefault="0070001E">
            <w:pPr>
              <w:spacing w:after="0"/>
              <w:jc w:val="center"/>
            </w:pPr>
            <w:r>
              <w:rPr>
                <w:i/>
                <w:iCs/>
                <w:sz w:val="17"/>
                <w:szCs w:val="17"/>
              </w:rPr>
              <w:t>E</w:t>
            </w:r>
            <w:r>
              <w:rPr>
                <w:sz w:val="17"/>
                <w:szCs w:val="17"/>
                <w:vertAlign w:val="subscript"/>
              </w:rPr>
              <w:t>1</w:t>
            </w:r>
          </w:p>
        </w:tc>
        <w:tc>
          <w:tcPr>
            <w:tcW w:w="640" w:type="dxa"/>
            <w:tcBorders>
              <w:top w:val="single" w:sz="12" w:space="0" w:color="auto"/>
              <w:left w:val="nil"/>
              <w:bottom w:val="single" w:sz="12" w:space="0" w:color="auto"/>
              <w:right w:val="nil"/>
            </w:tcBorders>
            <w:vAlign w:val="center"/>
          </w:tcPr>
          <w:p w:rsidR="009F1A05" w:rsidRDefault="0070001E">
            <w:pPr>
              <w:spacing w:after="0"/>
              <w:jc w:val="center"/>
            </w:pPr>
            <w:r>
              <w:rPr>
                <w:i/>
                <w:iCs/>
                <w:sz w:val="17"/>
                <w:szCs w:val="17"/>
              </w:rPr>
              <w:t>G</w:t>
            </w:r>
            <w:r>
              <w:rPr>
                <w:sz w:val="17"/>
                <w:szCs w:val="17"/>
                <w:vertAlign w:val="subscript"/>
              </w:rPr>
              <w:t>12</w:t>
            </w:r>
          </w:p>
        </w:tc>
        <w:tc>
          <w:tcPr>
            <w:tcW w:w="1000" w:type="dxa"/>
            <w:tcBorders>
              <w:top w:val="single" w:sz="12" w:space="0" w:color="auto"/>
              <w:left w:val="nil"/>
              <w:bottom w:val="single" w:sz="12" w:space="0" w:color="auto"/>
              <w:right w:val="nil"/>
            </w:tcBorders>
            <w:vAlign w:val="center"/>
          </w:tcPr>
          <w:p w:rsidR="009F1A05" w:rsidRDefault="0070001E">
            <w:pPr>
              <w:spacing w:after="0"/>
              <w:jc w:val="center"/>
            </w:pPr>
            <w:r>
              <w:rPr>
                <w:i/>
                <w:iCs/>
                <w:sz w:val="17"/>
                <w:szCs w:val="17"/>
              </w:rPr>
              <w:t>N</w:t>
            </w:r>
            <w:r>
              <w:rPr>
                <w:sz w:val="17"/>
                <w:szCs w:val="17"/>
                <w:vertAlign w:val="subscript"/>
              </w:rPr>
              <w:t>cr</w:t>
            </w:r>
            <w:r>
              <w:rPr>
                <w:sz w:val="17"/>
                <w:szCs w:val="17"/>
              </w:rPr>
              <w:t xml:space="preserve"> (10</w:t>
            </w:r>
            <w:r>
              <w:rPr>
                <w:sz w:val="17"/>
                <w:szCs w:val="17"/>
                <w:vertAlign w:val="superscript"/>
              </w:rPr>
              <w:t>5</w:t>
            </w:r>
            <w:r>
              <w:rPr>
                <w:sz w:val="17"/>
                <w:szCs w:val="17"/>
              </w:rPr>
              <w:t>)</w:t>
            </w:r>
          </w:p>
        </w:tc>
      </w:tr>
      <w:tr w:rsidR="009F1A05">
        <w:trPr>
          <w:cantSplit/>
          <w:jc w:val="center"/>
        </w:trPr>
        <w:tc>
          <w:tcPr>
            <w:tcW w:w="1850" w:type="dxa"/>
            <w:tcBorders>
              <w:top w:val="nil"/>
              <w:left w:val="nil"/>
              <w:bottom w:val="nil"/>
              <w:right w:val="nil"/>
            </w:tcBorders>
            <w:vAlign w:val="center"/>
          </w:tcPr>
          <w:p w:rsidR="009F1A05" w:rsidRDefault="0070001E">
            <w:pPr>
              <w:spacing w:after="0"/>
            </w:pPr>
            <w:r>
              <w:rPr>
                <w:sz w:val="17"/>
                <w:szCs w:val="17"/>
              </w:rPr>
              <w:t>Glass / EPR 1080</w:t>
            </w:r>
          </w:p>
        </w:tc>
        <w:tc>
          <w:tcPr>
            <w:tcW w:w="640" w:type="dxa"/>
            <w:tcBorders>
              <w:top w:val="nil"/>
              <w:left w:val="nil"/>
              <w:bottom w:val="nil"/>
              <w:right w:val="nil"/>
            </w:tcBorders>
            <w:vAlign w:val="center"/>
          </w:tcPr>
          <w:p w:rsidR="009F1A05" w:rsidRDefault="0070001E">
            <w:pPr>
              <w:spacing w:after="0"/>
              <w:jc w:val="center"/>
            </w:pPr>
            <w:r>
              <w:rPr>
                <w:sz w:val="17"/>
                <w:szCs w:val="17"/>
              </w:rPr>
              <w:t>2.73</w:t>
            </w:r>
          </w:p>
        </w:tc>
        <w:tc>
          <w:tcPr>
            <w:tcW w:w="640" w:type="dxa"/>
            <w:tcBorders>
              <w:top w:val="nil"/>
              <w:left w:val="nil"/>
              <w:bottom w:val="nil"/>
              <w:right w:val="nil"/>
            </w:tcBorders>
            <w:vAlign w:val="center"/>
          </w:tcPr>
          <w:p w:rsidR="009F1A05" w:rsidRDefault="0070001E">
            <w:pPr>
              <w:spacing w:after="0"/>
              <w:jc w:val="center"/>
            </w:pPr>
            <w:r>
              <w:rPr>
                <w:sz w:val="17"/>
                <w:szCs w:val="17"/>
              </w:rPr>
              <w:t>44.53</w:t>
            </w:r>
          </w:p>
        </w:tc>
        <w:tc>
          <w:tcPr>
            <w:tcW w:w="640" w:type="dxa"/>
            <w:tcBorders>
              <w:top w:val="nil"/>
              <w:left w:val="nil"/>
              <w:bottom w:val="nil"/>
              <w:right w:val="nil"/>
            </w:tcBorders>
            <w:vAlign w:val="center"/>
          </w:tcPr>
          <w:p w:rsidR="009F1A05" w:rsidRDefault="0070001E">
            <w:pPr>
              <w:spacing w:after="0"/>
              <w:jc w:val="center"/>
            </w:pPr>
            <w:r>
              <w:rPr>
                <w:sz w:val="17"/>
                <w:szCs w:val="17"/>
              </w:rPr>
              <w:t>3.73</w:t>
            </w:r>
          </w:p>
        </w:tc>
        <w:tc>
          <w:tcPr>
            <w:tcW w:w="1000" w:type="dxa"/>
            <w:tcBorders>
              <w:top w:val="nil"/>
              <w:left w:val="nil"/>
              <w:bottom w:val="nil"/>
              <w:right w:val="nil"/>
            </w:tcBorders>
            <w:vAlign w:val="center"/>
          </w:tcPr>
          <w:p w:rsidR="009F1A05" w:rsidRDefault="0070001E">
            <w:pPr>
              <w:spacing w:after="0"/>
              <w:jc w:val="center"/>
            </w:pPr>
            <w:r>
              <w:rPr>
                <w:sz w:val="17"/>
                <w:szCs w:val="17"/>
              </w:rPr>
              <w:t>3.314</w:t>
            </w:r>
          </w:p>
        </w:tc>
      </w:tr>
      <w:tr w:rsidR="009F1A05">
        <w:trPr>
          <w:cantSplit/>
          <w:jc w:val="center"/>
        </w:trPr>
        <w:tc>
          <w:tcPr>
            <w:tcW w:w="1850" w:type="dxa"/>
            <w:tcBorders>
              <w:top w:val="nil"/>
              <w:left w:val="nil"/>
              <w:bottom w:val="nil"/>
              <w:right w:val="nil"/>
            </w:tcBorders>
            <w:vAlign w:val="center"/>
          </w:tcPr>
          <w:p w:rsidR="009F1A05" w:rsidRDefault="0070001E">
            <w:pPr>
              <w:spacing w:after="0"/>
            </w:pPr>
            <w:r>
              <w:rPr>
                <w:sz w:val="17"/>
                <w:szCs w:val="17"/>
              </w:rPr>
              <w:t>Glass / LR620</w:t>
            </w:r>
          </w:p>
        </w:tc>
        <w:tc>
          <w:tcPr>
            <w:tcW w:w="640" w:type="dxa"/>
            <w:tcBorders>
              <w:top w:val="nil"/>
              <w:left w:val="nil"/>
              <w:bottom w:val="nil"/>
              <w:right w:val="nil"/>
            </w:tcBorders>
            <w:vAlign w:val="center"/>
          </w:tcPr>
          <w:p w:rsidR="009F1A05" w:rsidRDefault="0070001E">
            <w:pPr>
              <w:spacing w:after="0"/>
              <w:jc w:val="center"/>
            </w:pPr>
            <w:r>
              <w:rPr>
                <w:sz w:val="17"/>
                <w:szCs w:val="17"/>
              </w:rPr>
              <w:t>4.16</w:t>
            </w:r>
          </w:p>
        </w:tc>
        <w:tc>
          <w:tcPr>
            <w:tcW w:w="640" w:type="dxa"/>
            <w:tcBorders>
              <w:top w:val="nil"/>
              <w:left w:val="nil"/>
              <w:bottom w:val="nil"/>
              <w:right w:val="nil"/>
            </w:tcBorders>
            <w:vAlign w:val="center"/>
          </w:tcPr>
          <w:p w:rsidR="009F1A05" w:rsidRDefault="0070001E">
            <w:pPr>
              <w:spacing w:after="0"/>
              <w:jc w:val="center"/>
            </w:pPr>
            <w:r>
              <w:rPr>
                <w:sz w:val="17"/>
                <w:szCs w:val="17"/>
              </w:rPr>
              <w:t>45.10</w:t>
            </w:r>
          </w:p>
        </w:tc>
        <w:tc>
          <w:tcPr>
            <w:tcW w:w="640" w:type="dxa"/>
            <w:tcBorders>
              <w:top w:val="nil"/>
              <w:left w:val="nil"/>
              <w:bottom w:val="nil"/>
              <w:right w:val="nil"/>
            </w:tcBorders>
            <w:vAlign w:val="center"/>
          </w:tcPr>
          <w:p w:rsidR="009F1A05" w:rsidRDefault="0070001E">
            <w:pPr>
              <w:spacing w:after="0"/>
              <w:jc w:val="center"/>
            </w:pPr>
            <w:r>
              <w:rPr>
                <w:sz w:val="17"/>
                <w:szCs w:val="17"/>
              </w:rPr>
              <w:t>5.54</w:t>
            </w:r>
          </w:p>
        </w:tc>
        <w:tc>
          <w:tcPr>
            <w:tcW w:w="1000" w:type="dxa"/>
            <w:tcBorders>
              <w:top w:val="nil"/>
              <w:left w:val="nil"/>
              <w:bottom w:val="nil"/>
              <w:right w:val="nil"/>
            </w:tcBorders>
            <w:vAlign w:val="center"/>
          </w:tcPr>
          <w:p w:rsidR="009F1A05" w:rsidRDefault="0070001E">
            <w:pPr>
              <w:spacing w:after="0"/>
              <w:jc w:val="center"/>
            </w:pPr>
            <w:r>
              <w:rPr>
                <w:sz w:val="17"/>
                <w:szCs w:val="17"/>
              </w:rPr>
              <w:t>3.457</w:t>
            </w:r>
          </w:p>
        </w:tc>
      </w:tr>
      <w:tr w:rsidR="009F1A05">
        <w:trPr>
          <w:cantSplit/>
          <w:jc w:val="center"/>
        </w:trPr>
        <w:tc>
          <w:tcPr>
            <w:tcW w:w="1850" w:type="dxa"/>
            <w:tcBorders>
              <w:top w:val="nil"/>
              <w:left w:val="nil"/>
              <w:bottom w:val="nil"/>
              <w:right w:val="nil"/>
            </w:tcBorders>
            <w:vAlign w:val="center"/>
          </w:tcPr>
          <w:p w:rsidR="009F1A05" w:rsidRDefault="0070001E">
            <w:pPr>
              <w:spacing w:after="0"/>
            </w:pPr>
            <w:r>
              <w:rPr>
                <w:sz w:val="17"/>
                <w:szCs w:val="17"/>
              </w:rPr>
              <w:t>Glass / Araldite LY 556</w:t>
            </w:r>
          </w:p>
        </w:tc>
        <w:tc>
          <w:tcPr>
            <w:tcW w:w="640" w:type="dxa"/>
            <w:tcBorders>
              <w:top w:val="nil"/>
              <w:left w:val="nil"/>
              <w:bottom w:val="nil"/>
              <w:right w:val="nil"/>
            </w:tcBorders>
            <w:vAlign w:val="center"/>
          </w:tcPr>
          <w:p w:rsidR="009F1A05" w:rsidRDefault="0070001E">
            <w:pPr>
              <w:spacing w:after="0"/>
              <w:jc w:val="center"/>
            </w:pPr>
            <w:r>
              <w:rPr>
                <w:sz w:val="17"/>
                <w:szCs w:val="17"/>
              </w:rPr>
              <w:t>3.40</w:t>
            </w:r>
          </w:p>
        </w:tc>
        <w:tc>
          <w:tcPr>
            <w:tcW w:w="640" w:type="dxa"/>
            <w:tcBorders>
              <w:top w:val="nil"/>
              <w:left w:val="nil"/>
              <w:bottom w:val="nil"/>
              <w:right w:val="nil"/>
            </w:tcBorders>
            <w:vAlign w:val="center"/>
          </w:tcPr>
          <w:p w:rsidR="009F1A05" w:rsidRDefault="0070001E">
            <w:pPr>
              <w:spacing w:after="0"/>
              <w:jc w:val="center"/>
            </w:pPr>
            <w:r>
              <w:rPr>
                <w:sz w:val="17"/>
                <w:szCs w:val="17"/>
              </w:rPr>
              <w:t>44.80</w:t>
            </w:r>
          </w:p>
        </w:tc>
        <w:tc>
          <w:tcPr>
            <w:tcW w:w="640" w:type="dxa"/>
            <w:tcBorders>
              <w:top w:val="nil"/>
              <w:left w:val="nil"/>
              <w:bottom w:val="nil"/>
              <w:right w:val="nil"/>
            </w:tcBorders>
            <w:vAlign w:val="center"/>
          </w:tcPr>
          <w:p w:rsidR="009F1A05" w:rsidRDefault="0070001E">
            <w:pPr>
              <w:spacing w:after="0"/>
              <w:jc w:val="center"/>
            </w:pPr>
            <w:r>
              <w:rPr>
                <w:sz w:val="17"/>
                <w:szCs w:val="17"/>
              </w:rPr>
              <w:t>4.46</w:t>
            </w:r>
          </w:p>
        </w:tc>
        <w:tc>
          <w:tcPr>
            <w:tcW w:w="1000" w:type="dxa"/>
            <w:tcBorders>
              <w:top w:val="nil"/>
              <w:left w:val="nil"/>
              <w:bottom w:val="nil"/>
              <w:right w:val="nil"/>
            </w:tcBorders>
            <w:vAlign w:val="center"/>
          </w:tcPr>
          <w:p w:rsidR="009F1A05" w:rsidRDefault="0070001E">
            <w:pPr>
              <w:spacing w:after="0"/>
              <w:jc w:val="center"/>
            </w:pPr>
            <w:r>
              <w:rPr>
                <w:sz w:val="17"/>
                <w:szCs w:val="17"/>
              </w:rPr>
              <w:t>3.389</w:t>
            </w:r>
          </w:p>
        </w:tc>
      </w:tr>
      <w:tr w:rsidR="009F1A05">
        <w:trPr>
          <w:cantSplit/>
          <w:jc w:val="center"/>
        </w:trPr>
        <w:tc>
          <w:tcPr>
            <w:tcW w:w="1850" w:type="dxa"/>
            <w:tcBorders>
              <w:top w:val="nil"/>
              <w:left w:val="nil"/>
              <w:bottom w:val="nil"/>
              <w:right w:val="nil"/>
            </w:tcBorders>
            <w:vAlign w:val="center"/>
          </w:tcPr>
          <w:p w:rsidR="009F1A05" w:rsidRDefault="0070001E">
            <w:pPr>
              <w:spacing w:after="0"/>
            </w:pPr>
            <w:r>
              <w:rPr>
                <w:sz w:val="17"/>
                <w:szCs w:val="17"/>
              </w:rPr>
              <w:t>Glass / Prime 27LV</w:t>
            </w:r>
          </w:p>
        </w:tc>
        <w:tc>
          <w:tcPr>
            <w:tcW w:w="640" w:type="dxa"/>
            <w:tcBorders>
              <w:top w:val="nil"/>
              <w:left w:val="nil"/>
              <w:bottom w:val="nil"/>
              <w:right w:val="nil"/>
            </w:tcBorders>
            <w:vAlign w:val="center"/>
          </w:tcPr>
          <w:p w:rsidR="009F1A05" w:rsidRDefault="0070001E">
            <w:pPr>
              <w:spacing w:after="0"/>
              <w:jc w:val="center"/>
            </w:pPr>
            <w:r>
              <w:rPr>
                <w:sz w:val="17"/>
                <w:szCs w:val="17"/>
              </w:rPr>
              <w:t>3.30</w:t>
            </w:r>
          </w:p>
        </w:tc>
        <w:tc>
          <w:tcPr>
            <w:tcW w:w="640" w:type="dxa"/>
            <w:tcBorders>
              <w:top w:val="nil"/>
              <w:left w:val="nil"/>
              <w:bottom w:val="nil"/>
              <w:right w:val="nil"/>
            </w:tcBorders>
            <w:vAlign w:val="center"/>
          </w:tcPr>
          <w:p w:rsidR="009F1A05" w:rsidRDefault="0070001E">
            <w:pPr>
              <w:spacing w:after="0"/>
              <w:jc w:val="center"/>
            </w:pPr>
            <w:r>
              <w:rPr>
                <w:sz w:val="17"/>
                <w:szCs w:val="17"/>
              </w:rPr>
              <w:t>44.76</w:t>
            </w:r>
          </w:p>
        </w:tc>
        <w:tc>
          <w:tcPr>
            <w:tcW w:w="640" w:type="dxa"/>
            <w:tcBorders>
              <w:top w:val="nil"/>
              <w:left w:val="nil"/>
              <w:bottom w:val="nil"/>
              <w:right w:val="nil"/>
            </w:tcBorders>
            <w:vAlign w:val="center"/>
          </w:tcPr>
          <w:p w:rsidR="009F1A05" w:rsidRDefault="0070001E">
            <w:pPr>
              <w:spacing w:after="0"/>
              <w:jc w:val="center"/>
            </w:pPr>
            <w:r>
              <w:rPr>
                <w:sz w:val="17"/>
                <w:szCs w:val="17"/>
              </w:rPr>
              <w:t>4.34</w:t>
            </w:r>
          </w:p>
        </w:tc>
        <w:tc>
          <w:tcPr>
            <w:tcW w:w="1000" w:type="dxa"/>
            <w:tcBorders>
              <w:top w:val="nil"/>
              <w:left w:val="nil"/>
              <w:bottom w:val="nil"/>
              <w:right w:val="nil"/>
            </w:tcBorders>
            <w:vAlign w:val="center"/>
          </w:tcPr>
          <w:p w:rsidR="009F1A05" w:rsidRDefault="0070001E">
            <w:pPr>
              <w:spacing w:after="0"/>
              <w:jc w:val="center"/>
            </w:pPr>
            <w:r>
              <w:rPr>
                <w:sz w:val="17"/>
                <w:szCs w:val="17"/>
              </w:rPr>
              <w:t>3.378</w:t>
            </w:r>
          </w:p>
        </w:tc>
      </w:tr>
      <w:tr w:rsidR="009F1A05">
        <w:trPr>
          <w:cantSplit/>
          <w:jc w:val="center"/>
        </w:trPr>
        <w:tc>
          <w:tcPr>
            <w:tcW w:w="1850" w:type="dxa"/>
            <w:tcBorders>
              <w:top w:val="nil"/>
              <w:left w:val="nil"/>
              <w:bottom w:val="single" w:sz="12" w:space="0" w:color="auto"/>
              <w:right w:val="nil"/>
            </w:tcBorders>
            <w:vAlign w:val="center"/>
          </w:tcPr>
          <w:p w:rsidR="009F1A05" w:rsidRDefault="0070001E">
            <w:pPr>
              <w:spacing w:after="0"/>
            </w:pPr>
            <w:r>
              <w:rPr>
                <w:sz w:val="17"/>
                <w:szCs w:val="17"/>
              </w:rPr>
              <w:t>Carbon / LR620</w:t>
            </w:r>
          </w:p>
        </w:tc>
        <w:tc>
          <w:tcPr>
            <w:tcW w:w="640" w:type="dxa"/>
            <w:tcBorders>
              <w:top w:val="nil"/>
              <w:left w:val="nil"/>
              <w:bottom w:val="single" w:sz="12" w:space="0" w:color="auto"/>
              <w:right w:val="nil"/>
            </w:tcBorders>
            <w:vAlign w:val="center"/>
          </w:tcPr>
          <w:p w:rsidR="009F1A05" w:rsidRDefault="0070001E">
            <w:pPr>
              <w:spacing w:after="0"/>
              <w:jc w:val="center"/>
            </w:pPr>
            <w:r>
              <w:rPr>
                <w:sz w:val="17"/>
                <w:szCs w:val="17"/>
              </w:rPr>
              <w:t>4.16</w:t>
            </w:r>
          </w:p>
        </w:tc>
        <w:tc>
          <w:tcPr>
            <w:tcW w:w="640" w:type="dxa"/>
            <w:tcBorders>
              <w:top w:val="nil"/>
              <w:left w:val="nil"/>
              <w:bottom w:val="single" w:sz="12" w:space="0" w:color="auto"/>
              <w:right w:val="nil"/>
            </w:tcBorders>
            <w:vAlign w:val="center"/>
          </w:tcPr>
          <w:p w:rsidR="009F1A05" w:rsidRDefault="0070001E">
            <w:pPr>
              <w:spacing w:after="0"/>
              <w:jc w:val="center"/>
            </w:pPr>
            <w:r>
              <w:rPr>
                <w:sz w:val="17"/>
                <w:szCs w:val="17"/>
              </w:rPr>
              <w:t>136.66</w:t>
            </w:r>
          </w:p>
        </w:tc>
        <w:tc>
          <w:tcPr>
            <w:tcW w:w="640" w:type="dxa"/>
            <w:tcBorders>
              <w:top w:val="nil"/>
              <w:left w:val="nil"/>
              <w:bottom w:val="single" w:sz="12" w:space="0" w:color="auto"/>
              <w:right w:val="nil"/>
            </w:tcBorders>
            <w:vAlign w:val="center"/>
          </w:tcPr>
          <w:p w:rsidR="009F1A05" w:rsidRDefault="0070001E">
            <w:pPr>
              <w:spacing w:after="0"/>
              <w:jc w:val="center"/>
            </w:pPr>
            <w:r>
              <w:rPr>
                <w:sz w:val="17"/>
                <w:szCs w:val="17"/>
              </w:rPr>
              <w:t>5.35</w:t>
            </w:r>
          </w:p>
        </w:tc>
        <w:tc>
          <w:tcPr>
            <w:tcW w:w="1000" w:type="dxa"/>
            <w:tcBorders>
              <w:top w:val="nil"/>
              <w:left w:val="nil"/>
              <w:bottom w:val="single" w:sz="12" w:space="0" w:color="auto"/>
              <w:right w:val="nil"/>
            </w:tcBorders>
            <w:vAlign w:val="center"/>
          </w:tcPr>
          <w:p w:rsidR="009F1A05" w:rsidRDefault="0070001E">
            <w:pPr>
              <w:spacing w:after="0"/>
              <w:jc w:val="center"/>
            </w:pPr>
            <w:r>
              <w:rPr>
                <w:sz w:val="17"/>
                <w:szCs w:val="17"/>
              </w:rPr>
              <w:t>9.172</w:t>
            </w:r>
          </w:p>
        </w:tc>
      </w:tr>
    </w:tbl>
    <w:p w:rsidR="009F1A05" w:rsidRDefault="009F1A05">
      <w:pPr>
        <w:spacing w:after="0" w:line="120" w:lineRule="exact"/>
      </w:pPr>
    </w:p>
    <w:p w:rsidR="009F1A05" w:rsidRDefault="00A45C81" w:rsidP="00A45C81">
      <w:pPr>
        <w:pStyle w:val="FootnoteText"/>
        <w:keepNext/>
        <w:spacing w:before="60"/>
        <w:ind w:firstLine="0"/>
        <w:jc w:val="center"/>
      </w:pPr>
      <w:r w:rsidRPr="00A45C81">
        <w:rPr>
          <w:noProof/>
        </w:rPr>
        <w:drawing>
          <wp:inline distT="0" distB="0" distL="0" distR="0">
            <wp:extent cx="2034540" cy="15251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52726" cy="1538810"/>
                    </a:xfrm>
                    <a:prstGeom prst="rect">
                      <a:avLst/>
                    </a:prstGeom>
                    <a:noFill/>
                    <a:ln>
                      <a:noFill/>
                    </a:ln>
                  </pic:spPr>
                </pic:pic>
              </a:graphicData>
            </a:graphic>
          </wp:inline>
        </w:drawing>
      </w:r>
    </w:p>
    <w:p w:rsidR="009F1A05" w:rsidRDefault="0070001E">
      <w:pPr>
        <w:pStyle w:val="FigureTitle"/>
        <w:spacing w:after="60"/>
      </w:pPr>
      <w:r>
        <w:t xml:space="preserve">Glass versus carbon fibers with LR620 resin, </w:t>
      </w:r>
      <w:r>
        <w:rPr>
          <w:i/>
          <w:iCs/>
        </w:rPr>
        <w:t>L</w:t>
      </w:r>
      <w:r>
        <w:t>/</w:t>
      </w:r>
      <w:r>
        <w:rPr>
          <w:i/>
          <w:iCs/>
        </w:rPr>
        <w:t>h</w:t>
      </w:r>
      <w:r>
        <w:t xml:space="preserve"> = 20.</w:t>
      </w:r>
    </w:p>
    <w:p w:rsidR="009F1A05" w:rsidRDefault="0070001E">
      <w:pPr>
        <w:pStyle w:val="Text"/>
      </w:pPr>
      <w:r>
        <w:t xml:space="preserve">Fig. 3 shows that carbon skins triple </w:t>
      </w:r>
      <w:r>
        <w:rPr>
          <w:i/>
          <w:iCs/>
        </w:rPr>
        <w:t>D</w:t>
      </w:r>
      <w:r>
        <w:rPr>
          <w:vertAlign w:val="subscript"/>
        </w:rPr>
        <w:t>11</w:t>
      </w:r>
      <w:r>
        <w:t xml:space="preserve"> and raise the buckling load from 3.46×10</w:t>
      </w:r>
      <w:r>
        <w:rPr>
          <w:vertAlign w:val="superscript"/>
        </w:rPr>
        <w:t>5</w:t>
      </w:r>
      <w:r>
        <w:t xml:space="preserve"> to 9.17×10</w:t>
      </w:r>
      <w:r>
        <w:rPr>
          <w:vertAlign w:val="superscript"/>
        </w:rPr>
        <w:t>5</w:t>
      </w:r>
      <w:r>
        <w:t xml:space="preserve">, a factor of 2.65 that is below 3 because of shear flexibility. At high modes the curves converge and cross near </w:t>
      </w:r>
      <w:r>
        <w:rPr>
          <w:i/>
          <w:iCs/>
        </w:rPr>
        <w:t>n</w:t>
      </w:r>
      <w:r>
        <w:t xml:space="preserve"> = 17, since carbon/LR620 has a slightly lower </w:t>
      </w:r>
      <w:r>
        <w:rPr>
          <w:i/>
          <w:iCs/>
        </w:rPr>
        <w:t>G</w:t>
      </w:r>
      <w:r>
        <w:rPr>
          <w:vertAlign w:val="subscript"/>
        </w:rPr>
        <w:t>12</w:t>
      </w:r>
      <w:r>
        <w:t xml:space="preserve"> and thus lower </w:t>
      </w:r>
      <w:r>
        <w:rPr>
          <w:i/>
          <w:iCs/>
        </w:rPr>
        <w:t>S</w:t>
      </w:r>
      <w:r>
        <w:t>. Higher modes are thus controlled by shear stiffness and the critical first mode by the fiber modulus.</w:t>
      </w:r>
    </w:p>
    <w:p w:rsidR="009F1A05" w:rsidRDefault="0070001E">
      <w:pPr>
        <w:pStyle w:val="Header1"/>
        <w:keepNext/>
      </w:pPr>
      <w:r>
        <w:t>Conclusion</w:t>
      </w:r>
    </w:p>
    <w:p w:rsidR="009F1A05" w:rsidRDefault="0070001E">
      <w:pPr>
        <w:pStyle w:val="Text"/>
      </w:pPr>
      <w:r>
        <w:t>A closed-form buckling load was derived for a symmetric sandwich Timoshenko beam on a Kerr foundation. The first mode was critical in all cases, the load followed Euler scaling for slender beams and was bounded by the shear stiffness for short ones, and carbon/LR620 face sheets gave the highest load. The formula suits fast preliminary sizing of aerospace and defense sandwich panels.</w:t>
      </w:r>
    </w:p>
    <w:p w:rsidR="009F1A05" w:rsidRDefault="0070001E">
      <w:pPr>
        <w:pStyle w:val="sectionheadnonums"/>
        <w:keepNext/>
      </w:pPr>
      <w:r>
        <w:lastRenderedPageBreak/>
        <w:t>References</w:t>
      </w:r>
    </w:p>
    <w:p w:rsidR="007B402A" w:rsidRDefault="007B402A" w:rsidP="007B402A">
      <w:pPr>
        <w:pStyle w:val="references"/>
        <w:numPr>
          <w:ilvl w:val="0"/>
          <w:numId w:val="11"/>
        </w:numPr>
      </w:pPr>
      <w:proofErr w:type="spellStart"/>
      <w:r w:rsidRPr="007B402A">
        <w:t>Ardebili</w:t>
      </w:r>
      <w:proofErr w:type="spellEnd"/>
      <w:r w:rsidRPr="007B402A">
        <w:t>, A. et al.</w:t>
      </w:r>
      <w:r>
        <w:t xml:space="preserve">, </w:t>
      </w:r>
      <w:r w:rsidRPr="007B402A">
        <w:t xml:space="preserve">Enhancing Strength of </w:t>
      </w:r>
      <w:proofErr w:type="spellStart"/>
      <w:r w:rsidRPr="007B402A">
        <w:t>Nomex</w:t>
      </w:r>
      <w:proofErr w:type="spellEnd"/>
      <w:r w:rsidRPr="007B402A">
        <w:t xml:space="preserve"> Sandwich Structures through the Utilization of Nano Clay Dispersed Epoxy Resin: A Study in Aerospace Applications</w:t>
      </w:r>
    </w:p>
    <w:p w:rsidR="009F1A05" w:rsidRDefault="00A45C81" w:rsidP="00A45C81">
      <w:pPr>
        <w:pStyle w:val="references"/>
        <w:numPr>
          <w:ilvl w:val="0"/>
          <w:numId w:val="11"/>
        </w:numPr>
      </w:pPr>
      <w:proofErr w:type="spellStart"/>
      <w:r w:rsidRPr="00A45C81">
        <w:t>Mohammadjavad</w:t>
      </w:r>
      <w:proofErr w:type="spellEnd"/>
      <w:r w:rsidRPr="00A45C81">
        <w:t xml:space="preserve"> </w:t>
      </w:r>
      <w:proofErr w:type="spellStart"/>
      <w:r w:rsidRPr="00A45C81">
        <w:t>Jafari</w:t>
      </w:r>
      <w:proofErr w:type="spellEnd"/>
      <w:r>
        <w:t>,</w:t>
      </w:r>
      <w:r w:rsidRPr="00A45C81">
        <w:rPr>
          <w:rFonts w:eastAsiaTheme="minorHAnsi"/>
          <w:sz w:val="24"/>
          <w:szCs w:val="24"/>
          <w14:ligatures w14:val="standardContextual"/>
        </w:rPr>
        <w:t xml:space="preserve"> </w:t>
      </w:r>
      <w:r w:rsidRPr="00A45C81">
        <w:t xml:space="preserve">Mehdi </w:t>
      </w:r>
      <w:proofErr w:type="spellStart"/>
      <w:r w:rsidRPr="00A45C81">
        <w:t>Mohammadimehr</w:t>
      </w:r>
      <w:proofErr w:type="spellEnd"/>
      <w:proofErr w:type="gramStart"/>
      <w:r>
        <w:t>,.</w:t>
      </w:r>
      <w:proofErr w:type="gramEnd"/>
      <w:r>
        <w:t xml:space="preserve"> Forced vibration control of Timoshenko’s micro sandwich beam with CNT/GPL/CNR reinforced composites integrated by piezoelectric on Kerr’s elastic foundation using MCST</w:t>
      </w:r>
    </w:p>
    <w:p w:rsidR="007B402A" w:rsidRDefault="007B402A">
      <w:pPr>
        <w:pStyle w:val="references"/>
        <w:numPr>
          <w:ilvl w:val="0"/>
          <w:numId w:val="11"/>
        </w:numPr>
      </w:pPr>
      <w:proofErr w:type="spellStart"/>
      <w:r>
        <w:t>Sajadian</w:t>
      </w:r>
      <w:proofErr w:type="spellEnd"/>
      <w:r>
        <w:t xml:space="preserve">, S.A., </w:t>
      </w:r>
      <w:proofErr w:type="spellStart"/>
      <w:r>
        <w:t>Mohammadimehr</w:t>
      </w:r>
      <w:proofErr w:type="spellEnd"/>
      <w:r>
        <w:t xml:space="preserve">, M. and </w:t>
      </w:r>
      <w:proofErr w:type="spellStart"/>
      <w:r>
        <w:t>Irani</w:t>
      </w:r>
      <w:proofErr w:type="spellEnd"/>
      <w:r>
        <w:t xml:space="preserve"> </w:t>
      </w:r>
      <w:proofErr w:type="spellStart"/>
      <w:r>
        <w:t>Rahaghi</w:t>
      </w:r>
      <w:proofErr w:type="spellEnd"/>
      <w:r>
        <w:t>, M., Vibration Response of a Sandwich Higher-Order Micro Beam Based on Shear and Normal Deformation Theory on Kerr Elastic Foundation with Thickness Stretching Effect</w:t>
      </w:r>
    </w:p>
    <w:p w:rsidR="009F1A05" w:rsidRDefault="0070001E">
      <w:pPr>
        <w:pStyle w:val="references"/>
        <w:numPr>
          <w:ilvl w:val="0"/>
          <w:numId w:val="11"/>
        </w:numPr>
      </w:pPr>
      <w:proofErr w:type="spellStart"/>
      <w:r>
        <w:t>Halpin</w:t>
      </w:r>
      <w:proofErr w:type="spellEnd"/>
      <w:r>
        <w:t>, J.C. and Tsai, S.W., AFML-TR-67-423, 1969.</w:t>
      </w:r>
    </w:p>
    <w:sectPr w:rsidR="009F1A05" w:rsidSect="00DD6C5E">
      <w:type w:val="continuous"/>
      <w:pgSz w:w="11906" w:h="16838" w:code="9"/>
      <w:pgMar w:top="1077" w:right="851" w:bottom="1134" w:left="851" w:header="454" w:footer="567" w:gutter="0"/>
      <w:cols w:num="2" w:space="22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3AA0" w:rsidRDefault="00553AA0" w:rsidP="007D7FF7">
      <w:pPr>
        <w:spacing w:after="0" w:line="240" w:lineRule="auto"/>
      </w:pPr>
      <w:r>
        <w:separator/>
      </w:r>
    </w:p>
  </w:endnote>
  <w:endnote w:type="continuationSeparator" w:id="0">
    <w:p w:rsidR="00553AA0" w:rsidRDefault="00553AA0" w:rsidP="007D7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1657326"/>
      <w:docPartObj>
        <w:docPartGallery w:val="Page Numbers (Bottom of Page)"/>
        <w:docPartUnique/>
      </w:docPartObj>
    </w:sdtPr>
    <w:sdtEndPr/>
    <w:sdtContent>
      <w:p w:rsidR="00572DDE" w:rsidRDefault="00572D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72DDE" w:rsidRDefault="00572D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5069315"/>
      <w:docPartObj>
        <w:docPartGallery w:val="Page Numbers (Bottom of Page)"/>
        <w:docPartUnique/>
      </w:docPartObj>
    </w:sdtPr>
    <w:sdtEndPr>
      <w:rPr>
        <w:noProof/>
      </w:rPr>
    </w:sdtEndPr>
    <w:sdtContent>
      <w:p w:rsidR="007D7FF7" w:rsidRDefault="007D7FF7">
        <w:pPr>
          <w:pStyle w:val="Footer"/>
          <w:jc w:val="center"/>
        </w:pPr>
        <w:r>
          <w:fldChar w:fldCharType="begin"/>
        </w:r>
        <w:r>
          <w:instrText xml:space="preserve"> PAGE   \* MERGEFORMAT </w:instrText>
        </w:r>
        <w:r>
          <w:fldChar w:fldCharType="separate"/>
        </w:r>
        <w:r w:rsidR="00382ECA">
          <w:rPr>
            <w:noProof/>
          </w:rPr>
          <w:t>3</w:t>
        </w:r>
        <w:r>
          <w:rPr>
            <w:noProof/>
          </w:rPr>
          <w:fldChar w:fldCharType="end"/>
        </w:r>
      </w:p>
    </w:sdtContent>
  </w:sdt>
  <w:p w:rsidR="007D7FF7" w:rsidRDefault="007D7F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3AA0" w:rsidRDefault="00553AA0" w:rsidP="007D7FF7">
      <w:pPr>
        <w:spacing w:after="0" w:line="240" w:lineRule="auto"/>
      </w:pPr>
      <w:r>
        <w:separator/>
      </w:r>
    </w:p>
  </w:footnote>
  <w:footnote w:type="continuationSeparator" w:id="0">
    <w:p w:rsidR="00553AA0" w:rsidRDefault="00553AA0" w:rsidP="007D7F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40" w:type="pct"/>
      <w:jc w:val="center"/>
      <w:tblCellMar>
        <w:left w:w="0" w:type="dxa"/>
        <w:right w:w="0" w:type="dxa"/>
      </w:tblCellMar>
      <w:tblLook w:val="04A0" w:firstRow="1" w:lastRow="0" w:firstColumn="1" w:lastColumn="0" w:noHBand="0" w:noVBand="1"/>
    </w:tblPr>
    <w:tblGrid>
      <w:gridCol w:w="908"/>
      <w:gridCol w:w="946"/>
      <w:gridCol w:w="6268"/>
      <w:gridCol w:w="2164"/>
    </w:tblGrid>
    <w:tr w:rsidR="00C2548B" w:rsidTr="00E92B33">
      <w:trPr>
        <w:trHeight w:val="987"/>
        <w:jc w:val="center"/>
      </w:trPr>
      <w:tc>
        <w:tcPr>
          <w:tcW w:w="441" w:type="pct"/>
          <w:vAlign w:val="center"/>
        </w:tcPr>
        <w:p w:rsidR="00C2548B" w:rsidRPr="000268F4" w:rsidRDefault="0049695B" w:rsidP="00C2548B">
          <w:pPr>
            <w:pStyle w:val="NormalWeb"/>
            <w:rPr>
              <w:rStyle w:val="Strong"/>
              <w:b w:val="0"/>
              <w:bCs w:val="0"/>
            </w:rPr>
          </w:pPr>
          <w:r>
            <w:rPr>
              <w:noProof/>
            </w:rPr>
            <w:drawing>
              <wp:inline distT="0" distB="0" distL="0" distR="0" wp14:anchorId="6176AD33" wp14:editId="20DF769D">
                <wp:extent cx="576000" cy="723911"/>
                <wp:effectExtent l="0" t="0" r="0" b="0"/>
                <wp:docPr id="29876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cstate="hqprint">
                          <a:extLst>
                            <a:ext uri="{28A0092B-C50C-407E-A947-70E740481C1C}">
                              <a14:useLocalDpi xmlns:a14="http://schemas.microsoft.com/office/drawing/2010/main"/>
                            </a:ext>
                          </a:extLst>
                        </a:blip>
                        <a:srcRect/>
                        <a:stretch/>
                      </pic:blipFill>
                      <pic:spPr bwMode="auto">
                        <a:xfrm>
                          <a:off x="0" y="0"/>
                          <a:ext cx="576000" cy="72391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0" w:type="pct"/>
        </w:tcPr>
        <w:p w:rsidR="00C2548B" w:rsidRPr="00C2548B" w:rsidRDefault="0049695B" w:rsidP="00C2548B">
          <w:pPr>
            <w:pStyle w:val="NormalWeb"/>
            <w:ind w:right="-108"/>
            <w:rPr>
              <w:noProof/>
              <w:sz w:val="24"/>
              <w:szCs w:val="24"/>
              <w14:ligatures w14:val="none"/>
            </w:rPr>
          </w:pPr>
          <w:r>
            <w:rPr>
              <w:noProof/>
            </w:rPr>
            <w:drawing>
              <wp:inline distT="0" distB="0" distL="0" distR="0" wp14:anchorId="079AE709" wp14:editId="5C9DF545">
                <wp:extent cx="540000" cy="711706"/>
                <wp:effectExtent l="0" t="0" r="0" b="0"/>
                <wp:docPr id="20202484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48468" name="Picture 5"/>
                        <pic:cNvPicPr>
                          <a:picLocks noChangeAspect="1" noChangeArrowheads="1"/>
                        </pic:cNvPicPr>
                      </pic:nvPicPr>
                      <pic:blipFill>
                        <a:blip r:embed="rId2" cstate="hqprint">
                          <a:extLst>
                            <a:ext uri="{28A0092B-C50C-407E-A947-70E740481C1C}">
                              <a14:useLocalDpi xmlns:a14="http://schemas.microsoft.com/office/drawing/2010/main"/>
                            </a:ext>
                          </a:extLst>
                        </a:blip>
                        <a:stretch>
                          <a:fillRect/>
                        </a:stretch>
                      </pic:blipFill>
                      <pic:spPr bwMode="auto">
                        <a:xfrm>
                          <a:off x="0" y="0"/>
                          <a:ext cx="540000" cy="711706"/>
                        </a:xfrm>
                        <a:prstGeom prst="rect">
                          <a:avLst/>
                        </a:prstGeom>
                        <a:noFill/>
                        <a:ln>
                          <a:noFill/>
                        </a:ln>
                      </pic:spPr>
                    </pic:pic>
                  </a:graphicData>
                </a:graphic>
              </wp:inline>
            </w:drawing>
          </w:r>
        </w:p>
      </w:tc>
      <w:tc>
        <w:tcPr>
          <w:tcW w:w="3047" w:type="pct"/>
          <w:vAlign w:val="center"/>
        </w:tcPr>
        <w:p w:rsidR="00E92B33" w:rsidRDefault="0049695B" w:rsidP="0049695B">
          <w:pPr>
            <w:pStyle w:val="NormalWeb"/>
            <w:ind w:right="-108"/>
            <w:jc w:val="center"/>
            <w:rPr>
              <w:rStyle w:val="Strong"/>
              <w:color w:val="4F81BD"/>
              <w:sz w:val="20"/>
              <w:szCs w:val="20"/>
            </w:rPr>
          </w:pPr>
          <w:r w:rsidRPr="003D44DB">
            <w:rPr>
              <w:rStyle w:val="Strong"/>
              <w:color w:val="4F81BD"/>
              <w:sz w:val="20"/>
              <w:szCs w:val="20"/>
            </w:rPr>
            <w:t xml:space="preserve">The </w:t>
          </w:r>
          <w:r>
            <w:rPr>
              <w:rStyle w:val="Strong"/>
              <w:color w:val="4F81BD"/>
              <w:sz w:val="20"/>
              <w:szCs w:val="20"/>
            </w:rPr>
            <w:t>10</w:t>
          </w:r>
          <w:r w:rsidRPr="003D44DB">
            <w:rPr>
              <w:rStyle w:val="Strong"/>
              <w:color w:val="4F81BD"/>
              <w:sz w:val="20"/>
              <w:szCs w:val="20"/>
              <w:vertAlign w:val="superscript"/>
            </w:rPr>
            <w:t>th</w:t>
          </w:r>
          <w:r>
            <w:rPr>
              <w:rStyle w:val="Strong"/>
              <w:color w:val="4F81BD"/>
              <w:sz w:val="20"/>
              <w:szCs w:val="20"/>
            </w:rPr>
            <w:t xml:space="preserve"> </w:t>
          </w:r>
          <w:r w:rsidRPr="003D44DB">
            <w:rPr>
              <w:rStyle w:val="Strong"/>
              <w:color w:val="4F81BD"/>
              <w:sz w:val="20"/>
              <w:szCs w:val="20"/>
            </w:rPr>
            <w:t>International Conference on Composites</w:t>
          </w:r>
          <w:r w:rsidRPr="003D44DB">
            <w:rPr>
              <w:rStyle w:val="Strong"/>
              <w:color w:val="4F81BD"/>
              <w:sz w:val="20"/>
              <w:szCs w:val="20"/>
              <w:rtl/>
            </w:rPr>
            <w:t>:</w:t>
          </w:r>
          <w:r>
            <w:rPr>
              <w:rStyle w:val="Strong"/>
              <w:color w:val="4F81BD"/>
              <w:sz w:val="20"/>
              <w:szCs w:val="20"/>
            </w:rPr>
            <w:t xml:space="preserve"> </w:t>
          </w:r>
          <w:r w:rsidRPr="003D44DB">
            <w:rPr>
              <w:rStyle w:val="Strong"/>
              <w:color w:val="4F81BD"/>
              <w:sz w:val="20"/>
              <w:szCs w:val="20"/>
            </w:rPr>
            <w:t xml:space="preserve">Characterization, </w:t>
          </w:r>
        </w:p>
        <w:p w:rsidR="0049695B" w:rsidRPr="000268F4" w:rsidRDefault="0049695B" w:rsidP="0049695B">
          <w:pPr>
            <w:pStyle w:val="NormalWeb"/>
            <w:ind w:right="-108"/>
            <w:jc w:val="center"/>
            <w:rPr>
              <w:rStyle w:val="Strong"/>
              <w:color w:val="4F81BD"/>
              <w:sz w:val="20"/>
              <w:szCs w:val="20"/>
            </w:rPr>
          </w:pPr>
          <w:r w:rsidRPr="003D44DB">
            <w:rPr>
              <w:rStyle w:val="Strong"/>
              <w:color w:val="4F81BD"/>
              <w:sz w:val="20"/>
              <w:szCs w:val="20"/>
            </w:rPr>
            <w:t>Fa</w:t>
          </w:r>
          <w:r w:rsidR="00E92B33">
            <w:rPr>
              <w:rStyle w:val="Strong"/>
              <w:color w:val="4F81BD"/>
              <w:sz w:val="20"/>
              <w:szCs w:val="20"/>
            </w:rPr>
            <w:t>b</w:t>
          </w:r>
          <w:r w:rsidRPr="003D44DB">
            <w:rPr>
              <w:rStyle w:val="Strong"/>
              <w:color w:val="4F81BD"/>
              <w:sz w:val="20"/>
              <w:szCs w:val="20"/>
            </w:rPr>
            <w:t>rication, and Application (CCFA-</w:t>
          </w:r>
          <w:r>
            <w:rPr>
              <w:rStyle w:val="Strong"/>
              <w:color w:val="4F81BD"/>
              <w:sz w:val="20"/>
              <w:szCs w:val="20"/>
            </w:rPr>
            <w:t>10</w:t>
          </w:r>
          <w:r w:rsidRPr="003D44DB">
            <w:rPr>
              <w:rStyle w:val="Strong"/>
              <w:color w:val="4F81BD"/>
              <w:sz w:val="20"/>
              <w:szCs w:val="20"/>
            </w:rPr>
            <w:t>)</w:t>
          </w:r>
        </w:p>
        <w:p w:rsidR="0049695B" w:rsidRPr="000268F4" w:rsidRDefault="0049695B" w:rsidP="0049695B">
          <w:pPr>
            <w:pStyle w:val="NormalWeb"/>
            <w:ind w:right="-108"/>
            <w:jc w:val="center"/>
            <w:rPr>
              <w:rStyle w:val="Strong"/>
              <w:color w:val="FF0000"/>
            </w:rPr>
          </w:pPr>
          <w:r>
            <w:rPr>
              <w:rStyle w:val="Strong"/>
              <w:color w:val="FF0000"/>
              <w:sz w:val="20"/>
              <w:szCs w:val="20"/>
            </w:rPr>
            <w:t>30</w:t>
          </w:r>
          <w:r w:rsidRPr="000268F4">
            <w:rPr>
              <w:rStyle w:val="Strong"/>
              <w:color w:val="FF0000"/>
              <w:sz w:val="20"/>
              <w:szCs w:val="20"/>
            </w:rPr>
            <w:t>-</w:t>
          </w:r>
          <w:r>
            <w:rPr>
              <w:rStyle w:val="Strong"/>
              <w:color w:val="FF0000"/>
              <w:sz w:val="20"/>
              <w:szCs w:val="20"/>
            </w:rPr>
            <w:t>31</w:t>
          </w:r>
          <w:r w:rsidRPr="000268F4">
            <w:rPr>
              <w:rStyle w:val="Strong"/>
              <w:color w:val="FF0000"/>
              <w:sz w:val="20"/>
              <w:szCs w:val="20"/>
            </w:rPr>
            <w:t xml:space="preserve"> </w:t>
          </w:r>
          <w:r>
            <w:rPr>
              <w:rStyle w:val="Strong"/>
              <w:color w:val="FF0000"/>
              <w:sz w:val="20"/>
              <w:szCs w:val="20"/>
            </w:rPr>
            <w:t>Dec</w:t>
          </w:r>
          <w:r w:rsidRPr="000268F4">
            <w:rPr>
              <w:rStyle w:val="Strong"/>
              <w:color w:val="FF0000"/>
              <w:sz w:val="20"/>
              <w:szCs w:val="20"/>
            </w:rPr>
            <w:t>., 20</w:t>
          </w:r>
          <w:r>
            <w:rPr>
              <w:rStyle w:val="Strong"/>
              <w:color w:val="FF0000"/>
              <w:sz w:val="20"/>
              <w:szCs w:val="20"/>
            </w:rPr>
            <w:t>26</w:t>
          </w:r>
          <w:r w:rsidRPr="000268F4">
            <w:rPr>
              <w:rStyle w:val="Strong"/>
              <w:color w:val="FF0000"/>
              <w:sz w:val="20"/>
              <w:szCs w:val="20"/>
            </w:rPr>
            <w:t xml:space="preserve">, </w:t>
          </w:r>
          <w:r>
            <w:rPr>
              <w:rStyle w:val="Strong"/>
              <w:color w:val="FF0000"/>
              <w:sz w:val="20"/>
              <w:szCs w:val="20"/>
            </w:rPr>
            <w:t>Kashan</w:t>
          </w:r>
          <w:r w:rsidRPr="000268F4">
            <w:rPr>
              <w:rStyle w:val="Strong"/>
              <w:color w:val="FF0000"/>
              <w:sz w:val="20"/>
              <w:szCs w:val="20"/>
            </w:rPr>
            <w:t>, Iran</w:t>
          </w:r>
        </w:p>
        <w:p w:rsidR="0049695B" w:rsidRPr="00AE1FB0" w:rsidRDefault="0049695B" w:rsidP="0049695B">
          <w:pPr>
            <w:pStyle w:val="NormalWeb"/>
            <w:spacing w:before="120"/>
            <w:ind w:right="-108"/>
            <w:jc w:val="center"/>
            <w:rPr>
              <w:rStyle w:val="Strong"/>
            </w:rPr>
          </w:pPr>
          <w:r w:rsidRPr="00AE1FB0">
            <w:rPr>
              <w:rStyle w:val="Strong"/>
            </w:rPr>
            <w:t>Iran University of Science and Technology, Iran</w:t>
          </w:r>
        </w:p>
        <w:p w:rsidR="00C2548B" w:rsidRDefault="0049695B" w:rsidP="0049695B">
          <w:pPr>
            <w:pStyle w:val="NormalWeb"/>
            <w:ind w:right="-108"/>
            <w:jc w:val="center"/>
            <w:rPr>
              <w:rStyle w:val="Strong"/>
            </w:rPr>
          </w:pPr>
          <w:r w:rsidRPr="00AE1FB0">
            <w:rPr>
              <w:rStyle w:val="Strong"/>
            </w:rPr>
            <w:t xml:space="preserve">University of </w:t>
          </w:r>
          <w:r>
            <w:rPr>
              <w:rStyle w:val="Strong"/>
            </w:rPr>
            <w:t>Kashan</w:t>
          </w:r>
          <w:r w:rsidRPr="00AE1FB0">
            <w:rPr>
              <w:rStyle w:val="Strong"/>
            </w:rPr>
            <w:t>, Iran</w:t>
          </w:r>
        </w:p>
      </w:tc>
      <w:tc>
        <w:tcPr>
          <w:tcW w:w="1052" w:type="pct"/>
          <w:vAlign w:val="center"/>
        </w:tcPr>
        <w:p w:rsidR="00C2548B" w:rsidRDefault="00C2548B" w:rsidP="00531772">
          <w:pPr>
            <w:pStyle w:val="NormalWeb"/>
            <w:jc w:val="center"/>
            <w:rPr>
              <w:rStyle w:val="Strong"/>
            </w:rPr>
          </w:pPr>
          <w:r>
            <w:rPr>
              <w:noProof/>
            </w:rPr>
            <w:drawing>
              <wp:inline distT="0" distB="0" distL="0" distR="0" wp14:anchorId="7A4A84D5" wp14:editId="4FAD1118">
                <wp:extent cx="1169359" cy="266760"/>
                <wp:effectExtent l="0" t="0" r="0" b="0"/>
                <wp:docPr id="15809063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06317" name="Picture 17"/>
                        <pic:cNvPicPr>
                          <a:picLocks noChangeAspect="1" noChangeArrowheads="1"/>
                        </pic:cNvPicPr>
                      </pic:nvPicPr>
                      <pic:blipFill rotWithShape="1">
                        <a:blip r:embed="rId3"/>
                        <a:srcRect l="1134" r="235"/>
                        <a:stretch>
                          <a:fillRect/>
                        </a:stretch>
                      </pic:blipFill>
                      <pic:spPr bwMode="auto">
                        <a:xfrm>
                          <a:off x="0" y="0"/>
                          <a:ext cx="1169359" cy="266760"/>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5F05E1" w:rsidRPr="00531772" w:rsidRDefault="005F05E1" w:rsidP="00531772">
    <w:pPr>
      <w:pStyle w:val="Header"/>
      <w:pBdr>
        <w:bottom w:val="thinThickThinSmallGap" w:sz="12" w:space="1" w:color="auto"/>
      </w:pBdr>
      <w:rPr>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4"/>
    <w:multiLevelType w:val="multilevel"/>
    <w:tmpl w:val="828CD306"/>
    <w:lvl w:ilvl="0">
      <w:start w:val="1"/>
      <w:numFmt w:val="upperLetter"/>
      <w:lvlText w:val="%1."/>
      <w:lvlJc w:val="left"/>
      <w:pPr>
        <w:tabs>
          <w:tab w:val="num" w:pos="6030"/>
        </w:tabs>
      </w:pPr>
    </w:lvl>
    <w:lvl w:ilvl="1">
      <w:start w:val="1"/>
      <w:numFmt w:val="decimal"/>
      <w:lvlText w:val="%2."/>
      <w:lvlJc w:val="left"/>
      <w:pPr>
        <w:tabs>
          <w:tab w:val="num" w:pos="6750"/>
        </w:tabs>
      </w:pPr>
    </w:lvl>
    <w:lvl w:ilvl="2">
      <w:start w:val="1"/>
      <w:numFmt w:val="decimal"/>
      <w:lvlText w:val="%3."/>
      <w:lvlJc w:val="left"/>
      <w:pPr>
        <w:tabs>
          <w:tab w:val="num" w:pos="7110"/>
        </w:tabs>
      </w:pPr>
    </w:lvl>
    <w:lvl w:ilvl="3">
      <w:start w:val="1"/>
      <w:numFmt w:val="decimal"/>
      <w:lvlText w:val="%4."/>
      <w:lvlJc w:val="left"/>
      <w:pPr>
        <w:tabs>
          <w:tab w:val="num" w:pos="7470"/>
        </w:tabs>
      </w:pPr>
    </w:lvl>
    <w:lvl w:ilvl="4">
      <w:start w:val="1"/>
      <w:numFmt w:val="decimal"/>
      <w:lvlText w:val="%5."/>
      <w:lvlJc w:val="left"/>
      <w:pPr>
        <w:tabs>
          <w:tab w:val="num" w:pos="7830"/>
        </w:tabs>
      </w:pPr>
    </w:lvl>
    <w:lvl w:ilvl="5">
      <w:start w:val="1"/>
      <w:numFmt w:val="decimal"/>
      <w:lvlText w:val="%6."/>
      <w:lvlJc w:val="left"/>
      <w:pPr>
        <w:tabs>
          <w:tab w:val="num" w:pos="8190"/>
        </w:tabs>
      </w:pPr>
    </w:lvl>
    <w:lvl w:ilvl="6">
      <w:start w:val="1"/>
      <w:numFmt w:val="decimal"/>
      <w:lvlText w:val="%7."/>
      <w:lvlJc w:val="left"/>
      <w:pPr>
        <w:tabs>
          <w:tab w:val="num" w:pos="8550"/>
        </w:tabs>
      </w:pPr>
    </w:lvl>
    <w:lvl w:ilvl="7">
      <w:start w:val="1"/>
      <w:numFmt w:val="decimal"/>
      <w:lvlText w:val="%8."/>
      <w:lvlJc w:val="left"/>
      <w:pPr>
        <w:tabs>
          <w:tab w:val="num" w:pos="8910"/>
        </w:tabs>
      </w:pPr>
    </w:lvl>
    <w:lvl w:ilvl="8">
      <w:start w:val="1"/>
      <w:numFmt w:val="decimal"/>
      <w:lvlText w:val="%9."/>
      <w:lvlJc w:val="left"/>
      <w:pPr>
        <w:tabs>
          <w:tab w:val="num" w:pos="9270"/>
        </w:tabs>
      </w:pPr>
    </w:lvl>
  </w:abstractNum>
  <w:abstractNum w:abstractNumId="1" w15:restartNumberingAfterBreak="0">
    <w:nsid w:val="095107FC"/>
    <w:multiLevelType w:val="multilevel"/>
    <w:tmpl w:val="0C3E0DCA"/>
    <w:lvl w:ilvl="0">
      <w:start w:val="1"/>
      <w:numFmt w:val="none"/>
      <w:lvlText w:val="%1"/>
      <w:lvlJc w:val="center"/>
      <w:pPr>
        <w:ind w:left="0" w:firstLine="0"/>
      </w:pPr>
      <w:rPr>
        <w:rFonts w:asciiTheme="majorBidi" w:hAnsiTheme="majorBidi" w:hint="default"/>
      </w:rPr>
    </w:lvl>
    <w:lvl w:ilvl="1">
      <w:start w:val="1"/>
      <w:numFmt w:val="none"/>
      <w:pStyle w:val="Authors"/>
      <w:suff w:val="nothing"/>
      <w:lvlText w:val="%2"/>
      <w:lvlJc w:val="center"/>
      <w:pPr>
        <w:ind w:left="0" w:firstLine="288"/>
      </w:pPr>
      <w:rPr>
        <w:rFonts w:hint="default"/>
      </w:rPr>
    </w:lvl>
    <w:lvl w:ilvl="2">
      <w:start w:val="1"/>
      <w:numFmt w:val="none"/>
      <w:lvlRestart w:val="0"/>
      <w:pStyle w:val="AuthorsAffiliation"/>
      <w:suff w:val="nothing"/>
      <w:lvlText w:val="%3"/>
      <w:lvlJc w:val="center"/>
      <w:pPr>
        <w:ind w:left="0" w:firstLine="0"/>
      </w:pPr>
      <w:rPr>
        <w:rFonts w:hint="default"/>
      </w:rPr>
    </w:lvl>
    <w:lvl w:ilvl="3">
      <w:start w:val="1"/>
      <w:numFmt w:val="none"/>
      <w:lvlRestart w:val="0"/>
      <w:pStyle w:val="CorrespondingAuthor"/>
      <w:suff w:val="nothing"/>
      <w:lvlText w:val=""/>
      <w:lvlJc w:val="center"/>
      <w:pPr>
        <w:ind w:left="0" w:firstLine="0"/>
      </w:pPr>
      <w:rPr>
        <w:rFonts w:hint="default"/>
      </w:rPr>
    </w:lvl>
    <w:lvl w:ilvl="4">
      <w:start w:val="1"/>
      <w:numFmt w:val="none"/>
      <w:pStyle w:val="Headers"/>
      <w:lvlText w:val="Abstract"/>
      <w:lvlJc w:val="left"/>
      <w:pPr>
        <w:ind w:left="357" w:firstLine="0"/>
      </w:pPr>
      <w:rPr>
        <w:rFonts w:hint="default"/>
      </w:rPr>
    </w:lvl>
    <w:lvl w:ilvl="5">
      <w:start w:val="1"/>
      <w:numFmt w:val="none"/>
      <w:lvlRestart w:val="0"/>
      <w:pStyle w:val="Text"/>
      <w:suff w:val="nothing"/>
      <w:lvlText w:val=""/>
      <w:lvlJc w:val="left"/>
      <w:pPr>
        <w:ind w:left="0" w:firstLine="567"/>
      </w:pPr>
      <w:rPr>
        <w:rFonts w:hint="default"/>
      </w:rPr>
    </w:lvl>
    <w:lvl w:ilvl="6">
      <w:start w:val="1"/>
      <w:numFmt w:val="none"/>
      <w:lvlRestart w:val="0"/>
      <w:pStyle w:val="Keywords"/>
      <w:suff w:val="space"/>
      <w:lvlText w:val="Keywords:"/>
      <w:lvlJc w:val="left"/>
      <w:pPr>
        <w:ind w:left="-177" w:firstLine="357"/>
      </w:pPr>
      <w:rPr>
        <w:rFonts w:ascii="Times New Roman" w:hAnsi="Times New Roman" w:cs="Times New Roman" w:hint="default"/>
        <w:b/>
        <w:i w:val="0"/>
        <w:sz w:val="24"/>
      </w:rPr>
    </w:lvl>
    <w:lvl w:ilvl="7">
      <w:start w:val="1"/>
      <w:numFmt w:val="upperLetter"/>
      <w:lvlText w:val="%8."/>
      <w:lvlJc w:val="left"/>
      <w:pPr>
        <w:ind w:left="2880" w:hanging="360"/>
      </w:pPr>
      <w:rPr>
        <w:rFonts w:ascii="Times New Roman Bold" w:hAnsi="Times New Roman Bold" w:cs="Times New Roman" w:hint="default"/>
        <w:b/>
        <w:bCs w:val="0"/>
        <w:iCs w:val="0"/>
        <w:sz w:val="24"/>
        <w:szCs w:val="18"/>
      </w:rPr>
    </w:lvl>
    <w:lvl w:ilvl="8">
      <w:start w:val="1"/>
      <w:numFmt w:val="none"/>
      <w:pStyle w:val="AtricleCode"/>
      <w:suff w:val="nothing"/>
      <w:lvlText w:val="A-10-"/>
      <w:lvlJc w:val="left"/>
      <w:pPr>
        <w:ind w:left="0" w:firstLine="0"/>
      </w:pPr>
    </w:lvl>
  </w:abstractNum>
  <w:abstractNum w:abstractNumId="2" w15:restartNumberingAfterBreak="0">
    <w:nsid w:val="18BD4577"/>
    <w:multiLevelType w:val="multilevel"/>
    <w:tmpl w:val="2458CD88"/>
    <w:lvl w:ilvl="0">
      <w:start w:val="1"/>
      <w:numFmt w:val="upperLetter"/>
      <w:pStyle w:val="Header1"/>
      <w:suff w:val="space"/>
      <w:lvlText w:val="%1."/>
      <w:lvlJc w:val="center"/>
      <w:pPr>
        <w:ind w:left="2978" w:firstLine="0"/>
      </w:pPr>
      <w:rPr>
        <w:rFonts w:ascii="Times New Roman" w:hAnsi="Times New Roman" w:cs="Times New Roman" w:hint="default"/>
        <w:b/>
        <w:i w:val="0"/>
        <w:sz w:val="24"/>
        <w:szCs w:val="22"/>
        <w:lang w:val="en-CA"/>
      </w:rPr>
    </w:lvl>
    <w:lvl w:ilvl="1">
      <w:start w:val="1"/>
      <w:numFmt w:val="decimal"/>
      <w:pStyle w:val="Header2"/>
      <w:suff w:val="space"/>
      <w:lvlText w:val="%2."/>
      <w:lvlJc w:val="left"/>
      <w:pPr>
        <w:ind w:left="-426" w:firstLine="0"/>
      </w:pPr>
      <w:rPr>
        <w:rFonts w:ascii="Times New Roman" w:hAnsi="Times New Roman" w:cs="Times New Roman" w:hint="default"/>
        <w:b/>
        <w:bCs/>
        <w:i w:val="0"/>
        <w:iCs w:val="0"/>
        <w:sz w:val="18"/>
        <w:szCs w:val="18"/>
      </w:rPr>
    </w:lvl>
    <w:lvl w:ilvl="2">
      <w:start w:val="1"/>
      <w:numFmt w:val="decimal"/>
      <w:lvlRestart w:val="0"/>
      <w:pStyle w:val="FigureTitle"/>
      <w:suff w:val="space"/>
      <w:lvlText w:val="Fig. %3."/>
      <w:lvlJc w:val="center"/>
      <w:pPr>
        <w:ind w:left="992" w:hanging="738"/>
      </w:pPr>
      <w:rPr>
        <w:rFonts w:ascii="Times New Roman" w:hAnsi="Times New Roman" w:cs="Times New Roman" w:hint="default"/>
        <w:b/>
        <w:bCs/>
        <w:i w:val="0"/>
        <w:iCs w:val="0"/>
        <w:caps w:val="0"/>
        <w:strike w:val="0"/>
        <w:dstrike w:val="0"/>
        <w:vanish w:val="0"/>
        <w:color w:val="auto"/>
        <w:sz w:val="16"/>
        <w:szCs w:val="20"/>
        <w:vertAlign w:val="baseline"/>
      </w:rPr>
    </w:lvl>
    <w:lvl w:ilvl="3">
      <w:start w:val="1"/>
      <w:numFmt w:val="decimal"/>
      <w:lvlRestart w:val="0"/>
      <w:pStyle w:val="TableHeading"/>
      <w:suff w:val="space"/>
      <w:lvlText w:val="Table %4."/>
      <w:lvlJc w:val="center"/>
      <w:pPr>
        <w:ind w:left="992" w:hanging="738"/>
      </w:pPr>
      <w:rPr>
        <w:rFonts w:ascii="Times New Roman" w:hAnsi="Times New Roman" w:cs="Times New Roman" w:hint="default"/>
        <w:b/>
        <w:bCs/>
        <w:i w:val="0"/>
        <w:iCs w:val="0"/>
        <w:caps w:val="0"/>
        <w:strike w:val="0"/>
        <w:dstrike w:val="0"/>
        <w:vanish w:val="0"/>
        <w:sz w:val="16"/>
        <w:szCs w:val="20"/>
        <w:vertAlign w:val="baseline"/>
      </w:rPr>
    </w:lvl>
    <w:lvl w:ilvl="4">
      <w:start w:val="1"/>
      <w:numFmt w:val="decimal"/>
      <w:lvlText w:val="(%5)"/>
      <w:lvlJc w:val="left"/>
      <w:pPr>
        <w:ind w:left="1371" w:hanging="357"/>
      </w:pPr>
      <w:rPr>
        <w:rFonts w:ascii="Times New Roman" w:hAnsi="Times New Roman" w:cs="Times New Roman" w:hint="default"/>
        <w:b w:val="0"/>
        <w:bCs w:val="0"/>
        <w:i w:val="0"/>
        <w:iCs w:val="0"/>
        <w:sz w:val="16"/>
      </w:rPr>
    </w:lvl>
    <w:lvl w:ilvl="5">
      <w:start w:val="1"/>
      <w:numFmt w:val="decimal"/>
      <w:suff w:val="space"/>
      <w:lvlText w:val="%2.%6."/>
      <w:lvlJc w:val="left"/>
      <w:pPr>
        <w:ind w:left="425" w:hanging="284"/>
      </w:pPr>
      <w:rPr>
        <w:rFonts w:ascii="Times New Roman" w:hAnsi="Times New Roman" w:cs="Times New Roman" w:hint="default"/>
        <w:b/>
        <w:bCs/>
        <w:i w:val="0"/>
        <w:iCs w:val="0"/>
        <w:sz w:val="20"/>
        <w:szCs w:val="20"/>
      </w:rPr>
    </w:lvl>
    <w:lvl w:ilvl="6">
      <w:start w:val="1"/>
      <w:numFmt w:val="decimal"/>
      <w:lvlText w:val="%7."/>
      <w:lvlJc w:val="left"/>
      <w:pPr>
        <w:ind w:left="2094" w:hanging="360"/>
      </w:pPr>
      <w:rPr>
        <w:rFonts w:hint="default"/>
      </w:rPr>
    </w:lvl>
    <w:lvl w:ilvl="7">
      <w:start w:val="1"/>
      <w:numFmt w:val="lowerLetter"/>
      <w:lvlText w:val="%8."/>
      <w:lvlJc w:val="left"/>
      <w:pPr>
        <w:ind w:left="2454" w:hanging="360"/>
      </w:pPr>
      <w:rPr>
        <w:rFonts w:hint="default"/>
      </w:rPr>
    </w:lvl>
    <w:lvl w:ilvl="8">
      <w:start w:val="1"/>
      <w:numFmt w:val="lowerRoman"/>
      <w:lvlText w:val="%9."/>
      <w:lvlJc w:val="left"/>
      <w:pPr>
        <w:ind w:left="2814" w:hanging="360"/>
      </w:pPr>
      <w:rPr>
        <w:rFonts w:hint="default"/>
      </w:rPr>
    </w:lvl>
  </w:abstractNum>
  <w:abstractNum w:abstractNumId="3" w15:restartNumberingAfterBreak="0">
    <w:nsid w:val="1D423630"/>
    <w:multiLevelType w:val="hybridMultilevel"/>
    <w:tmpl w:val="24402D84"/>
    <w:lvl w:ilvl="0" w:tplc="204C883E">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15:restartNumberingAfterBreak="0">
    <w:nsid w:val="28E8090E"/>
    <w:multiLevelType w:val="multilevel"/>
    <w:tmpl w:val="BB8C79CE"/>
    <w:styleLink w:val="Style1"/>
    <w:lvl w:ilvl="0">
      <w:start w:val="1"/>
      <w:numFmt w:val="upperLetter"/>
      <w:lvlText w:val="%1."/>
      <w:lvlJc w:val="left"/>
      <w:pPr>
        <w:ind w:left="0" w:firstLine="0"/>
      </w:pPr>
      <w:rPr>
        <w:rFonts w:cs="Times New Roman" w:hint="default"/>
        <w:bCs/>
        <w:iCs w:val="0"/>
        <w:szCs w:val="18"/>
      </w:rPr>
    </w:lvl>
    <w:lvl w:ilvl="1">
      <w:start w:val="1"/>
      <w:numFmt w:val="none"/>
      <w:suff w:val="nothing"/>
      <w:lvlText w:val="%2"/>
      <w:lvlJc w:val="center"/>
      <w:pPr>
        <w:ind w:left="0" w:firstLine="288"/>
      </w:pPr>
      <w:rPr>
        <w:rFonts w:hint="default"/>
      </w:rPr>
    </w:lvl>
    <w:lvl w:ilvl="2">
      <w:start w:val="1"/>
      <w:numFmt w:val="none"/>
      <w:lvlRestart w:val="0"/>
      <w:suff w:val="nothing"/>
      <w:lvlText w:val="%3"/>
      <w:lvlJc w:val="center"/>
      <w:pPr>
        <w:ind w:left="0" w:firstLine="0"/>
      </w:pPr>
      <w:rPr>
        <w:rFonts w:hint="default"/>
      </w:rPr>
    </w:lvl>
    <w:lvl w:ilvl="3">
      <w:start w:val="1"/>
      <w:numFmt w:val="none"/>
      <w:lvlRestart w:val="0"/>
      <w:suff w:val="nothing"/>
      <w:lvlText w:val=""/>
      <w:lvlJc w:val="center"/>
      <w:pPr>
        <w:ind w:left="0" w:firstLine="0"/>
      </w:pPr>
      <w:rPr>
        <w:rFonts w:hint="default"/>
      </w:rPr>
    </w:lvl>
    <w:lvl w:ilvl="4">
      <w:start w:val="1"/>
      <w:numFmt w:val="none"/>
      <w:lvlText w:val="Abstract"/>
      <w:lvlJc w:val="left"/>
      <w:pPr>
        <w:ind w:left="357" w:firstLine="0"/>
      </w:pPr>
      <w:rPr>
        <w:rFonts w:hint="default"/>
      </w:rPr>
    </w:lvl>
    <w:lvl w:ilvl="5">
      <w:start w:val="1"/>
      <w:numFmt w:val="none"/>
      <w:lvlRestart w:val="0"/>
      <w:suff w:val="nothing"/>
      <w:lvlText w:val=""/>
      <w:lvlJc w:val="left"/>
      <w:pPr>
        <w:ind w:left="0" w:firstLine="567"/>
      </w:pPr>
      <w:rPr>
        <w:rFonts w:hint="default"/>
      </w:rPr>
    </w:lvl>
    <w:lvl w:ilvl="6">
      <w:start w:val="1"/>
      <w:numFmt w:val="none"/>
      <w:lvlRestart w:val="0"/>
      <w:suff w:val="space"/>
      <w:lvlText w:val="Keywords:"/>
      <w:lvlJc w:val="left"/>
      <w:pPr>
        <w:ind w:left="-177" w:firstLine="357"/>
      </w:pPr>
      <w:rPr>
        <w:rFonts w:ascii="Times New Roman" w:hAnsi="Times New Roman" w:cs="Times New Roman" w:hint="default"/>
        <w:b/>
        <w:i w:val="0"/>
        <w:sz w:val="24"/>
      </w:rPr>
    </w:lvl>
    <w:lvl w:ilvl="7">
      <w:start w:val="1"/>
      <w:numFmt w:val="upperLetter"/>
      <w:lvlText w:val="%8."/>
      <w:lvlJc w:val="left"/>
      <w:pPr>
        <w:ind w:left="2880" w:hanging="360"/>
      </w:pPr>
      <w:rPr>
        <w:rFonts w:ascii="Times New Roman Bold" w:hAnsi="Times New Roman Bold" w:cs="Times New Roman" w:hint="default"/>
        <w:b/>
        <w:bCs w:val="0"/>
        <w:iCs w:val="0"/>
        <w:sz w:val="24"/>
        <w:szCs w:val="18"/>
      </w:rPr>
    </w:lvl>
    <w:lvl w:ilvl="8">
      <w:start w:val="1"/>
      <w:numFmt w:val="none"/>
      <w:suff w:val="nothing"/>
      <w:lvlText w:val="A-10-"/>
      <w:lvlJc w:val="left"/>
      <w:pPr>
        <w:ind w:left="3403" w:firstLine="0"/>
      </w:pPr>
      <w:rPr>
        <w:rFonts w:hint="default"/>
        <w:color w:val="FFFFFF"/>
      </w:rPr>
    </w:lvl>
  </w:abstractNum>
  <w:abstractNum w:abstractNumId="5" w15:restartNumberingAfterBreak="0">
    <w:nsid w:val="327D1D68"/>
    <w:multiLevelType w:val="multilevel"/>
    <w:tmpl w:val="BB8C79CE"/>
    <w:numStyleLink w:val="Style1"/>
  </w:abstractNum>
  <w:abstractNum w:abstractNumId="6" w15:restartNumberingAfterBreak="0">
    <w:nsid w:val="3E7838E7"/>
    <w:multiLevelType w:val="hybridMultilevel"/>
    <w:tmpl w:val="13CE39E0"/>
    <w:lvl w:ilvl="0" w:tplc="C1187254">
      <w:start w:val="1"/>
      <w:numFmt w:val="upperLetter"/>
      <w:pStyle w:val="header10"/>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9F75CC2"/>
    <w:multiLevelType w:val="hybridMultilevel"/>
    <w:tmpl w:val="3B70BDF4"/>
    <w:lvl w:ilvl="0" w:tplc="204C883E">
      <w:start w:val="1"/>
      <w:numFmt w:val="decimal"/>
      <w:lvlText w:val="[%1]."/>
      <w:lvlJc w:val="left"/>
      <w:pPr>
        <w:ind w:left="360" w:hanging="360"/>
      </w:pPr>
    </w:lvl>
    <w:lvl w:ilvl="1" w:tplc="B3903CC0">
      <w:start w:val="1"/>
      <w:numFmt w:val="upp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7"/>
  </w:num>
  <w:num w:numId="4">
    <w:abstractNumId w:val="2"/>
  </w:num>
  <w:num w:numId="5">
    <w:abstractNumId w:val="2"/>
    <w:lvlOverride w:ilvl="0">
      <w:lvl w:ilvl="0">
        <w:start w:val="1"/>
        <w:numFmt w:val="upperLetter"/>
        <w:pStyle w:val="Header1"/>
        <w:suff w:val="space"/>
        <w:lvlText w:val="%1."/>
        <w:lvlJc w:val="center"/>
        <w:pPr>
          <w:ind w:left="0" w:firstLine="0"/>
        </w:pPr>
        <w:rPr>
          <w:rFonts w:ascii="Times New Roman" w:hAnsi="Times New Roman" w:cs="Times New Roman" w:hint="default"/>
          <w:b/>
          <w:i w:val="0"/>
          <w:sz w:val="24"/>
          <w:szCs w:val="22"/>
        </w:rPr>
      </w:lvl>
    </w:lvlOverride>
    <w:lvlOverride w:ilvl="1">
      <w:lvl w:ilvl="1">
        <w:start w:val="1"/>
        <w:numFmt w:val="decimal"/>
        <w:pStyle w:val="Header2"/>
        <w:suff w:val="space"/>
        <w:lvlText w:val="%2."/>
        <w:lvlJc w:val="left"/>
        <w:pPr>
          <w:ind w:left="0" w:firstLine="0"/>
        </w:pPr>
        <w:rPr>
          <w:rFonts w:ascii="Times New Roman" w:hAnsi="Times New Roman" w:cs="Times New Roman" w:hint="default"/>
          <w:b/>
          <w:bCs/>
          <w:i w:val="0"/>
          <w:iCs w:val="0"/>
          <w:sz w:val="22"/>
          <w:szCs w:val="18"/>
        </w:rPr>
      </w:lvl>
    </w:lvlOverride>
    <w:lvlOverride w:ilvl="2">
      <w:lvl w:ilvl="2">
        <w:start w:val="1"/>
        <w:numFmt w:val="decimal"/>
        <w:pStyle w:val="FigureTitle"/>
        <w:suff w:val="space"/>
        <w:lvlText w:val="Fig. %3."/>
        <w:lvlJc w:val="center"/>
        <w:pPr>
          <w:ind w:left="1418" w:hanging="738"/>
        </w:pPr>
        <w:rPr>
          <w:rFonts w:ascii="Times New Roman" w:hAnsi="Times New Roman" w:cs="Times New Roman" w:hint="default"/>
          <w:b/>
          <w:bCs/>
          <w:i w:val="0"/>
          <w:iCs w:val="0"/>
          <w:caps w:val="0"/>
          <w:strike w:val="0"/>
          <w:dstrike w:val="0"/>
          <w:vanish w:val="0"/>
          <w:color w:val="auto"/>
          <w:sz w:val="16"/>
          <w:szCs w:val="20"/>
          <w:vertAlign w:val="baseline"/>
        </w:rPr>
      </w:lvl>
    </w:lvlOverride>
    <w:lvlOverride w:ilvl="3">
      <w:lvl w:ilvl="3">
        <w:start w:val="1"/>
        <w:numFmt w:val="decimal"/>
        <w:pStyle w:val="TableHeading"/>
        <w:suff w:val="space"/>
        <w:lvlText w:val="Table %4."/>
        <w:lvlJc w:val="center"/>
        <w:pPr>
          <w:ind w:left="1418" w:hanging="738"/>
        </w:pPr>
        <w:rPr>
          <w:rFonts w:ascii="Times New Roman" w:hAnsi="Times New Roman" w:cs="Times New Roman" w:hint="default"/>
          <w:b/>
          <w:bCs/>
          <w:i w:val="0"/>
          <w:iCs w:val="0"/>
          <w:caps w:val="0"/>
          <w:strike w:val="0"/>
          <w:dstrike w:val="0"/>
          <w:vanish w:val="0"/>
          <w:sz w:val="16"/>
          <w:szCs w:val="20"/>
          <w:vertAlign w:val="baseline"/>
        </w:rPr>
      </w:lvl>
    </w:lvlOverride>
    <w:lvlOverride w:ilvl="4">
      <w:lvl w:ilvl="4">
        <w:start w:val="1"/>
        <w:numFmt w:val="decimal"/>
        <w:lvlText w:val="(%5)"/>
        <w:lvlJc w:val="left"/>
        <w:pPr>
          <w:ind w:left="1797" w:hanging="357"/>
        </w:pPr>
        <w:rPr>
          <w:rFonts w:ascii="Times New Roman" w:hAnsi="Times New Roman" w:cs="Times New Roman" w:hint="default"/>
          <w:b w:val="0"/>
          <w:bCs w:val="0"/>
          <w:i w:val="0"/>
          <w:iCs w:val="0"/>
          <w:sz w:val="16"/>
        </w:rPr>
      </w:lvl>
    </w:lvlOverride>
    <w:lvlOverride w:ilvl="5">
      <w:lvl w:ilvl="5">
        <w:start w:val="1"/>
        <w:numFmt w:val="decimal"/>
        <w:suff w:val="space"/>
        <w:lvlText w:val="%2.%6."/>
        <w:lvlJc w:val="left"/>
        <w:pPr>
          <w:ind w:left="851" w:hanging="284"/>
        </w:pPr>
        <w:rPr>
          <w:rFonts w:ascii="Times New Roman" w:hAnsi="Times New Roman" w:cs="Times New Roman" w:hint="default"/>
          <w:b/>
          <w:bCs/>
          <w:i w:val="0"/>
          <w:iCs w:val="0"/>
          <w:sz w:val="20"/>
          <w:szCs w:val="20"/>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4"/>
    </w:lvlOverride>
  </w:num>
  <w:num w:numId="7">
    <w:abstractNumId w:val="6"/>
  </w:num>
  <w:num w:numId="8">
    <w:abstractNumId w:val="1"/>
    <w:lvlOverride w:ilvl="0">
      <w:lvl w:ilvl="0">
        <w:start w:val="1"/>
        <w:numFmt w:val="none"/>
        <w:lvlText w:val="%1"/>
        <w:lvlJc w:val="center"/>
        <w:pPr>
          <w:ind w:left="0" w:firstLine="0"/>
        </w:pPr>
        <w:rPr>
          <w:rFonts w:asciiTheme="majorBidi" w:hAnsiTheme="majorBidi" w:hint="default"/>
        </w:rPr>
      </w:lvl>
    </w:lvlOverride>
    <w:lvlOverride w:ilvl="1">
      <w:lvl w:ilvl="1">
        <w:start w:val="1"/>
        <w:numFmt w:val="none"/>
        <w:pStyle w:val="Authors"/>
        <w:suff w:val="nothing"/>
        <w:lvlText w:val="%2"/>
        <w:lvlJc w:val="center"/>
        <w:pPr>
          <w:ind w:left="0" w:firstLine="288"/>
        </w:pPr>
        <w:rPr>
          <w:rFonts w:hint="default"/>
        </w:rPr>
      </w:lvl>
    </w:lvlOverride>
    <w:lvlOverride w:ilvl="2">
      <w:lvl w:ilvl="2">
        <w:start w:val="1"/>
        <w:numFmt w:val="none"/>
        <w:lvlRestart w:val="0"/>
        <w:pStyle w:val="AuthorsAffiliation"/>
        <w:suff w:val="nothing"/>
        <w:lvlText w:val="%3"/>
        <w:lvlJc w:val="center"/>
        <w:pPr>
          <w:ind w:left="0" w:firstLine="0"/>
        </w:pPr>
        <w:rPr>
          <w:rFonts w:hint="default"/>
        </w:rPr>
      </w:lvl>
    </w:lvlOverride>
    <w:lvlOverride w:ilvl="3">
      <w:lvl w:ilvl="3">
        <w:start w:val="1"/>
        <w:numFmt w:val="none"/>
        <w:lvlRestart w:val="0"/>
        <w:pStyle w:val="CorrespondingAuthor"/>
        <w:suff w:val="nothing"/>
        <w:lvlText w:val=""/>
        <w:lvlJc w:val="center"/>
        <w:pPr>
          <w:ind w:left="0" w:firstLine="0"/>
        </w:pPr>
        <w:rPr>
          <w:rFonts w:hint="default"/>
        </w:rPr>
      </w:lvl>
    </w:lvlOverride>
    <w:lvlOverride w:ilvl="4">
      <w:lvl w:ilvl="4">
        <w:start w:val="1"/>
        <w:numFmt w:val="none"/>
        <w:pStyle w:val="Headers"/>
        <w:lvlText w:val="Abstract"/>
        <w:lvlJc w:val="left"/>
        <w:pPr>
          <w:ind w:left="357" w:firstLine="0"/>
        </w:pPr>
        <w:rPr>
          <w:rFonts w:hint="default"/>
        </w:rPr>
      </w:lvl>
    </w:lvlOverride>
    <w:lvlOverride w:ilvl="5">
      <w:lvl w:ilvl="5">
        <w:start w:val="1"/>
        <w:numFmt w:val="none"/>
        <w:lvlRestart w:val="0"/>
        <w:pStyle w:val="Text"/>
        <w:suff w:val="nothing"/>
        <w:lvlText w:val=""/>
        <w:lvlJc w:val="left"/>
        <w:pPr>
          <w:ind w:left="0" w:firstLine="567"/>
        </w:pPr>
        <w:rPr>
          <w:rFonts w:hint="default"/>
        </w:rPr>
      </w:lvl>
    </w:lvlOverride>
    <w:lvlOverride w:ilvl="6">
      <w:lvl w:ilvl="6">
        <w:start w:val="1"/>
        <w:numFmt w:val="none"/>
        <w:lvlRestart w:val="0"/>
        <w:pStyle w:val="Keywords"/>
        <w:suff w:val="space"/>
        <w:lvlText w:val="Keywords:"/>
        <w:lvlJc w:val="left"/>
        <w:pPr>
          <w:ind w:left="-177" w:firstLine="357"/>
        </w:pPr>
        <w:rPr>
          <w:rFonts w:ascii="Times New Roman" w:hAnsi="Times New Roman" w:cs="Times New Roman" w:hint="default"/>
          <w:b/>
          <w:i w:val="0"/>
          <w:sz w:val="24"/>
        </w:rPr>
      </w:lvl>
    </w:lvlOverride>
    <w:lvlOverride w:ilvl="7">
      <w:lvl w:ilvl="7">
        <w:start w:val="1"/>
        <w:numFmt w:val="upperLetter"/>
        <w:lvlText w:val="%8."/>
        <w:lvlJc w:val="left"/>
        <w:pPr>
          <w:ind w:left="2880" w:hanging="360"/>
        </w:pPr>
        <w:rPr>
          <w:rFonts w:ascii="Times New Roman Bold" w:hAnsi="Times New Roman Bold" w:cs="Times New Roman" w:hint="default"/>
          <w:b/>
          <w:bCs w:val="0"/>
          <w:iCs w:val="0"/>
          <w:sz w:val="24"/>
          <w:szCs w:val="18"/>
        </w:rPr>
      </w:lvl>
    </w:lvlOverride>
    <w:lvlOverride w:ilvl="8">
      <w:lvl w:ilvl="8">
        <w:start w:val="1"/>
        <w:numFmt w:val="none"/>
        <w:pStyle w:val="AtricleCode"/>
        <w:suff w:val="nothing"/>
        <w:lvlText w:val="A-10-"/>
        <w:lvlJc w:val="left"/>
        <w:pPr>
          <w:ind w:left="3403" w:firstLine="0"/>
        </w:pPr>
        <w:rPr>
          <w:rFonts w:hint="default"/>
          <w:color w:val="FFFFFF"/>
        </w:rPr>
      </w:lvl>
    </w:lvlOverride>
  </w:num>
  <w:num w:numId="9">
    <w:abstractNumId w:val="5"/>
  </w:num>
  <w:num w:numId="10">
    <w:abstractNumId w:val="4"/>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7FF7"/>
    <w:rsid w:val="0006339A"/>
    <w:rsid w:val="00064CA0"/>
    <w:rsid w:val="00077A73"/>
    <w:rsid w:val="00083FC6"/>
    <w:rsid w:val="000C15FA"/>
    <w:rsid w:val="000C7CA1"/>
    <w:rsid w:val="000D32BA"/>
    <w:rsid w:val="000E28BF"/>
    <w:rsid w:val="000E67BD"/>
    <w:rsid w:val="00132E50"/>
    <w:rsid w:val="00136A7F"/>
    <w:rsid w:val="00155F14"/>
    <w:rsid w:val="0015783A"/>
    <w:rsid w:val="00193664"/>
    <w:rsid w:val="001C1D81"/>
    <w:rsid w:val="001E3134"/>
    <w:rsid w:val="00202EF2"/>
    <w:rsid w:val="002148B7"/>
    <w:rsid w:val="002167BD"/>
    <w:rsid w:val="0022472E"/>
    <w:rsid w:val="00234ACA"/>
    <w:rsid w:val="00237453"/>
    <w:rsid w:val="00256111"/>
    <w:rsid w:val="0027542C"/>
    <w:rsid w:val="00284430"/>
    <w:rsid w:val="002C11F8"/>
    <w:rsid w:val="002C7A91"/>
    <w:rsid w:val="002F1447"/>
    <w:rsid w:val="00311284"/>
    <w:rsid w:val="00335B75"/>
    <w:rsid w:val="00382ECA"/>
    <w:rsid w:val="00386164"/>
    <w:rsid w:val="003F271B"/>
    <w:rsid w:val="00415707"/>
    <w:rsid w:val="00475873"/>
    <w:rsid w:val="00486686"/>
    <w:rsid w:val="00491A64"/>
    <w:rsid w:val="0049695B"/>
    <w:rsid w:val="00496DAF"/>
    <w:rsid w:val="004B1D4D"/>
    <w:rsid w:val="004B32D6"/>
    <w:rsid w:val="004C2DB7"/>
    <w:rsid w:val="004D320E"/>
    <w:rsid w:val="004E23FC"/>
    <w:rsid w:val="00505ECA"/>
    <w:rsid w:val="00531772"/>
    <w:rsid w:val="00553AA0"/>
    <w:rsid w:val="00561B86"/>
    <w:rsid w:val="00572DDE"/>
    <w:rsid w:val="005919E9"/>
    <w:rsid w:val="00592B90"/>
    <w:rsid w:val="005C0DFC"/>
    <w:rsid w:val="005D2F1B"/>
    <w:rsid w:val="005E3969"/>
    <w:rsid w:val="005F05E1"/>
    <w:rsid w:val="0060797B"/>
    <w:rsid w:val="0063017F"/>
    <w:rsid w:val="00632E6B"/>
    <w:rsid w:val="00633F4F"/>
    <w:rsid w:val="006552EA"/>
    <w:rsid w:val="00676C19"/>
    <w:rsid w:val="00692FA3"/>
    <w:rsid w:val="006B21DB"/>
    <w:rsid w:val="006B340C"/>
    <w:rsid w:val="006D0F6C"/>
    <w:rsid w:val="006D3579"/>
    <w:rsid w:val="0070001E"/>
    <w:rsid w:val="00754A25"/>
    <w:rsid w:val="007B402A"/>
    <w:rsid w:val="007C3307"/>
    <w:rsid w:val="007D7FF7"/>
    <w:rsid w:val="00802770"/>
    <w:rsid w:val="00816C61"/>
    <w:rsid w:val="00842A88"/>
    <w:rsid w:val="00846589"/>
    <w:rsid w:val="008711A1"/>
    <w:rsid w:val="00876872"/>
    <w:rsid w:val="008A0B40"/>
    <w:rsid w:val="008C5EC0"/>
    <w:rsid w:val="008D6252"/>
    <w:rsid w:val="008E7A98"/>
    <w:rsid w:val="0092533F"/>
    <w:rsid w:val="009464CB"/>
    <w:rsid w:val="009575E7"/>
    <w:rsid w:val="009A23C1"/>
    <w:rsid w:val="009B2E00"/>
    <w:rsid w:val="009E743F"/>
    <w:rsid w:val="009F1A05"/>
    <w:rsid w:val="00A15C8F"/>
    <w:rsid w:val="00A24E18"/>
    <w:rsid w:val="00A3786D"/>
    <w:rsid w:val="00A43608"/>
    <w:rsid w:val="00A45C81"/>
    <w:rsid w:val="00AB1501"/>
    <w:rsid w:val="00AD4E99"/>
    <w:rsid w:val="00AD79AF"/>
    <w:rsid w:val="00AF095D"/>
    <w:rsid w:val="00B25DC9"/>
    <w:rsid w:val="00B75034"/>
    <w:rsid w:val="00B865C5"/>
    <w:rsid w:val="00B86CCB"/>
    <w:rsid w:val="00BC1A1B"/>
    <w:rsid w:val="00BD0CA6"/>
    <w:rsid w:val="00BD72B3"/>
    <w:rsid w:val="00BF3F1B"/>
    <w:rsid w:val="00C2548B"/>
    <w:rsid w:val="00C258B4"/>
    <w:rsid w:val="00C314E7"/>
    <w:rsid w:val="00C421EB"/>
    <w:rsid w:val="00C67352"/>
    <w:rsid w:val="00C673A4"/>
    <w:rsid w:val="00CC23DE"/>
    <w:rsid w:val="00CE4A3C"/>
    <w:rsid w:val="00D42616"/>
    <w:rsid w:val="00D870F9"/>
    <w:rsid w:val="00D96450"/>
    <w:rsid w:val="00DA1639"/>
    <w:rsid w:val="00DD61B4"/>
    <w:rsid w:val="00DD6C5E"/>
    <w:rsid w:val="00DE067D"/>
    <w:rsid w:val="00DE20B5"/>
    <w:rsid w:val="00DE27C6"/>
    <w:rsid w:val="00DE3FC5"/>
    <w:rsid w:val="00DE5FA9"/>
    <w:rsid w:val="00E23DF0"/>
    <w:rsid w:val="00E36754"/>
    <w:rsid w:val="00E43FF3"/>
    <w:rsid w:val="00E54E9E"/>
    <w:rsid w:val="00E75C92"/>
    <w:rsid w:val="00E92B33"/>
    <w:rsid w:val="00EA7212"/>
    <w:rsid w:val="00EA7427"/>
    <w:rsid w:val="00F675D4"/>
    <w:rsid w:val="00F73B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FD72C46"/>
  <w14:defaultImageDpi w14:val="32767"/>
  <w15:chartTrackingRefBased/>
  <w15:docId w15:val="{8002DE36-5E4F-42DA-8071-88CBE6C10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8"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bidi="fa-IR"/>
    </w:rPr>
  </w:style>
  <w:style w:type="paragraph" w:styleId="Heading1">
    <w:name w:val="heading 1"/>
    <w:basedOn w:val="Normal"/>
    <w:next w:val="Normal"/>
    <w:link w:val="Heading1Char"/>
    <w:uiPriority w:val="9"/>
    <w:qFormat/>
    <w:rsid w:val="006D0F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02E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7F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7FF7"/>
    <w:rPr>
      <w:lang w:bidi="fa-IR"/>
    </w:rPr>
  </w:style>
  <w:style w:type="paragraph" w:styleId="Footer">
    <w:name w:val="footer"/>
    <w:basedOn w:val="Normal"/>
    <w:link w:val="FooterChar"/>
    <w:uiPriority w:val="99"/>
    <w:unhideWhenUsed/>
    <w:rsid w:val="007D7F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7FF7"/>
    <w:rPr>
      <w:lang w:bidi="fa-IR"/>
    </w:rPr>
  </w:style>
  <w:style w:type="paragraph" w:styleId="NormalWeb">
    <w:name w:val="Normal (Web)"/>
    <w:basedOn w:val="Normal"/>
    <w:semiHidden/>
    <w:rsid w:val="007D7FF7"/>
    <w:pPr>
      <w:spacing w:after="0" w:line="240" w:lineRule="auto"/>
    </w:pPr>
    <w:rPr>
      <w:rFonts w:ascii="Times New Roman" w:eastAsia="Times New Roman" w:hAnsi="Times New Roman" w:cs="Times New Roman"/>
      <w:kern w:val="0"/>
      <w:sz w:val="18"/>
      <w:szCs w:val="18"/>
      <w:lang w:bidi="ar-SA"/>
    </w:rPr>
  </w:style>
  <w:style w:type="character" w:styleId="Strong">
    <w:name w:val="Strong"/>
    <w:uiPriority w:val="22"/>
    <w:qFormat/>
    <w:rsid w:val="007D7FF7"/>
    <w:rPr>
      <w:b/>
      <w:bCs/>
    </w:rPr>
  </w:style>
  <w:style w:type="paragraph" w:customStyle="1" w:styleId="Papertitle">
    <w:name w:val="Paper title"/>
    <w:basedOn w:val="BodyText"/>
    <w:rsid w:val="00572DDE"/>
    <w:pPr>
      <w:suppressAutoHyphens/>
      <w:spacing w:after="0" w:line="240" w:lineRule="auto"/>
      <w:jc w:val="center"/>
    </w:pPr>
    <w:rPr>
      <w:rFonts w:ascii="Times New Roman" w:eastAsia="Times New Roman" w:hAnsi="Times New Roman" w:cs="Times New Roman"/>
      <w:b/>
      <w:bCs/>
      <w:kern w:val="0"/>
      <w:sz w:val="50"/>
      <w:szCs w:val="20"/>
      <w:lang w:bidi="ar-SA"/>
    </w:rPr>
  </w:style>
  <w:style w:type="paragraph" w:styleId="BodyText">
    <w:name w:val="Body Text"/>
    <w:basedOn w:val="Normal"/>
    <w:link w:val="BodyTextChar"/>
    <w:uiPriority w:val="99"/>
    <w:semiHidden/>
    <w:unhideWhenUsed/>
    <w:rsid w:val="00572DDE"/>
    <w:pPr>
      <w:spacing w:after="120"/>
    </w:pPr>
  </w:style>
  <w:style w:type="character" w:customStyle="1" w:styleId="BodyTextChar">
    <w:name w:val="Body Text Char"/>
    <w:basedOn w:val="DefaultParagraphFont"/>
    <w:link w:val="BodyText"/>
    <w:uiPriority w:val="99"/>
    <w:semiHidden/>
    <w:rsid w:val="00572DDE"/>
    <w:rPr>
      <w:lang w:bidi="fa-IR"/>
    </w:rPr>
  </w:style>
  <w:style w:type="paragraph" w:customStyle="1" w:styleId="Author">
    <w:name w:val="Author"/>
    <w:basedOn w:val="Normal"/>
    <w:uiPriority w:val="1"/>
    <w:rsid w:val="0022472E"/>
    <w:pPr>
      <w:suppressAutoHyphens/>
      <w:spacing w:after="0" w:line="240" w:lineRule="auto"/>
      <w:jc w:val="center"/>
    </w:pPr>
    <w:rPr>
      <w:rFonts w:ascii="Times New Roman" w:eastAsia="Times New Roman" w:hAnsi="Times New Roman" w:cs="Times New Roman"/>
      <w:kern w:val="0"/>
      <w:sz w:val="24"/>
      <w:szCs w:val="20"/>
      <w:lang w:bidi="ar-SA"/>
      <w14:ligatures w14:val="none"/>
    </w:rPr>
  </w:style>
  <w:style w:type="paragraph" w:customStyle="1" w:styleId="Corresponding">
    <w:name w:val="Corresponding"/>
    <w:basedOn w:val="Normal"/>
    <w:uiPriority w:val="1"/>
    <w:qFormat/>
    <w:rsid w:val="0022472E"/>
    <w:pPr>
      <w:suppressAutoHyphens/>
      <w:spacing w:before="240" w:after="500" w:line="240" w:lineRule="auto"/>
      <w:jc w:val="center"/>
    </w:pPr>
    <w:rPr>
      <w:rFonts w:ascii="Times New Roman" w:eastAsia="Times New Roman" w:hAnsi="Times New Roman" w:cs="Times New Roman"/>
      <w:kern w:val="0"/>
      <w:sz w:val="20"/>
      <w:szCs w:val="20"/>
      <w:lang w:bidi="ar-SA"/>
      <w14:ligatures w14:val="none"/>
    </w:rPr>
  </w:style>
  <w:style w:type="paragraph" w:customStyle="1" w:styleId="Authors">
    <w:name w:val="Author(s)"/>
    <w:basedOn w:val="Normal"/>
    <w:qFormat/>
    <w:rsid w:val="0022472E"/>
    <w:pPr>
      <w:numPr>
        <w:ilvl w:val="1"/>
        <w:numId w:val="1"/>
      </w:numPr>
      <w:suppressAutoHyphens/>
      <w:spacing w:after="240" w:line="240" w:lineRule="auto"/>
      <w:jc w:val="center"/>
    </w:pPr>
    <w:rPr>
      <w:rFonts w:ascii="Times New Roman" w:eastAsia="Times New Roman" w:hAnsi="Times New Roman" w:cs="Times New Roman"/>
      <w:color w:val="000000"/>
      <w:kern w:val="0"/>
      <w14:ligatures w14:val="none"/>
    </w:rPr>
  </w:style>
  <w:style w:type="paragraph" w:customStyle="1" w:styleId="CorrespondingAuthor">
    <w:name w:val="Corresponding Author"/>
    <w:basedOn w:val="Normal"/>
    <w:qFormat/>
    <w:rsid w:val="0022472E"/>
    <w:pPr>
      <w:numPr>
        <w:ilvl w:val="3"/>
        <w:numId w:val="1"/>
      </w:numPr>
      <w:suppressAutoHyphens/>
      <w:spacing w:before="240" w:after="240" w:line="240" w:lineRule="auto"/>
      <w:ind w:right="62"/>
      <w:jc w:val="center"/>
    </w:pPr>
    <w:rPr>
      <w:rFonts w:ascii="Times New Roman" w:eastAsia="Times New Roman" w:hAnsi="Times New Roman" w:cs="Times New Roman"/>
      <w:i/>
      <w:iCs/>
      <w:color w:val="000000"/>
      <w:kern w:val="0"/>
      <w:sz w:val="24"/>
      <w:szCs w:val="24"/>
      <w:lang w:bidi="ar-SA"/>
      <w14:ligatures w14:val="none"/>
    </w:rPr>
  </w:style>
  <w:style w:type="paragraph" w:customStyle="1" w:styleId="Text">
    <w:name w:val="Text"/>
    <w:basedOn w:val="Normal"/>
    <w:link w:val="TextChar"/>
    <w:qFormat/>
    <w:rsid w:val="008711A1"/>
    <w:pPr>
      <w:numPr>
        <w:ilvl w:val="5"/>
        <w:numId w:val="1"/>
      </w:numPr>
      <w:suppressAutoHyphens/>
      <w:spacing w:after="0" w:line="276" w:lineRule="auto"/>
      <w:ind w:firstLine="199"/>
      <w:jc w:val="both"/>
    </w:pPr>
    <w:rPr>
      <w:rFonts w:ascii="Times New Roman" w:eastAsia="Times New Roman" w:hAnsi="Times New Roman" w:cs="Times New Roman"/>
      <w:color w:val="000000"/>
      <w:kern w:val="0"/>
      <w:sz w:val="20"/>
      <w:szCs w:val="20"/>
      <w14:ligatures w14:val="none"/>
    </w:rPr>
  </w:style>
  <w:style w:type="paragraph" w:customStyle="1" w:styleId="Headers">
    <w:name w:val="Headers"/>
    <w:basedOn w:val="Normal"/>
    <w:qFormat/>
    <w:rsid w:val="0022472E"/>
    <w:pPr>
      <w:numPr>
        <w:ilvl w:val="4"/>
        <w:numId w:val="1"/>
      </w:numPr>
      <w:autoSpaceDE w:val="0"/>
      <w:autoSpaceDN w:val="0"/>
      <w:adjustRightInd w:val="0"/>
      <w:spacing w:after="0" w:line="276" w:lineRule="auto"/>
      <w:ind w:right="1127"/>
      <w:jc w:val="both"/>
    </w:pPr>
    <w:rPr>
      <w:rFonts w:ascii="Times New Roman" w:eastAsia="Times New Roman" w:hAnsi="Times New Roman" w:cs="Times New Roman"/>
      <w:b/>
      <w:color w:val="000000"/>
      <w:kern w:val="0"/>
      <w:sz w:val="24"/>
      <w:szCs w:val="24"/>
      <w:lang w:bidi="ar-SA"/>
      <w14:ligatures w14:val="none"/>
    </w:rPr>
  </w:style>
  <w:style w:type="paragraph" w:customStyle="1" w:styleId="AtricleCode">
    <w:name w:val="Atricle Code"/>
    <w:basedOn w:val="Normal"/>
    <w:qFormat/>
    <w:rsid w:val="0022472E"/>
    <w:pPr>
      <w:numPr>
        <w:ilvl w:val="8"/>
        <w:numId w:val="1"/>
      </w:numPr>
      <w:autoSpaceDE w:val="0"/>
      <w:autoSpaceDN w:val="0"/>
      <w:adjustRightInd w:val="0"/>
      <w:spacing w:after="0" w:line="276" w:lineRule="auto"/>
      <w:jc w:val="both"/>
    </w:pPr>
    <w:rPr>
      <w:rFonts w:ascii="Times New Roman" w:eastAsia="Times New Roman" w:hAnsi="Times New Roman" w:cs="Times New Roman"/>
      <w:b/>
      <w:bCs/>
      <w:color w:val="FFFFFF" w:themeColor="background1"/>
      <w:kern w:val="0"/>
      <w:sz w:val="32"/>
      <w:szCs w:val="40"/>
      <w:lang w:bidi="ar-SA"/>
      <w14:ligatures w14:val="none"/>
    </w:rPr>
  </w:style>
  <w:style w:type="paragraph" w:customStyle="1" w:styleId="AuthorsAffiliation">
    <w:name w:val="Author(s) Affiliation"/>
    <w:basedOn w:val="Authors"/>
    <w:qFormat/>
    <w:rsid w:val="0022472E"/>
    <w:pPr>
      <w:keepNext/>
      <w:numPr>
        <w:ilvl w:val="2"/>
      </w:numPr>
      <w:spacing w:after="0"/>
    </w:pPr>
    <w:rPr>
      <w:sz w:val="20"/>
      <w:szCs w:val="20"/>
    </w:rPr>
  </w:style>
  <w:style w:type="paragraph" w:customStyle="1" w:styleId="Keywords">
    <w:name w:val="Keywords"/>
    <w:basedOn w:val="Text"/>
    <w:autoRedefine/>
    <w:qFormat/>
    <w:rsid w:val="00193664"/>
    <w:pPr>
      <w:numPr>
        <w:ilvl w:val="6"/>
      </w:numPr>
      <w:spacing w:before="240" w:after="240"/>
      <w:ind w:left="0"/>
    </w:pPr>
  </w:style>
  <w:style w:type="paragraph" w:customStyle="1" w:styleId="ArticleTitle">
    <w:name w:val="Article Title"/>
    <w:basedOn w:val="Normal"/>
    <w:qFormat/>
    <w:rsid w:val="00DD61B4"/>
    <w:pPr>
      <w:suppressAutoHyphens/>
      <w:spacing w:before="240" w:after="240" w:line="240" w:lineRule="auto"/>
      <w:jc w:val="center"/>
    </w:pPr>
    <w:rPr>
      <w:rFonts w:ascii="Times New Roman" w:eastAsia="Times New Roman" w:hAnsi="Times New Roman" w:cs="Times New Roman"/>
      <w:b/>
      <w:bCs/>
      <w:kern w:val="0"/>
      <w:sz w:val="36"/>
      <w:szCs w:val="36"/>
      <w:lang w:bidi="ar-SA"/>
      <w14:ligatures w14:val="none"/>
    </w:rPr>
  </w:style>
  <w:style w:type="character" w:customStyle="1" w:styleId="TextChar">
    <w:name w:val="Text Char"/>
    <w:link w:val="Text"/>
    <w:uiPriority w:val="2"/>
    <w:locked/>
    <w:rsid w:val="008711A1"/>
    <w:rPr>
      <w:rFonts w:ascii="Times New Roman" w:eastAsia="Times New Roman" w:hAnsi="Times New Roman" w:cs="Times New Roman"/>
      <w:color w:val="000000"/>
      <w:kern w:val="0"/>
      <w:sz w:val="20"/>
      <w:szCs w:val="20"/>
      <w:lang w:bidi="fa-IR"/>
      <w14:ligatures w14:val="none"/>
    </w:rPr>
  </w:style>
  <w:style w:type="paragraph" w:customStyle="1" w:styleId="Header1">
    <w:name w:val="Header 1"/>
    <w:basedOn w:val="Normal"/>
    <w:next w:val="Text"/>
    <w:uiPriority w:val="2"/>
    <w:qFormat/>
    <w:rsid w:val="00202EF2"/>
    <w:pPr>
      <w:numPr>
        <w:numId w:val="4"/>
      </w:numPr>
      <w:tabs>
        <w:tab w:val="left" w:pos="720"/>
      </w:tabs>
      <w:suppressAutoHyphens/>
      <w:spacing w:before="240" w:after="120" w:line="240" w:lineRule="auto"/>
      <w:ind w:left="0"/>
      <w:jc w:val="center"/>
    </w:pPr>
    <w:rPr>
      <w:rFonts w:ascii="Times New Roman" w:eastAsia="Times New Roman" w:hAnsi="Times New Roman" w:cs="Times New Roman"/>
      <w:b/>
      <w:bCs/>
      <w:kern w:val="0"/>
      <w:sz w:val="24"/>
      <w:szCs w:val="20"/>
      <w:lang w:bidi="ar-SA"/>
      <w14:ligatures w14:val="none"/>
    </w:rPr>
  </w:style>
  <w:style w:type="paragraph" w:customStyle="1" w:styleId="Header2">
    <w:name w:val="Header 2"/>
    <w:basedOn w:val="Heading2"/>
    <w:next w:val="Text"/>
    <w:link w:val="Header2Char"/>
    <w:uiPriority w:val="8"/>
    <w:qFormat/>
    <w:rsid w:val="00202EF2"/>
    <w:pPr>
      <w:keepLines w:val="0"/>
      <w:numPr>
        <w:ilvl w:val="1"/>
        <w:numId w:val="4"/>
      </w:numPr>
      <w:tabs>
        <w:tab w:val="num" w:pos="360"/>
      </w:tabs>
      <w:suppressAutoHyphens/>
      <w:spacing w:before="120" w:after="120" w:line="240" w:lineRule="auto"/>
      <w:ind w:left="0" w:hanging="360"/>
      <w:jc w:val="both"/>
    </w:pPr>
    <w:rPr>
      <w:rFonts w:ascii="Times New Roman" w:eastAsia="Times New Roman" w:hAnsi="Times New Roman" w:cs="Times New Roman"/>
      <w:b/>
      <w:bCs/>
      <w:color w:val="auto"/>
      <w:spacing w:val="-8"/>
      <w:kern w:val="0"/>
      <w:sz w:val="22"/>
      <w:szCs w:val="20"/>
      <w:lang w:bidi="ar-SA"/>
      <w14:ligatures w14:val="none"/>
    </w:rPr>
  </w:style>
  <w:style w:type="paragraph" w:customStyle="1" w:styleId="sectionheadnonums">
    <w:name w:val="section head (no nums)"/>
    <w:basedOn w:val="Header1"/>
    <w:uiPriority w:val="2"/>
    <w:rsid w:val="00202EF2"/>
    <w:pPr>
      <w:numPr>
        <w:numId w:val="0"/>
      </w:numPr>
    </w:pPr>
  </w:style>
  <w:style w:type="paragraph" w:customStyle="1" w:styleId="references">
    <w:name w:val="references"/>
    <w:basedOn w:val="Normal"/>
    <w:uiPriority w:val="8"/>
    <w:qFormat/>
    <w:rsid w:val="00202EF2"/>
    <w:pPr>
      <w:suppressAutoHyphens/>
      <w:spacing w:after="0" w:line="180" w:lineRule="exact"/>
      <w:ind w:left="360" w:hanging="360"/>
      <w:jc w:val="both"/>
    </w:pPr>
    <w:rPr>
      <w:rFonts w:ascii="Times New Roman" w:eastAsia="Times New Roman" w:hAnsi="Times New Roman" w:cs="Times New Roman"/>
      <w:kern w:val="0"/>
      <w:sz w:val="16"/>
      <w:szCs w:val="20"/>
      <w:lang w:bidi="ar-SA"/>
      <w14:ligatures w14:val="none"/>
    </w:rPr>
  </w:style>
  <w:style w:type="paragraph" w:styleId="FootnoteText">
    <w:name w:val="footnote text"/>
    <w:basedOn w:val="Normal"/>
    <w:link w:val="FootnoteTextChar"/>
    <w:uiPriority w:val="8"/>
    <w:semiHidden/>
    <w:rsid w:val="00202EF2"/>
    <w:pPr>
      <w:suppressAutoHyphens/>
      <w:autoSpaceDE w:val="0"/>
      <w:spacing w:after="0" w:line="240" w:lineRule="auto"/>
      <w:ind w:firstLine="202"/>
      <w:jc w:val="both"/>
    </w:pPr>
    <w:rPr>
      <w:rFonts w:ascii="Times New Roman" w:eastAsia="Times New Roman" w:hAnsi="Times New Roman" w:cs="Times New Roman"/>
      <w:kern w:val="0"/>
      <w:sz w:val="16"/>
      <w:szCs w:val="20"/>
      <w:lang w:bidi="ar-SA"/>
      <w14:ligatures w14:val="none"/>
    </w:rPr>
  </w:style>
  <w:style w:type="character" w:customStyle="1" w:styleId="FootnoteTextChar">
    <w:name w:val="Footnote Text Char"/>
    <w:basedOn w:val="DefaultParagraphFont"/>
    <w:link w:val="FootnoteText"/>
    <w:uiPriority w:val="8"/>
    <w:semiHidden/>
    <w:rsid w:val="00202EF2"/>
    <w:rPr>
      <w:rFonts w:ascii="Times New Roman" w:eastAsia="Times New Roman" w:hAnsi="Times New Roman" w:cs="Times New Roman"/>
      <w:kern w:val="0"/>
      <w:sz w:val="16"/>
      <w:szCs w:val="20"/>
      <w14:ligatures w14:val="none"/>
    </w:rPr>
  </w:style>
  <w:style w:type="paragraph" w:customStyle="1" w:styleId="TableHeading">
    <w:name w:val="Table Heading"/>
    <w:basedOn w:val="Normal"/>
    <w:uiPriority w:val="2"/>
    <w:qFormat/>
    <w:rsid w:val="00202EF2"/>
    <w:pPr>
      <w:numPr>
        <w:ilvl w:val="3"/>
        <w:numId w:val="4"/>
      </w:numPr>
      <w:suppressLineNumbers/>
      <w:suppressAutoHyphens/>
      <w:spacing w:before="240" w:after="0" w:line="240" w:lineRule="auto"/>
      <w:jc w:val="center"/>
    </w:pPr>
    <w:rPr>
      <w:rFonts w:ascii="Times New Roman" w:eastAsia="Times New Roman" w:hAnsi="Times New Roman" w:cs="Times New Roman"/>
      <w:kern w:val="0"/>
      <w:sz w:val="16"/>
      <w:szCs w:val="18"/>
      <w:lang w:bidi="ar-SA"/>
      <w14:ligatures w14:val="none"/>
    </w:rPr>
  </w:style>
  <w:style w:type="paragraph" w:customStyle="1" w:styleId="FigureTitle">
    <w:name w:val="Figure Title"/>
    <w:basedOn w:val="FootnoteText"/>
    <w:uiPriority w:val="2"/>
    <w:qFormat/>
    <w:rsid w:val="00202EF2"/>
    <w:pPr>
      <w:numPr>
        <w:ilvl w:val="2"/>
        <w:numId w:val="4"/>
      </w:numPr>
    </w:pPr>
  </w:style>
  <w:style w:type="paragraph" w:customStyle="1" w:styleId="Formula">
    <w:name w:val="Formula"/>
    <w:basedOn w:val="Normal"/>
    <w:uiPriority w:val="8"/>
    <w:qFormat/>
    <w:rsid w:val="00202EF2"/>
    <w:pPr>
      <w:tabs>
        <w:tab w:val="center" w:pos="2520"/>
        <w:tab w:val="right" w:pos="5040"/>
      </w:tabs>
      <w:suppressAutoHyphens/>
      <w:spacing w:after="0" w:line="240" w:lineRule="auto"/>
    </w:pPr>
    <w:rPr>
      <w:rFonts w:ascii="Times New Roman" w:eastAsia="Times New Roman" w:hAnsi="Times New Roman" w:cs="Times New Roman"/>
      <w:kern w:val="0"/>
      <w:sz w:val="20"/>
      <w:szCs w:val="20"/>
      <w:lang w:bidi="ar-SA"/>
      <w14:ligatures w14:val="none"/>
    </w:rPr>
  </w:style>
  <w:style w:type="paragraph" w:customStyle="1" w:styleId="Header3">
    <w:name w:val="Header 3"/>
    <w:basedOn w:val="Text"/>
    <w:uiPriority w:val="8"/>
    <w:qFormat/>
    <w:rsid w:val="00202EF2"/>
    <w:pPr>
      <w:numPr>
        <w:ilvl w:val="0"/>
        <w:numId w:val="0"/>
      </w:numPr>
      <w:spacing w:line="240" w:lineRule="auto"/>
      <w:ind w:firstLine="198"/>
    </w:pPr>
    <w:rPr>
      <w:i/>
      <w:color w:val="auto"/>
      <w:lang w:bidi="ar-SA"/>
    </w:rPr>
  </w:style>
  <w:style w:type="character" w:customStyle="1" w:styleId="Heading2Char">
    <w:name w:val="Heading 2 Char"/>
    <w:basedOn w:val="DefaultParagraphFont"/>
    <w:link w:val="Heading2"/>
    <w:uiPriority w:val="9"/>
    <w:semiHidden/>
    <w:rsid w:val="00202EF2"/>
    <w:rPr>
      <w:rFonts w:asciiTheme="majorHAnsi" w:eastAsiaTheme="majorEastAsia" w:hAnsiTheme="majorHAnsi" w:cstheme="majorBidi"/>
      <w:color w:val="2F5496" w:themeColor="accent1" w:themeShade="BF"/>
      <w:sz w:val="26"/>
      <w:szCs w:val="26"/>
      <w:lang w:bidi="fa-IR"/>
    </w:rPr>
  </w:style>
  <w:style w:type="paragraph" w:customStyle="1" w:styleId="header10">
    <w:name w:val="header 1"/>
    <w:basedOn w:val="Headers"/>
    <w:link w:val="header1Char"/>
    <w:autoRedefine/>
    <w:rsid w:val="006D0F6C"/>
    <w:pPr>
      <w:numPr>
        <w:ilvl w:val="0"/>
        <w:numId w:val="7"/>
      </w:numPr>
      <w:spacing w:before="160"/>
      <w:ind w:left="357" w:right="1128" w:hanging="357"/>
      <w:jc w:val="center"/>
    </w:pPr>
    <w:rPr>
      <w:rFonts w:ascii="Times New Roman Bold" w:hAnsi="Times New Roman Bold"/>
    </w:rPr>
  </w:style>
  <w:style w:type="character" w:customStyle="1" w:styleId="Header2Char">
    <w:name w:val="Header 2 Char"/>
    <w:basedOn w:val="Heading2Char"/>
    <w:link w:val="Header2"/>
    <w:uiPriority w:val="8"/>
    <w:rsid w:val="00AD4E99"/>
    <w:rPr>
      <w:rFonts w:ascii="Times New Roman" w:eastAsia="Times New Roman" w:hAnsi="Times New Roman" w:cs="Times New Roman"/>
      <w:b/>
      <w:bCs/>
      <w:color w:val="2F5496" w:themeColor="accent1" w:themeShade="BF"/>
      <w:spacing w:val="-8"/>
      <w:kern w:val="0"/>
      <w:sz w:val="26"/>
      <w:szCs w:val="20"/>
      <w:lang w:bidi="fa-IR"/>
      <w14:ligatures w14:val="none"/>
    </w:rPr>
  </w:style>
  <w:style w:type="character" w:customStyle="1" w:styleId="header1Char">
    <w:name w:val="header 1 Char"/>
    <w:basedOn w:val="Header2Char"/>
    <w:link w:val="header10"/>
    <w:rsid w:val="006D0F6C"/>
    <w:rPr>
      <w:rFonts w:ascii="Times New Roman Bold" w:eastAsia="Times New Roman" w:hAnsi="Times New Roman Bold" w:cs="Times New Roman"/>
      <w:b/>
      <w:bCs w:val="0"/>
      <w:color w:val="000000"/>
      <w:spacing w:val="-8"/>
      <w:kern w:val="0"/>
      <w:sz w:val="24"/>
      <w:szCs w:val="24"/>
      <w:lang w:bidi="fa-IR"/>
      <w14:ligatures w14:val="none"/>
    </w:rPr>
  </w:style>
  <w:style w:type="numbering" w:customStyle="1" w:styleId="Style1">
    <w:name w:val="Style1"/>
    <w:uiPriority w:val="99"/>
    <w:rsid w:val="006D0F6C"/>
    <w:pPr>
      <w:numPr>
        <w:numId w:val="10"/>
      </w:numPr>
    </w:pPr>
  </w:style>
  <w:style w:type="character" w:customStyle="1" w:styleId="Heading1Char">
    <w:name w:val="Heading 1 Char"/>
    <w:basedOn w:val="DefaultParagraphFont"/>
    <w:link w:val="Heading1"/>
    <w:uiPriority w:val="9"/>
    <w:rsid w:val="006D0F6C"/>
    <w:rPr>
      <w:rFonts w:asciiTheme="majorHAnsi" w:eastAsiaTheme="majorEastAsia" w:hAnsiTheme="majorHAnsi" w:cstheme="majorBidi"/>
      <w:color w:val="2F5496" w:themeColor="accent1" w:themeShade="BF"/>
      <w:sz w:val="32"/>
      <w:szCs w:val="32"/>
      <w:lang w:bidi="fa-IR"/>
    </w:rPr>
  </w:style>
  <w:style w:type="character" w:styleId="Emphasis">
    <w:name w:val="Emphasis"/>
    <w:basedOn w:val="DefaultParagraphFont"/>
    <w:uiPriority w:val="20"/>
    <w:qFormat/>
    <w:rsid w:val="00D426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962413">
      <w:bodyDiv w:val="1"/>
      <w:marLeft w:val="0"/>
      <w:marRight w:val="0"/>
      <w:marTop w:val="0"/>
      <w:marBottom w:val="0"/>
      <w:divBdr>
        <w:top w:val="none" w:sz="0" w:space="0" w:color="auto"/>
        <w:left w:val="none" w:sz="0" w:space="0" w:color="auto"/>
        <w:bottom w:val="none" w:sz="0" w:space="0" w:color="auto"/>
        <w:right w:val="none" w:sz="0" w:space="0" w:color="auto"/>
      </w:divBdr>
    </w:div>
    <w:div w:id="1226989639">
      <w:bodyDiv w:val="1"/>
      <w:marLeft w:val="0"/>
      <w:marRight w:val="0"/>
      <w:marTop w:val="0"/>
      <w:marBottom w:val="0"/>
      <w:divBdr>
        <w:top w:val="none" w:sz="0" w:space="0" w:color="auto"/>
        <w:left w:val="none" w:sz="0" w:space="0" w:color="auto"/>
        <w:bottom w:val="none" w:sz="0" w:space="0" w:color="auto"/>
        <w:right w:val="none" w:sz="0" w:space="0" w:color="auto"/>
      </w:divBdr>
    </w:div>
    <w:div w:id="1228879428">
      <w:bodyDiv w:val="1"/>
      <w:marLeft w:val="0"/>
      <w:marRight w:val="0"/>
      <w:marTop w:val="0"/>
      <w:marBottom w:val="0"/>
      <w:divBdr>
        <w:top w:val="none" w:sz="0" w:space="0" w:color="auto"/>
        <w:left w:val="none" w:sz="0" w:space="0" w:color="auto"/>
        <w:bottom w:val="none" w:sz="0" w:space="0" w:color="auto"/>
        <w:right w:val="none" w:sz="0" w:space="0" w:color="auto"/>
      </w:divBdr>
    </w:div>
    <w:div w:id="1352684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mohammadimehr@kashanu.ac.ir" TargetMode="External"/><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em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BDCB6-9C02-42C9-A6CF-FC6A07E61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3</Pages>
  <Words>1227</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 GH</dc:creator>
  <cp:keywords/>
  <dc:description/>
  <cp:lastModifiedBy>alef.lam 79</cp:lastModifiedBy>
  <cp:revision>7</cp:revision>
  <dcterms:created xsi:type="dcterms:W3CDTF">2026-09-22T08:26:00Z</dcterms:created>
  <dcterms:modified xsi:type="dcterms:W3CDTF">2026-10-24T07:51:00Z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http://www.zotero.org/styles/elsevier-with-titles</vt:lpwstr>
  </property>
  <property fmtid="{D5CDD505-2E9C-101B-9397-08002B2CF9AE}" pid="13" name="Mendeley Recent Style Name 5_1">
    <vt:lpwstr>Elsevier (numeric, with titles)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http://www.zotero.org/styles/international-journal-of-mechanical-sciences</vt:lpwstr>
  </property>
  <property fmtid="{D5CDD505-2E9C-101B-9397-08002B2CF9AE}" pid="17" name="Mendeley Recent Style Name 7_1">
    <vt:lpwstr>International Journal of Mechanical Sciences</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