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Enterprise Architecture &amp; Digital Transformation Blueprint</w:t>
      </w:r>
    </w:p>
    <w:p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 xml:space="preserve">Part 10 of 11 — AI Strategy</w:t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17 AI capabilities, each split into Phase 1 (TOR-required) and Phase 2 (future enhancement) scope</w:t>
      </w:r>
    </w:p>
    <w:p>
      <w:pPr>
        <w:pStyle w:val="Heading1"/>
        <w:spacing w:after="130" w:before="300"/>
      </w:pPr>
      <w:r>
        <w:t xml:space="preserve">Introduction to Part 10</w:t>
      </w:r>
    </w:p>
    <w:p>
      <w:pPr>
        <w:spacing w:after="140" w:line="264"/>
      </w:pPr>
      <w:r>
        <w:t xml:space="preserve">Part 10 designs the platform's AI capabilities across seventeen named items, organized into four bands: Search &amp; Discovery AI (Semantic Search, Natural Language Search, Knowledge Recommendations, Knowledge Discovery), Content Intelligence AI (Document Summarisation, Automatic Classification, OCR, Speech-to-Text, Translation, Document Intelligence), Conversational &amp; Predictive AI (AI Assistant, Chatbot, Predictive Analytics), and AI Governance &amp; Responsible Use (AI Governance, Ethical AI, Responsible AI, Human Oversight).</w:t>
      </w:r>
    </w:p>
    <w:p>
      <w:pPr>
        <w:spacing w:after="140" w:line="264"/>
      </w:pPr>
      <w:r>
        <w:t xml:space="preserve">Every capability below is split into a Phase 1 Scope (TOR-Required, Proposal Commitment) and a Phase 2 Scope (Future Enhancement, Not a Proposal Commitment), per this Blueprint's clarified instruction to keep the two clearly separated. This split exists for a specific reason: the Master Bid &amp; Delivery Strategy document and the Executive Advice briefing both flagged overstating technological capability — claiming AI functionality the consultant cannot credibly evidence in a CV-only, no-interview procurement — as a genuine disqualification risk, not a stylistic concern. A committed Phase 1 capability must be deliverable with current, proven technology and evidenced in the technical proposal; a Phase 2 item is a roadmap direction, offered as foresight, not a scored commitment.</w:t>
      </w:r>
    </w:p>
    <w:p>
      <w:pPr>
        <w:spacing w:after="140" w:line="264"/>
      </w:pPr>
      <w:r>
        <w:t xml:space="preserve">The dividing line applied consistently below is technology maturity and evidentiary defensibility, not ambition: Phase 1 capabilities use well-established, low-implementation-risk techniques (embedding-based search, supervised classification, mature commercial OCR) directly serving requirements the TOR and Annex 1 already name or clearly reward. Phase 2 capabilities involve either less mature technology, higher data-volume prerequisites the programme will not have at go-live, or conversational/generative AI patterns that carry higher governance risk and are better proposed as a considered future direction than an opening-day commitment.</w:t>
      </w:r>
    </w:p>
    <w:p>
      <w:pPr>
        <w:pStyle w:val="Heading1"/>
        <w:spacing w:after="130" w:before="300"/>
      </w:pPr>
      <w:r>
        <w:t xml:space="preserve">Band 1 — Search &amp; Discovery AI</w:t>
      </w:r>
    </w:p>
    <w:p>
      <w:pPr>
        <w:spacing w:after="140" w:line="264"/>
      </w:pPr>
      <w:r>
        <w:t xml:space="preserve">Search &amp; Discovery AI extends the Search module (Part 5, Module 15) and Search Strategy (Part 6) with AI-driven relevance and recommendation capability, directly serving the TOR's own Enterprise Search requirement and the 'information retrieval' pain point named throughout the source documents.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3987"/>
        <w:gridCol w:w="3987"/>
        <w:gridCol w:w="3987"/>
      </w:tblGrid>
      <w:tr>
        <w:trPr>
          <w:tblHeader/>
        </w:trPr>
        <w:tc>
          <w:tcPr>
            <w:tcW w:type="dxa" w:w="227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Phase 1 Scope — TOR-Required, Proposal Commitment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Phase 2 Scope — Future Enhancement, Not a Proposal Commitment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Rationale for This Split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Semantic Search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Embedding-based search returning conceptually related results, not only exact keyword matches, across Documents and Knowledge Assets.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Cross-lingual semantic search (matching a query in one Nigerian language context to content authored in another) and personalized relevance tuning per user role.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Embedding-based search over a defined, moderate-sized document corpus is mature, vendor-supported technology directly extending the TOR's Enterprise Search requirement — a safe, evidenced Phase 1 commitment. Personalization requires usage-history volume the programme will not have at go-live.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Natural Language Search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Single-turn natural-language queries (e.g., 'risks raised in Kano state last quarter') translated into structured search and filter criteria.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Multi-turn conversational query refinement ('now show me only the high-impact ones') requiring session context and intent tracking.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Single-turn query translation is a well-scoped, testable capability built on the same embedding infrastructure as Semantic Search. Multi-turn conversational refinement shares more design and governance risk with the AI Assistant capability below than with basic search, and is phased alongside it.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Knowledge Recommendations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Rule-and-metadata-based 'related content' suggestions (same component, same taxonomy node, same project) surfaced alongside a Knowledge Asset or Document.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Machine-learning-based recommendations informed by actual usage and citation patterns, and eventually by the Knowledge Graph (Part 6, Knowledge Graph Strategy Phase 3-4).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Metadata-based relatedness is deterministic, explainable, and immediately available from the Taxonomy and Ontology already defined in Part 6. Usage-pattern-based recommendation requires accumulated usage data this early-stage platform will not yet have, and is explicitly sequenced to follow the Knowledge Graph Strategy's own phasing.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Knowledge Discovery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Structured faceted browsing and taxonomy-driven exploration of the Knowledge Repository (e.g., 'show me all lessons learned tagged Component 2, State: Kano').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Graph-based discovery of non-obvious cross-project patterns (e.g., a recurring risk type appearing across multiple, seemingly unrelated projects), dependent on the Knowledge Graph reaching at least Phase 3 maturity (Part 6).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Faceted, taxonomy-driven discovery requires only the Metadata Standards and Taxonomy already committed to in Part 6. Pattern-level discovery is explicitly gated behind the Knowledge Graph Strategy's own multi-phase build-out, which this Blueprint has never represented as a Phase 1 deliverable.</w:t>
            </w:r>
          </w:p>
        </w:tc>
      </w:tr>
    </w:tbl>
    <w:p>
      <w:pPr>
        <w:pStyle w:val="Heading1"/>
        <w:spacing w:after="130" w:before="300"/>
      </w:pPr>
      <w:r>
        <w:t xml:space="preserve">Band 2 — Content Intelligence AI</w:t>
      </w:r>
    </w:p>
    <w:p>
      <w:pPr>
        <w:spacing w:after="140" w:line="264"/>
      </w:pPr>
      <w:r>
        <w:t xml:space="preserve">Content Intelligence AI automates the extraction, classification, and comprehension of the platform's document and media content, directly addressing the TOR's document-fragmentation and manual-processing findings.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3987"/>
        <w:gridCol w:w="3987"/>
        <w:gridCol w:w="3987"/>
      </w:tblGrid>
      <w:tr>
        <w:trPr>
          <w:tblHeader/>
        </w:trPr>
        <w:tc>
          <w:tcPr>
            <w:tcW w:type="dxa" w:w="227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Phase 1 Scope — TOR-Required, Proposal Commitment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Phase 2 Scope — Future Enhancement, Not a Proposal Commitment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Rationale for This Split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Document Summarisation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AI-generated draft summaries of long Documents and Knowledge Assets, clearly labeled as AI-generated and requiring human review before publication.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Automated multi-document synthesis (e.g., an AI-generated cross-project quarterly synthesis brief) without a mandatory human authorship step.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Single-document summarisation with mandatory human review is a mature, well-bounded use of current generative AI, consistent with the Human Oversight principle (Band 4, below). Unsupervised multi-document synthesis raises materially higher accuracy and accountability risk and is not proposed as a Phase 1 commitment.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Automatic Classification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Machine-learning-assisted suggestion of Taxonomy, Component, and Classification metadata tags at document upload, with mandatory user confirmation before the tag is applied.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Fully automatic tagging without human confirmation, once suggestion accuracy has been validated over a sustained production period.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Suggestion-with-confirmation is a mature pattern (supervised classification models with a human-in-the-loop step) that directly reduces the metadata-tagging burden the Client Pain Analysis names, without removing accountability for a Classification decision. Full automation is deferred until accuracy is proven in production, per the Human Oversight principle.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OCR (Optical Character Recognition)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Text extraction from scanned documents and images (e.g., legacy paper records digitized during Data Migration, Part 7) to make them searchable and indexable.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Structured data extraction from complex scanned forms (e.g., automatically populating structured fields from a scanned procurement form) using advanced document-intelligence models.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Basic OCR for searchability is long-mature, low-risk commercial technology directly supporting the Data Migration effort in Part 7. Structured extraction from complex forms is a higher-accuracy-risk capability better proven incrementally, once a stable document-type library exists.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Speech-to-Text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committed as a Phase 1 capability.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Transcription of recorded meetings (supporting the Meetings module, Part 5) and field-mission voice notes into searchable text.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While mature as a standalone technology, meeting transcription was not named as a requirement in the TOR and is not the platform's core value proposition; it is offered as a Phase 2 productivity enhancement rather than a Phase 1 commitment, keeping the proposal's technology claims tightly matched to what is actually required.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Translation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committed as a Phase 1 capability.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Machine translation support for content authored or consumed across Nigeria's linguistically diverse state teams, and for donor-facing content requiring French or Arabic versions for AfDB or IsDB audiences respectively.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The working language of the programme's core documentation is English; translation is a plausible, genuinely useful future enhancement rather than a go-live necessity, and is deliberately kept out of the Phase 1 commitment to avoid an unevidenced multilingual-AI claim in the technical proposal.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Document Intelligence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Rule-based extraction of key structured fields (dates, amounts, reference numbers) from a small set of standardized, high-volume document types (e.g., approval forms).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General-purpose document understanding across arbitrary, non-standardized document types using advanced multimodal AI models.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Extraction from a small, standardized set of known document layouts is a well-scoped, testable Phase 1 capability. General-purpose extraction across arbitrary document types is a materially harder and less predictable capability, appropriately deferred.</w:t>
            </w:r>
          </w:p>
        </w:tc>
      </w:tr>
    </w:tbl>
    <w:p>
      <w:pPr>
        <w:pStyle w:val="Heading1"/>
        <w:spacing w:after="130" w:before="300"/>
      </w:pPr>
      <w:r>
        <w:t xml:space="preserve">Band 3 — Conversational &amp; Predictive AI</w:t>
      </w:r>
    </w:p>
    <w:p>
      <w:pPr>
        <w:spacing w:after="140" w:line="264"/>
      </w:pPr>
      <w:r>
        <w:t xml:space="preserve">Conversational &amp; Predictive AI covers the platform's most visible, and highest-governance-risk, AI capabilities — the ones most likely to be raised in evaluator questions and most important to phase honestly.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3987"/>
        <w:gridCol w:w="3987"/>
        <w:gridCol w:w="3987"/>
      </w:tblGrid>
      <w:tr>
        <w:trPr>
          <w:tblHeader/>
        </w:trPr>
        <w:tc>
          <w:tcPr>
            <w:tcW w:type="dxa" w:w="227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Phase 1 Scope — TOR-Required, Proposal Commitment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Phase 2 Scope — Future Enhancement, Not a Proposal Commitment</w:t>
            </w:r>
          </w:p>
        </w:tc>
        <w:tc>
          <w:tcPr>
            <w:tcW w:type="dxa" w:w="3987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Rationale for This Split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AI Assistant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committed as a Phase 1 capability.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conversational assistant helping users navigate the platform, draft routine documents, and answer 'how do I' questions by referencing the Knowledge Repository and Training content.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AI Assistant is the single capability in this Part carrying the highest risk of being an unevidenced, generic technology promise in a CV-only bid. It is deliberately named as a considered Phase 2 direction — showing forward thinking without claiming a capability that cannot be demonstrated before award.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Chatbot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committed as a Phase 1 capability.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Public Portal-facing chatbot answering common public queries about the SAPZ Programme, reducing routine inquiry load on communications staff.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Public-facing conversational AI carries reputational risk if it answers incorrectly on a government programme's public channel; it is appropriately deferred until the platform's core content and governance maturity (Part 6's Knowledge Graph Strategy, in particular) can support reliably grounded responses.</w:t>
            </w:r>
          </w:p>
        </w:tc>
      </w:tr>
      <w:tr>
        <w:tc>
          <w:tcPr>
            <w:tcW w:type="dxa" w:w="227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Predictive Analytics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committed as a Phase 1 capability, beyond the threshold-based alerting already specified functionally in the Executive Dashboard (Part 5, Module 1) and Business Intelligence (Part 5, Module 18) modules.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Statistical or machine-learning-based forecasting (e.g., predicting which projects are at elevated risk of delay based on historical patterns), as previewed in Part 6's Knowledge Graph Strategy Phase 4 and Part 5's Business Intelligence module description.</w:t>
            </w:r>
          </w:p>
        </w:tc>
        <w:tc>
          <w:tcPr>
            <w:tcW w:type="dxa" w:w="3987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Threshold-based alerting is deterministic and explainable, and was already scoped as a Phase 1 Business Intelligence feature in Part 5. True predictive modeling requires a volume of historical, multi-year data this newly launched platform will not possess at go-live, and was already sequenced to Knowledge Graph Phase 4 in Part 6 — this Part does not change that sequencing, only makes it explicit from an AI-strategy lens.</w:t>
            </w:r>
          </w:p>
        </w:tc>
      </w:tr>
    </w:tbl>
    <w:p>
      <w:pPr>
        <w:pStyle w:val="Heading1"/>
        <w:spacing w:after="130" w:before="300"/>
      </w:pPr>
      <w:r>
        <w:t xml:space="preserve">Band 4 — AI Governance &amp; Responsible Use</w:t>
      </w:r>
    </w:p>
    <w:p>
      <w:pPr>
        <w:spacing w:after="140" w:line="264"/>
      </w:pPr>
      <w:r>
        <w:t xml:space="preserve">AI Governance &amp; Responsible Use is deliberately not phased the way Bands 1 through 3 are: every one of these four items must be in place from the moment any Phase 1 AI capability goes live, not deferred to Phase 2 alongside the more ambitious capabilities they would otherwise need to govern. Treating governance as a 'later' concern is precisely the pattern that creates the overpromising and accountability risk this entire Part is designed to avoid.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6123"/>
        <w:gridCol w:w="6123"/>
      </w:tblGrid>
      <w:tr>
        <w:trPr>
          <w:tblHeader/>
        </w:trPr>
        <w:tc>
          <w:tcPr>
            <w:tcW w:type="dxa" w:w="199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Governance Area</w:t>
            </w:r>
          </w:p>
        </w:tc>
        <w:tc>
          <w:tcPr>
            <w:tcW w:type="dxa" w:w="6123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6123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Applies From</w:t>
            </w:r>
          </w:p>
        </w:tc>
      </w:tr>
      <w:tr>
        <w:tc>
          <w:tcPr>
            <w:tcW w:type="dxa" w:w="1994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AI Governance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defined approval process, owned by the Data &amp; Content Governance Board (Part 2), for any new AI capability before it goes live — covering data sources used, accuracy testing performed, and rollback plan.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Phase 1, go-live — governs even the narrowest Phase 1 capability (e.g., Automatic Classification suggestions).</w:t>
            </w:r>
          </w:p>
        </w:tc>
      </w:tr>
      <w:tr>
        <w:tc>
          <w:tcPr>
            <w:tcW w:type="dxa" w:w="1994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Ethical AI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Explicit review of each AI capability for bias risk (e.g., whether Automatic Classification suggestions perform consistently across all states and components, not only the best-represented ones) before production release.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Phase 1, go-live.</w:t>
            </w:r>
          </w:p>
        </w:tc>
      </w:tr>
      <w:tr>
        <w:tc>
          <w:tcPr>
            <w:tcW w:type="dxa" w:w="1994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Responsible AI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Transparency to users that a given output is AI-generated or AI-assisted (per Document Summarisation and Automatic Classification's explicit labeling requirement, above), plus a documented data-handling policy for any content processed by an AI capability, aligned to Part 7's Data Privacy and NDPR framework.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Phase 1, go-live.</w:t>
            </w:r>
          </w:p>
        </w:tc>
      </w:tr>
      <w:tr>
        <w:tc>
          <w:tcPr>
            <w:tcW w:type="dxa" w:w="1994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Human Oversight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mandatory human-in-the-loop confirmation step for every Phase 1 AI capability that affects a record of programme business (Document Summarisation, Automatic Classification) — no AI output is treated as final without a human decision point, consistent with every Phase 1 item's design above.</w:t>
            </w:r>
          </w:p>
        </w:tc>
        <w:tc>
          <w:tcPr>
            <w:tcW w:type="dxa" w:w="6123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Phase 1, go-live — and remains a permanent design constraint carried into any Phase 2 capability's own design, not a temporary Phase 1 safeguard to be relaxed later.</w:t>
            </w:r>
          </w:p>
        </w:tc>
      </w:tr>
    </w:tbl>
    <w:p>
      <w:pPr>
        <w:pStyle w:val="Heading1"/>
        <w:spacing w:after="130" w:before="300"/>
      </w:pPr>
      <w:r>
        <w:t xml:space="preserve">Continuing This Blueprint</w:t>
      </w:r>
    </w:p>
    <w:p>
      <w:pPr>
        <w:spacing w:after="140" w:line="264"/>
      </w:pPr>
      <w:r>
        <w:t xml:space="preserve">Part 10 completes the platform's AI Strategy with an explicit, evidence-based line between what this Blueprint commits to at Phase 1 and what it offers as a considered Phase 2 direction: mature, well-scoped, human-supervised capabilities (Semantic Search, Natural Language single-turn query, metadata-based Knowledge Recommendations, faceted Knowledge Discovery, supervised Document Summarisation and Automatic Classification with mandatory review, and standard OCR) are proposal commitments; higher-maturity-dependent or reputationally sensitive capabilities (AI Assistant, Chatbot, true Predictive Analytics, Speech-to-Text, Translation, general-purpose Document Intelligence, and every Phase 2 extension named alongside a Band 1-3 capability above) are named as roadmap direction, not scored claims. AI Governance, Ethical AI, Responsible AI, and Human Oversight apply from day one regardless of phase, so no AI capability — however modest — ships ungoverned.</w:t>
      </w:r>
    </w:p>
    <w:p>
      <w:pPr>
        <w:spacing w:after="140" w:line="264"/>
      </w:pPr>
      <w:r>
        <w:t xml:space="preserve">Part 11 will close this Blueprint with Architecture Governance and the Implementation Roadmap, sequencing delivery of all ten preceding Parts — including this Part's Phase 1/Phase 2 AI split — into a single, coherent, time-phased delivery plan.</w:t>
      </w:r>
    </w:p>
    <w:sectPr>
      <w:pgSz w:w="15840" w:h="12240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2026-07-17T21:06:36.553Z</dcterms:created>
  <dcterms:modified xsi:type="dcterms:W3CDTF">2026-07-17T21:06:36.553Z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