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4"/>
          <w:szCs w:val="34"/>
        </w:rPr>
        <w:t xml:space="preserve">Enterprise Architecture &amp; Digital Transformation Blueprint</w:t>
      </w:r>
    </w:p>
    <w:p>
      <w:pPr>
        <w:spacing w:after="60"/>
        <w:jc w:val="center"/>
      </w:pPr>
      <w:r>
        <w:rPr>
          <w:b/>
          <w:bCs/>
          <w:color w:val="1F3864"/>
          <w:sz w:val="26"/>
          <w:szCs w:val="26"/>
        </w:rPr>
        <w:t xml:space="preserve">Part 1 of 11 — Enterprise Vision</w:t>
      </w:r>
    </w:p>
    <w:p>
      <w:pPr>
        <w:spacing w:after="300"/>
        <w:jc w:val="center"/>
      </w:pPr>
      <w:r>
        <w:rPr>
          <w:i/>
          <w:iCs/>
          <w:color w:val="555555"/>
          <w:sz w:val="19"/>
          <w:szCs w:val="19"/>
        </w:rPr>
        <w:t xml:space="preserve">Prepared to TOGAF ADM Phase A conventions, referencing Zachman, COBIT, ITIL 4, ISO 27001/20000, DAMA-DMBOK, ArchiMate, and the AWS/Azure Well-Architected frameworks</w:t>
      </w:r>
    </w:p>
    <w:p>
      <w:pPr>
        <w:pStyle w:val="Heading1"/>
        <w:spacing w:after="140" w:before="320"/>
      </w:pPr>
      <w:r>
        <w:t xml:space="preserve">0. About This Blueprint</w:t>
      </w:r>
    </w:p>
    <w:p>
      <w:pPr>
        <w:spacing w:after="160" w:line="276"/>
      </w:pPr>
      <w:r>
        <w:t xml:space="preserve">This is Part 1 of the SAPZ Enterprise Architecture &amp; Digital Transformation Blueprint, covering Enterprise Vision. It is written to TOGAF Architecture Development Method Phase A conventions — the phase in which vision, drivers, objectives, and architecture principles are established before any capability, process, or technology decision is made — and it draws on Zachman Framework discipline to keep the Why, What, and Who perspectives explicit at the planner and owner rows before the architecture descends into How, Where, and When at the designer and builder rows in later parts of this blueprint.</w:t>
      </w:r>
    </w:p>
    <w:p>
      <w:pPr>
        <w:spacing w:after="160" w:line="276"/>
      </w:pPr>
      <w:r>
        <w:t xml:space="preserve">Two governing constraints apply to everything in this document and in the parts that follow. First, the REOI, the TOR, and the Annex 1 Evaluation Criteria remain the contractual source of truth for scope and eligibility; nothing in this blueprint substitutes for or overrides them. Second, the Procurement Intelligence Report — comprising the Requirements Traceability Matrix, Client Pain Analysis, Solution Strategy, Evaluation Strategy, Competitor Analysis, Winning Bid Strategy, Deliverable Roadmap, and Master Bid &amp; Delivery Strategy already produced for this pursuit — is treated as the governing strategy document for everything in this blueprint. Where that report reached a conclusion, this blueprint builds on it rather than revisiting it; where the TOR is silent on a matter an enterprise architect would ordinarily expect a client to specify, this blueprint says so explicitly and recommends what should be added, consistent with the Master document's own established practice of naming gaps rather than assuming them away.</w:t>
      </w:r>
    </w:p>
    <w:p>
      <w:pPr>
        <w:spacing w:after="160" w:line="276"/>
      </w:pPr>
      <w:r>
        <w:t xml:space="preserve">Part 1 covers Enterprise Vision only: Current State, Future State, Transformation Vision, Business Drivers, Strategic Objectives, and five sets of governing principles — Enterprise, Architecture, Digital Government, Knowledge Management, Information Governance, and Technology. Parts 2 through 11 — Business Capabilities, Business Processes, Information Architecture, Application Architecture, Integration Architecture, Technology Architecture, Security Architecture, Deployment Architecture, Governance, and the Implementation Roadmap — follow the same TOGAF ADM-inspired sequence and are addressed in subsequent parts of this blueprint.</w:t>
      </w:r>
    </w:p>
    <w:p>
      <w:pPr>
        <w:pStyle w:val="Heading1"/>
        <w:spacing w:after="140" w:before="320"/>
      </w:pPr>
      <w:r>
        <w:t xml:space="preserve">1. Current State (As-Is)</w:t>
      </w:r>
    </w:p>
    <w:p>
      <w:pPr>
        <w:spacing w:after="160" w:line="276"/>
      </w:pPr>
      <w:r>
        <w:t xml:space="preserve">A TOGAF-disciplined Current State assessment addresses the Zachman Framework's Scope (Contextual) and Business Concepts (Conceptual) rows, from the Planner's and Owner's perspectives — in plain terms, what SAPZ's own Problem Statement already tells us about how the programme works today, before any question of systems or technology is raised.</w:t>
      </w:r>
    </w:p>
    <w:p>
      <w:pPr>
        <w:spacing w:after="160" w:line="276"/>
      </w:pPr>
      <w:r>
        <w:t xml:space="preserve">The as-is Business Architecture, drawn directly from the TOR's own Section 1.1 and cross-referenced against the seventeen root-caused pain points in the Procurement Intelligence Report's Client Pain Analysis, describes a programme operating with what this blueprint classifies, using the capability-maturity language already introduced in the Master document, as Level 1 (ad hoc) maturity across its core information-management capabilities: document storage is fragmented and decentralized across seven states and the FCT with no shared repository or taxonomy; approval and reporting workflows are manual and paper- or email-based, with no automated routing, escalation, or audit trail; programme visibility depends on periodic, manually compiled reporting rather than any continuous or real-time capability; and knowledge capture is inconsistent and undocumented, with no named stewardship function and no structured repository serving external stakeholders.</w:t>
      </w:r>
    </w:p>
    <w:p>
      <w:pPr>
        <w:spacing w:after="160" w:line="276"/>
      </w:pPr>
      <w:r>
        <w:t xml:space="preserve">Applying a COBIT-style goals-cascade lens to this baseline is instructive: SAPZ's enterprise goals (smallholder income growth, food security, climate resilience, as stated in the TOR's Section 1 programme description) are not directly served or blocked by the current state of document management — but the enabling IT-related goals that should support those enterprise goals (reliable information for decision-making, managed programme risk, compliance transparency to three co-financing institutions) are actively undermined by it, which is precisely why this ICT sub-assignment exists inside a fundamentally agricultural development programme, a framing this blueprint inherits directly from the Master document's own first-principles observation that this is not, at bottom, a technology programme.</w:t>
      </w:r>
    </w:p>
    <w:p>
      <w:pPr>
        <w:spacing w:after="160" w:line="276"/>
      </w:pPr>
      <w:r>
        <w:t xml:space="preserve">One current-state gap deserves explicit flagging because the TOR is silent on it and an enterprise architect would not ordinarily accept that silence without comment: there is no evidence in any provided document of an existing enterprise architecture function, EA repository, or architecture governance body within SAPZ or its National Programme Coordination Office. This is not a criticism of the TOR — ICS-scale ICT assignments do not typically expect a client to have pre-existing EA maturity — but it is a material baseline fact this blueprint must design around, since Part 11 of this blueprint (Governance) cannot assume any existing architecture review capability to build upon, and must instead specify how a lightweight version of that capability is established during this engagement, consistent with the sustainability and capability-maturity handover already committed to in the Procurement Intelligence Report.</w:t>
      </w:r>
    </w:p>
    <w:p>
      <w:pPr>
        <w:pStyle w:val="Heading1"/>
        <w:spacing w:after="140" w:before="320"/>
      </w:pPr>
      <w:r>
        <w:t xml:space="preserve">2. Future State (To-Be)</w:t>
      </w:r>
    </w:p>
    <w:p>
      <w:pPr>
        <w:spacing w:after="160" w:line="276"/>
      </w:pPr>
      <w:r>
        <w:t xml:space="preserve">The Future State this blueprint targets is a Level 3 capability maturity across the same core information-management capabilities assessed above, using the same three-level model introduced in the Master document: systematized, governed information management, operated substantially by SAPZ's own KM and ICT Units without permanent consultant dependency, within a realistic period following go-live rather than claimed as fully achieved at the twelve-week contract's own end date.</w:t>
      </w:r>
    </w:p>
    <w:p>
      <w:pPr>
        <w:spacing w:after="160" w:line="276"/>
      </w:pPr>
      <w:r>
        <w:t xml:space="preserve">In Business Architecture terms, the target operating model replaces today's fragmented, state-by-state, ad hoc practice with what this blueprint terms federated-but-governed operation: each state retains operational ownership of its own day-to-day content and workflow activity, but all activity occurs within one shared taxonomy, one shared metadata standard, and one shared Data &amp; Content Governance Charter, adopted as a formal instrument during the Inception phase rather than existing only as guidance embedded in a report. This target state directly answers the current-state finding that SAPZ's coordination weaknesses are, per the Procurement Intelligence Report's own root-cause diagnosis, disproportionately governance failures rather than pure technology gaps — the future state architecture therefore treats governance as a precondition the technology is built to enforce, not a byproduct of the technology being deployed.</w:t>
      </w:r>
    </w:p>
    <w:p>
      <w:pPr>
        <w:spacing w:after="160" w:line="276"/>
      </w:pPr>
      <w:r>
        <w:t xml:space="preserve">In Information Architecture terms — developed fully in Part 4 of this blueprint but previewed here because it shapes the vision itself — the target state establishes a single-source-of-truth model in which the Enterprise System Management platform is the system of record for internal programme documentation, workflow, and task data, and the Central Knowledge Repository is the system of record for curated, publication-ready knowledge assets, with each system referencing rather than duplicating the other's authoritative data wherever both have a legitimate interest in the same underlying information.</w:t>
      </w:r>
    </w:p>
    <w:p>
      <w:pPr>
        <w:spacing w:after="160" w:line="276"/>
      </w:pPr>
      <w:r>
        <w:t xml:space="preserve">In Technology Architecture terms — developed fully in Part 7 — the target state favors managed cloud services and configured, mature commercial or open-source platforms over custom-built infrastructure, consistent with the build-versus-configure decision framework already established in the Procurement Intelligence Report, chosen specifically because it protects both the twelve-week delivery schedule and the post-project sustainability the TOR's own conclusion names as an explicit goal.</w:t>
      </w:r>
    </w:p>
    <w:p>
      <w:pPr>
        <w:pStyle w:val="Heading1"/>
        <w:spacing w:after="140" w:before="320"/>
      </w:pPr>
      <w:r>
        <w:t xml:space="preserve">3. Transformation Vision</w:t>
      </w:r>
    </w:p>
    <w:p>
      <w:pPr>
        <w:spacing w:after="160" w:line="276"/>
      </w:pPr>
      <w:r>
        <w:t xml:space="preserve">The vision statement governing this entire blueprint, stated in a single sentence in the TOGAF tradition of a concise, board-level articulation: SAPZ will operate as a single, transparent, evidence-driven programme — coordinated seamlessly across seven states and the Federal Capital Territory, accountable to three co-financing development institutions, and visible to the public it ultimately serves — enabled, but not defined, by two purpose-built digital systems that make institutional coordination and knowledge sharing a designed capability rather than an unmanaged byproduct of manual effort.</w:t>
      </w:r>
    </w:p>
    <w:p>
      <w:pPr>
        <w:spacing w:after="160" w:line="276"/>
      </w:pPr>
      <w:r>
        <w:t xml:space="preserve">This vision is deliberately written to keep the agricultural development mission, not the technology, as the subject of the sentence, for the same reason the Procurement Intelligence Report insisted on this framing throughout: an evaluation committee, a steering committee, and an IFAD technical reviewer alike will each, in their own way, be testing whether the architecture serves SAPZ's actual development objectives or merely delivers software that is technically competent but organizationally beside the point. Every subsequent part of this blueprint is accountable to this vision statement; where a technology or process choice does not visibly trace back to it, that choice should be treated as a candidate for descoping, consistent with the MoSCoW prioritization discipline already applied to requirements in the Procurement Intelligence Report.</w:t>
      </w:r>
    </w:p>
    <w:p>
      <w:pPr>
        <w:spacing w:after="160" w:line="276"/>
      </w:pPr>
      <w:r>
        <w:t xml:space="preserve">The transformation this vision describes is, in the terminology this blueprint adopts throughout, an institutional digital transformation rather than a system replacement project: it changes how SAPZ coordinates, decides, and demonstrates accountability, using ESM and CKR as the enabling instruments of that change rather than as the change itself. This distinction determines the entire shape of the roadmap in Part 11 of this blueprint, which sequences governance and capability-building activities alongside, and in places ahead of, the purely technical build activities.</w:t>
      </w:r>
    </w:p>
    <w:p>
      <w:pPr>
        <w:pStyle w:val="Heading1"/>
        <w:spacing w:after="140" w:before="320"/>
      </w:pPr>
      <w:r>
        <w:t xml:space="preserve">4. Business Drivers</w:t>
      </w:r>
    </w:p>
    <w:p>
      <w:pPr>
        <w:spacing w:after="160" w:line="276"/>
      </w:pPr>
      <w:r>
        <w:t xml:space="preserve">Three categories of driver shape this transformation, and distinguishing them clarifies which drivers the architecture can directly satisfy and which it can only support.</w:t>
      </w:r>
    </w:p>
    <w:p>
      <w:pPr>
        <w:spacing w:after="160" w:line="276"/>
      </w:pPr>
      <w:r>
        <w:t xml:space="preserve">Internal programme drivers, drawn directly from the TOR's own Problem Statement, are the most immediate: fragmented document storage, manual workflow dependency, weak visibility into implementation progress, weak national-state coordination, inadequate knowledge capture, and difficulty accessing reliable information. These are the drivers this architecture is directly and primarily accountable for addressing.</w:t>
      </w:r>
    </w:p>
    <w:p>
      <w:pPr>
        <w:spacing w:after="160" w:line="276"/>
      </w:pPr>
      <w:r>
        <w:t xml:space="preserve">External and regulatory drivers include the Nigeria Data Protection Regulation, which governs any system handling personal or sensitive government data within Nigeria, and the broader Nigerian federal digital-government policy environment within which any programme of this kind now operates, both of which this blueprint treats as binding constraints on the Information Governance and Security Architecture parts that follow. They also include each co-financing institution's own fiduciary, reporting, and — per the tri-donor data-governance risk already identified in the Procurement Intelligence Report — potentially differing data-handling expectations, which this architecture can only partially satisfy directly and must otherwise manage through the governance mechanisms described in Part 10 of this blueprint.</w:t>
      </w:r>
    </w:p>
    <w:p>
      <w:pPr>
        <w:spacing w:after="160" w:line="276"/>
      </w:pPr>
      <w:r>
        <w:t xml:space="preserve">Programmatic and structural drivers are specific to SAPZ's own design: a federal programme spanning seven states plus the FCT, under a National Programme Coordination Office with limited direct authority over state-level administrative behavior, co-financed by three institutions with distinct but overlapping supervision interests, and delivered under a twelve-week Individual Consultant Selection contract that constrains how much architectural ambition can realistically be attempted within the initial engagement versus deferred to a documented post-go-live roadmap, consistent with the Phase 1/Phase 2 discipline already established in the Procurement Intelligence Report's Solution Strategy.</w:t>
      </w:r>
    </w:p>
    <w:p>
      <w:pPr>
        <w:pStyle w:val="Heading1"/>
        <w:spacing w:after="140" w:before="320"/>
      </w:pPr>
      <w:r>
        <w:t xml:space="preserve">5. Strategic Objectives</w:t>
      </w:r>
    </w:p>
    <w:p>
      <w:pPr>
        <w:spacing w:after="160" w:line="276"/>
      </w:pPr>
      <w:r>
        <w:t xml:space="preserve">The TOR's own Section 2 objectives are restated here in enterprise-architecture terms, each attached to a measurable target state rather than left as an aspirational statement, consistent with COBIT's own goals-cascade discipline of translating enterprise and IT-related goals into specific, assessable enabler goals.</w:t>
      </w:r>
    </w:p>
    <w:p>
      <w:pPr>
        <w:spacing w:after="160" w:line="276"/>
      </w:pPr>
      <w:r>
        <w:t xml:space="preserve">For the Enterprise System Management platform: establish a centralized digital platform for programme documentation (target: single system of record for internal documents across all eight jurisdictions within the engagement period); automate workflows for planning, approvals, and reporting (target: multi-level approval routing operating for all four named document types — work plans, reports, memos, procurement documents — with full audit trail); enable conversion of plans into actionable tasks (target: demonstrable plan-to-task traceability for at least one full planning cycle before engagement close); provide real-time dashboards for monitoring and evaluation (target: at least the three-tier dashboard structure specified in Part 6 of this blueprint operating against live or near-live data at go-live); and strengthen accountability through audit trails (target: complete, tamper-evident logging of every workflow action from go-live onward).</w:t>
      </w:r>
    </w:p>
    <w:p>
      <w:pPr>
        <w:spacing w:after="160" w:line="276"/>
      </w:pPr>
      <w:r>
        <w:t xml:space="preserve">For the Central Knowledge Repository: develop a structured, accessible repository for knowledge assets (target: the full content taxonomy specified in the TOR's own Section 3B.3 operating in production); improve access to publications, reports, tools, and datasets (target: functional search and filtering meeting the usability standard specified in Part 5 of this blueprint); promote knowledge sharing among stakeholders (target: at least one functioning cross-state contribution mechanism, not only federal-level publishing, consistent with the Knowledge Management Principles below); enhance transparency and programme visibility (target: public integration with the existing SAPZ website operating at go-live); and support research, policy development, and learning (target: usage analytics operating from go-live, feeding the knowledge-curation feedback loop specified in Part 4 of this blueprint).</w:t>
      </w:r>
    </w:p>
    <w:p>
      <w:pPr>
        <w:spacing w:after="160" w:line="276"/>
      </w:pPr>
      <w:r>
        <w:t xml:space="preserve">These targets are stated as engagement-period commitments where the twelve-week schedule realistically supports them, and as post-go-live trajectory commitments, tied to the three- and twelve-month success milestones already defined in the Master document, where full achievement genuinely requires more time than the contract itself provides. This distinction is stated explicitly here, at the vision level, so that no later part of this blueprint is tempted to overstate what a twelve-week engagement can achieve outright.</w:t>
      </w:r>
    </w:p>
    <w:p>
      <w:pPr>
        <w:pStyle w:val="Heading1"/>
        <w:spacing w:after="140" w:before="320"/>
      </w:pPr>
      <w:r>
        <w:t xml:space="preserve">6. Enterprise Principles</w:t>
      </w:r>
    </w:p>
    <w:p>
      <w:pPr>
        <w:spacing w:after="160"/>
      </w:pPr>
      <w:r>
        <w:rPr>
          <w:i/>
          <w:iCs/>
          <w:color w:val="555555"/>
          <w:sz w:val="19"/>
          <w:szCs w:val="19"/>
        </w:rPr>
        <w:t xml:space="preserve">Business-level principles governing the whole SAPZ digital transformation, independent of any specific system or technology choice.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rPr>
          <w:tblHeader/>
        </w:trPr>
        <w:tc>
          <w:tcPr>
            <w:tcW w:type="dxa" w:w="2400"/>
            <w:shd w:fill="1F3864" w:val="clear"/>
            <w:tcMar>
              <w:top w:type="dxa" w:w="90"/>
              <w:left w:type="dxa" w:w="100"/>
              <w:bottom w:type="dxa" w:w="90"/>
              <w:right w:type="dxa" w:w="100"/>
            </w:tcMar>
            <w:vAlign w:val="top"/>
          </w:tcPr>
          <w:p>
            <w:r>
              <w:rPr>
                <w:b/>
                <w:bCs/>
                <w:color w:val="FFFFFF"/>
                <w:sz w:val="17"/>
                <w:szCs w:val="17"/>
              </w:rPr>
              <w:t xml:space="preserve">Principle</w:t>
            </w:r>
          </w:p>
        </w:tc>
        <w:tc>
          <w:tcPr>
            <w:tcW w:type="dxa" w:w="2560"/>
            <w:shd w:fill="1F3864" w:val="clear"/>
            <w:tcMar>
              <w:top w:type="dxa" w:w="90"/>
              <w:left w:type="dxa" w:w="100"/>
              <w:bottom w:type="dxa" w:w="90"/>
              <w:right w:type="dxa" w:w="100"/>
            </w:tcMar>
            <w:vAlign w:val="top"/>
          </w:tcPr>
          <w:p>
            <w:r>
              <w:rPr>
                <w:b/>
                <w:bCs/>
                <w:color w:val="FFFFFF"/>
                <w:sz w:val="17"/>
                <w:szCs w:val="17"/>
              </w:rPr>
              <w:t xml:space="preserve">Statement</w:t>
            </w:r>
          </w:p>
        </w:tc>
        <w:tc>
          <w:tcPr>
            <w:tcW w:type="dxa" w:w="2560"/>
            <w:shd w:fill="1F3864" w:val="clear"/>
            <w:tcMar>
              <w:top w:type="dxa" w:w="90"/>
              <w:left w:type="dxa" w:w="100"/>
              <w:bottom w:type="dxa" w:w="90"/>
              <w:right w:type="dxa" w:w="100"/>
            </w:tcMar>
            <w:vAlign w:val="top"/>
          </w:tcPr>
          <w:p>
            <w:r>
              <w:rPr>
                <w:b/>
                <w:bCs/>
                <w:color w:val="FFFFFF"/>
                <w:sz w:val="17"/>
                <w:szCs w:val="17"/>
              </w:rPr>
              <w:t xml:space="preserve">Rationale</w:t>
            </w:r>
          </w:p>
        </w:tc>
        <w:tc>
          <w:tcPr>
            <w:tcW w:type="dxa" w:w="2560"/>
            <w:shd w:fill="1F3864" w:val="clear"/>
            <w:tcMar>
              <w:top w:type="dxa" w:w="90"/>
              <w:left w:type="dxa" w:w="100"/>
              <w:bottom w:type="dxa" w:w="90"/>
              <w:right w:type="dxa" w:w="100"/>
            </w:tcMar>
            <w:vAlign w:val="top"/>
          </w:tcPr>
          <w:p>
            <w:r>
              <w:rPr>
                <w:b/>
                <w:bCs/>
                <w:color w:val="FFFFFF"/>
                <w:sz w:val="17"/>
                <w:szCs w:val="17"/>
              </w:rPr>
              <w:t xml:space="preserve">Implications</w:t>
            </w:r>
          </w:p>
        </w:tc>
      </w:tr>
      <w:tr>
        <w:tc>
          <w:tcPr>
            <w:tcW w:type="dxa" w:w="2400"/>
            <w:tcMar>
              <w:top w:type="dxa" w:w="90"/>
              <w:left w:type="dxa" w:w="100"/>
              <w:bottom w:type="dxa" w:w="90"/>
              <w:right w:type="dxa" w:w="100"/>
            </w:tcMar>
            <w:vAlign w:val="top"/>
          </w:tcPr>
          <w:p>
            <w:r>
              <w:rPr>
                <w:b/>
                <w:bCs/>
                <w:color w:val="000000"/>
                <w:sz w:val="17"/>
                <w:szCs w:val="17"/>
              </w:rPr>
              <w:t xml:space="preserve">Digital as an Enabler, Not the Objective</w:t>
            </w:r>
          </w:p>
        </w:tc>
        <w:tc>
          <w:tcPr>
            <w:tcW w:type="dxa" w:w="2560"/>
            <w:tcMar>
              <w:top w:type="dxa" w:w="90"/>
              <w:left w:type="dxa" w:w="100"/>
              <w:bottom w:type="dxa" w:w="90"/>
              <w:right w:type="dxa" w:w="100"/>
            </w:tcMar>
            <w:vAlign w:val="top"/>
          </w:tcPr>
          <w:p>
            <w:r>
              <w:rPr>
                <w:b w:val="false"/>
                <w:bCs w:val="false"/>
                <w:color w:val="000000"/>
                <w:sz w:val="17"/>
                <w:szCs w:val="17"/>
              </w:rPr>
              <w:t xml:space="preserve">Digital systems exist to strengthen SAPZ's agricultural development mission; they are not an end in themselves.</w:t>
            </w:r>
          </w:p>
        </w:tc>
        <w:tc>
          <w:tcPr>
            <w:tcW w:type="dxa" w:w="2560"/>
            <w:tcMar>
              <w:top w:type="dxa" w:w="90"/>
              <w:left w:type="dxa" w:w="100"/>
              <w:bottom w:type="dxa" w:w="90"/>
              <w:right w:type="dxa" w:w="100"/>
            </w:tcMar>
            <w:vAlign w:val="top"/>
          </w:tcPr>
          <w:p>
            <w:r>
              <w:rPr>
                <w:b w:val="false"/>
                <w:bCs w:val="false"/>
                <w:color w:val="000000"/>
                <w:sz w:val="17"/>
                <w:szCs w:val="17"/>
              </w:rPr>
              <w:t xml:space="preserve">The TOR frames ESM/CKR as solving coordination and knowledge-management problems in service of the broader programme, not as a standalone technology initiative.</w:t>
            </w:r>
          </w:p>
        </w:tc>
        <w:tc>
          <w:tcPr>
            <w:tcW w:type="dxa" w:w="2560"/>
            <w:tcMar>
              <w:top w:type="dxa" w:w="90"/>
              <w:left w:type="dxa" w:w="100"/>
              <w:bottom w:type="dxa" w:w="90"/>
              <w:right w:type="dxa" w:w="100"/>
            </w:tcMar>
            <w:vAlign w:val="top"/>
          </w:tcPr>
          <w:p>
            <w:r>
              <w:rPr>
                <w:b w:val="false"/>
                <w:bCs w:val="false"/>
                <w:color w:val="000000"/>
                <w:sz w:val="17"/>
                <w:szCs w:val="17"/>
              </w:rPr>
              <w:t xml:space="preserve">Every design decision must trace to a named SAPZ business outcome; features with no clear line to programme objectives are deprioritized regardless of technical appeal.</w:t>
            </w:r>
          </w:p>
        </w:tc>
      </w:tr>
      <w:tr>
        <w:tc>
          <w:tcPr>
            <w:tcW w:type="dxa" w:w="2400"/>
            <w:tcMar>
              <w:top w:type="dxa" w:w="90"/>
              <w:left w:type="dxa" w:w="100"/>
              <w:bottom w:type="dxa" w:w="90"/>
              <w:right w:type="dxa" w:w="100"/>
            </w:tcMar>
            <w:vAlign w:val="top"/>
          </w:tcPr>
          <w:p>
            <w:r>
              <w:rPr>
                <w:b/>
                <w:bCs/>
                <w:color w:val="000000"/>
                <w:sz w:val="17"/>
                <w:szCs w:val="17"/>
              </w:rPr>
              <w:t xml:space="preserve">One Programme, Differentiated Delivery</w:t>
            </w:r>
          </w:p>
        </w:tc>
        <w:tc>
          <w:tcPr>
            <w:tcW w:type="dxa" w:w="2560"/>
            <w:tcMar>
              <w:top w:type="dxa" w:w="90"/>
              <w:left w:type="dxa" w:w="100"/>
              <w:bottom w:type="dxa" w:w="90"/>
              <w:right w:type="dxa" w:w="100"/>
            </w:tcMar>
            <w:vAlign w:val="top"/>
          </w:tcPr>
          <w:p>
            <w:r>
              <w:rPr>
                <w:b w:val="false"/>
                <w:bCs w:val="false"/>
                <w:color w:val="000000"/>
                <w:sz w:val="17"/>
                <w:szCs w:val="17"/>
              </w:rPr>
              <w:t xml:space="preserve">SAPZ operates as a single national programme but must accommodate genuine variation in capacity and context across seven states and the FCT.</w:t>
            </w:r>
          </w:p>
        </w:tc>
        <w:tc>
          <w:tcPr>
            <w:tcW w:type="dxa" w:w="2560"/>
            <w:tcMar>
              <w:top w:type="dxa" w:w="90"/>
              <w:left w:type="dxa" w:w="100"/>
              <w:bottom w:type="dxa" w:w="90"/>
              <w:right w:type="dxa" w:w="100"/>
            </w:tcMar>
            <w:vAlign w:val="top"/>
          </w:tcPr>
          <w:p>
            <w:r>
              <w:rPr>
                <w:b w:val="false"/>
                <w:bCs w:val="false"/>
                <w:color w:val="000000"/>
                <w:sz w:val="17"/>
                <w:szCs w:val="17"/>
              </w:rPr>
              <w:t xml:space="preserve">Nigeria's federal structure gives NPCO limited direct authority over state-level administrative behavior; a uniform delivery pace is unrealistic.</w:t>
            </w:r>
          </w:p>
        </w:tc>
        <w:tc>
          <w:tcPr>
            <w:tcW w:type="dxa" w:w="2560"/>
            <w:tcMar>
              <w:top w:type="dxa" w:w="90"/>
              <w:left w:type="dxa" w:w="100"/>
              <w:bottom w:type="dxa" w:w="90"/>
              <w:right w:type="dxa" w:w="100"/>
            </w:tcMar>
            <w:vAlign w:val="top"/>
          </w:tcPr>
          <w:p>
            <w:r>
              <w:rPr>
                <w:b w:val="false"/>
                <w:bCs w:val="false"/>
                <w:color w:val="000000"/>
                <w:sz w:val="17"/>
                <w:szCs w:val="17"/>
              </w:rPr>
              <w:t xml:space="preserve">Central standards (taxonomy, governance, security) are mandatory and non-negotiable; local delivery pace and support intensity may vary by state.</w:t>
            </w:r>
          </w:p>
        </w:tc>
      </w:tr>
      <w:tr>
        <w:tc>
          <w:tcPr>
            <w:tcW w:type="dxa" w:w="2400"/>
            <w:tcMar>
              <w:top w:type="dxa" w:w="90"/>
              <w:left w:type="dxa" w:w="100"/>
              <w:bottom w:type="dxa" w:w="90"/>
              <w:right w:type="dxa" w:w="100"/>
            </w:tcMar>
            <w:vAlign w:val="top"/>
          </w:tcPr>
          <w:p>
            <w:r>
              <w:rPr>
                <w:b/>
                <w:bCs/>
                <w:color w:val="000000"/>
                <w:sz w:val="17"/>
                <w:szCs w:val="17"/>
              </w:rPr>
              <w:t xml:space="preserve">Sustainability Over Short-Term Convenience</w:t>
            </w:r>
          </w:p>
        </w:tc>
        <w:tc>
          <w:tcPr>
            <w:tcW w:type="dxa" w:w="2560"/>
            <w:tcMar>
              <w:top w:type="dxa" w:w="90"/>
              <w:left w:type="dxa" w:w="100"/>
              <w:bottom w:type="dxa" w:w="90"/>
              <w:right w:type="dxa" w:w="100"/>
            </w:tcMar>
            <w:vAlign w:val="top"/>
          </w:tcPr>
          <w:p>
            <w:r>
              <w:rPr>
                <w:b w:val="false"/>
                <w:bCs w:val="false"/>
                <w:color w:val="000000"/>
                <w:sz w:val="17"/>
                <w:szCs w:val="17"/>
              </w:rPr>
              <w:t xml:space="preserve">Architecture and delivery choices favor long-term institutional self-sufficiency over short-term ease of delivery within the 12-week engagement.</w:t>
            </w:r>
          </w:p>
        </w:tc>
        <w:tc>
          <w:tcPr>
            <w:tcW w:type="dxa" w:w="2560"/>
            <w:tcMar>
              <w:top w:type="dxa" w:w="90"/>
              <w:left w:type="dxa" w:w="100"/>
              <w:bottom w:type="dxa" w:w="90"/>
              <w:right w:type="dxa" w:w="100"/>
            </w:tcMar>
            <w:vAlign w:val="top"/>
          </w:tcPr>
          <w:p>
            <w:r>
              <w:rPr>
                <w:b w:val="false"/>
                <w:bCs w:val="false"/>
                <w:color w:val="000000"/>
                <w:sz w:val="17"/>
                <w:szCs w:val="17"/>
              </w:rPr>
              <w:t xml:space="preserve">The TOR's own conclusion names long-term sustainability as a goal; donor-financed digital investments are widely recognized to fail without a deliberate capacity handover.</w:t>
            </w:r>
          </w:p>
        </w:tc>
        <w:tc>
          <w:tcPr>
            <w:tcW w:type="dxa" w:w="2560"/>
            <w:tcMar>
              <w:top w:type="dxa" w:w="90"/>
              <w:left w:type="dxa" w:w="100"/>
              <w:bottom w:type="dxa" w:w="90"/>
              <w:right w:type="dxa" w:w="100"/>
            </w:tcMar>
            <w:vAlign w:val="top"/>
          </w:tcPr>
          <w:p>
            <w:r>
              <w:rPr>
                <w:b w:val="false"/>
                <w:bCs w:val="false"/>
                <w:color w:val="000000"/>
                <w:sz w:val="17"/>
                <w:szCs w:val="17"/>
              </w:rPr>
              <w:t xml:space="preserve">Capacity building, documentation, and vendor-neutral technology choices are treated as first-class deliverables, not end-of-project afterthoughts.</w:t>
            </w:r>
          </w:p>
        </w:tc>
      </w:tr>
      <w:tr>
        <w:tc>
          <w:tcPr>
            <w:tcW w:type="dxa" w:w="2400"/>
            <w:tcMar>
              <w:top w:type="dxa" w:w="90"/>
              <w:left w:type="dxa" w:w="100"/>
              <w:bottom w:type="dxa" w:w="90"/>
              <w:right w:type="dxa" w:w="100"/>
            </w:tcMar>
            <w:vAlign w:val="top"/>
          </w:tcPr>
          <w:p>
            <w:r>
              <w:rPr>
                <w:b/>
                <w:bCs/>
                <w:color w:val="000000"/>
                <w:sz w:val="17"/>
                <w:szCs w:val="17"/>
              </w:rPr>
              <w:t xml:space="preserve">Evidence-Based Governance</w:t>
            </w:r>
          </w:p>
        </w:tc>
        <w:tc>
          <w:tcPr>
            <w:tcW w:type="dxa" w:w="2560"/>
            <w:tcMar>
              <w:top w:type="dxa" w:w="90"/>
              <w:left w:type="dxa" w:w="100"/>
              <w:bottom w:type="dxa" w:w="90"/>
              <w:right w:type="dxa" w:w="100"/>
            </w:tcMar>
            <w:vAlign w:val="top"/>
          </w:tcPr>
          <w:p>
            <w:r>
              <w:rPr>
                <w:b w:val="false"/>
                <w:bCs w:val="false"/>
                <w:color w:val="000000"/>
                <w:sz w:val="17"/>
                <w:szCs w:val="17"/>
              </w:rPr>
              <w:t xml:space="preserve">Decisions about programme direction should be made using data the systems themselves produce.</w:t>
            </w:r>
          </w:p>
        </w:tc>
        <w:tc>
          <w:tcPr>
            <w:tcW w:type="dxa" w:w="2560"/>
            <w:tcMar>
              <w:top w:type="dxa" w:w="90"/>
              <w:left w:type="dxa" w:w="100"/>
              <w:bottom w:type="dxa" w:w="90"/>
              <w:right w:type="dxa" w:w="100"/>
            </w:tcMar>
            <w:vAlign w:val="top"/>
          </w:tcPr>
          <w:p>
            <w:r>
              <w:rPr>
                <w:b w:val="false"/>
                <w:bCs w:val="false"/>
                <w:color w:val="000000"/>
                <w:sz w:val="17"/>
                <w:szCs w:val="17"/>
              </w:rPr>
              <w:t xml:space="preserve">The TOR names evidence-based decision-making as an objective the current fragmented state actively undermines.</w:t>
            </w:r>
          </w:p>
        </w:tc>
        <w:tc>
          <w:tcPr>
            <w:tcW w:type="dxa" w:w="2560"/>
            <w:tcMar>
              <w:top w:type="dxa" w:w="90"/>
              <w:left w:type="dxa" w:w="100"/>
              <w:bottom w:type="dxa" w:w="90"/>
              <w:right w:type="dxa" w:w="100"/>
            </w:tcMar>
            <w:vAlign w:val="top"/>
          </w:tcPr>
          <w:p>
            <w:r>
              <w:rPr>
                <w:b w:val="false"/>
                <w:bCs w:val="false"/>
                <w:color w:val="000000"/>
                <w:sz w:val="17"/>
                <w:szCs w:val="17"/>
              </w:rPr>
              <w:t xml:space="preserve">Dashboards and KPIs are governance instruments for NPCO and the co-financing institutions, not merely monitoring features for their own sake.</w:t>
            </w:r>
          </w:p>
        </w:tc>
      </w:tr>
      <w:tr>
        <w:tc>
          <w:tcPr>
            <w:tcW w:type="dxa" w:w="2400"/>
            <w:tcMar>
              <w:top w:type="dxa" w:w="90"/>
              <w:left w:type="dxa" w:w="100"/>
              <w:bottom w:type="dxa" w:w="90"/>
              <w:right w:type="dxa" w:w="100"/>
            </w:tcMar>
            <w:vAlign w:val="top"/>
          </w:tcPr>
          <w:p>
            <w:r>
              <w:rPr>
                <w:b/>
                <w:bCs/>
                <w:color w:val="000000"/>
                <w:sz w:val="17"/>
                <w:szCs w:val="17"/>
              </w:rPr>
              <w:t xml:space="preserve">Institutional Trust Through Transparency</w:t>
            </w:r>
          </w:p>
        </w:tc>
        <w:tc>
          <w:tcPr>
            <w:tcW w:type="dxa" w:w="2560"/>
            <w:tcMar>
              <w:top w:type="dxa" w:w="90"/>
              <w:left w:type="dxa" w:w="100"/>
              <w:bottom w:type="dxa" w:w="90"/>
              <w:right w:type="dxa" w:w="100"/>
            </w:tcMar>
            <w:vAlign w:val="top"/>
          </w:tcPr>
          <w:p>
            <w:r>
              <w:rPr>
                <w:b w:val="false"/>
                <w:bCs w:val="false"/>
                <w:color w:val="000000"/>
                <w:sz w:val="17"/>
                <w:szCs w:val="17"/>
              </w:rPr>
              <w:t xml:space="preserve">Transparency to stakeholders, donors, and the public strengthens SAPZ's institutional legitimacy.</w:t>
            </w:r>
          </w:p>
        </w:tc>
        <w:tc>
          <w:tcPr>
            <w:tcW w:type="dxa" w:w="2560"/>
            <w:tcMar>
              <w:top w:type="dxa" w:w="90"/>
              <w:left w:type="dxa" w:w="100"/>
              <w:bottom w:type="dxa" w:w="90"/>
              <w:right w:type="dxa" w:w="100"/>
            </w:tcMar>
            <w:vAlign w:val="top"/>
          </w:tcPr>
          <w:p>
            <w:r>
              <w:rPr>
                <w:b w:val="false"/>
                <w:bCs w:val="false"/>
                <w:color w:val="000000"/>
                <w:sz w:val="17"/>
                <w:szCs w:val="17"/>
              </w:rPr>
              <w:t xml:space="preserve">The TOR names transparency as an objective; the REOI itself emphasizes anti-corruption and anti-fraud policy compliance.</w:t>
            </w:r>
          </w:p>
        </w:tc>
        <w:tc>
          <w:tcPr>
            <w:tcW w:type="dxa" w:w="2560"/>
            <w:tcMar>
              <w:top w:type="dxa" w:w="90"/>
              <w:left w:type="dxa" w:w="100"/>
              <w:bottom w:type="dxa" w:w="90"/>
              <w:right w:type="dxa" w:w="100"/>
            </w:tcMar>
            <w:vAlign w:val="top"/>
          </w:tcPr>
          <w:p>
            <w:r>
              <w:rPr>
                <w:b w:val="false"/>
                <w:bCs w:val="false"/>
                <w:color w:val="000000"/>
                <w:sz w:val="17"/>
                <w:szCs w:val="17"/>
              </w:rPr>
              <w:t xml:space="preserve">CKR's public-facing design and ESM's audit trails are both trust-building infrastructure, not only functional requirements to be minimally satisfied.</w:t>
            </w:r>
          </w:p>
        </w:tc>
      </w:tr>
    </w:tbl>
    <w:p>
      <w:pPr>
        <w:pStyle w:val="Heading1"/>
        <w:spacing w:after="140" w:before="320"/>
      </w:pPr>
      <w:r>
        <w:t xml:space="preserve">7. Architecture Principles</w:t>
      </w:r>
    </w:p>
    <w:p>
      <w:pPr>
        <w:spacing w:after="160"/>
      </w:pPr>
      <w:r>
        <w:rPr>
          <w:i/>
          <w:iCs/>
          <w:color w:val="555555"/>
          <w:sz w:val="19"/>
          <w:szCs w:val="19"/>
        </w:rPr>
        <w:t xml:space="preserve">Structural principles governing the ESM/CKR system landscape and its evolution, in the TOGAF tradition of explicit, documented architecture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rPr>
          <w:tblHeader/>
        </w:trPr>
        <w:tc>
          <w:tcPr>
            <w:tcW w:type="dxa" w:w="2400"/>
            <w:shd w:fill="0B5345" w:val="clear"/>
            <w:tcMar>
              <w:top w:type="dxa" w:w="90"/>
              <w:left w:type="dxa" w:w="100"/>
              <w:bottom w:type="dxa" w:w="90"/>
              <w:right w:type="dxa" w:w="100"/>
            </w:tcMar>
            <w:vAlign w:val="top"/>
          </w:tcPr>
          <w:p>
            <w:r>
              <w:rPr>
                <w:b/>
                <w:bCs/>
                <w:color w:val="FFFFFF"/>
                <w:sz w:val="17"/>
                <w:szCs w:val="17"/>
              </w:rPr>
              <w:t xml:space="preserve">Principle</w:t>
            </w:r>
          </w:p>
        </w:tc>
        <w:tc>
          <w:tcPr>
            <w:tcW w:type="dxa" w:w="2560"/>
            <w:shd w:fill="0B5345" w:val="clear"/>
            <w:tcMar>
              <w:top w:type="dxa" w:w="90"/>
              <w:left w:type="dxa" w:w="100"/>
              <w:bottom w:type="dxa" w:w="90"/>
              <w:right w:type="dxa" w:w="100"/>
            </w:tcMar>
            <w:vAlign w:val="top"/>
          </w:tcPr>
          <w:p>
            <w:r>
              <w:rPr>
                <w:b/>
                <w:bCs/>
                <w:color w:val="FFFFFF"/>
                <w:sz w:val="17"/>
                <w:szCs w:val="17"/>
              </w:rPr>
              <w:t xml:space="preserve">Statement</w:t>
            </w:r>
          </w:p>
        </w:tc>
        <w:tc>
          <w:tcPr>
            <w:tcW w:type="dxa" w:w="2560"/>
            <w:shd w:fill="0B5345" w:val="clear"/>
            <w:tcMar>
              <w:top w:type="dxa" w:w="90"/>
              <w:left w:type="dxa" w:w="100"/>
              <w:bottom w:type="dxa" w:w="90"/>
              <w:right w:type="dxa" w:w="100"/>
            </w:tcMar>
            <w:vAlign w:val="top"/>
          </w:tcPr>
          <w:p>
            <w:r>
              <w:rPr>
                <w:b/>
                <w:bCs/>
                <w:color w:val="FFFFFF"/>
                <w:sz w:val="17"/>
                <w:szCs w:val="17"/>
              </w:rPr>
              <w:t xml:space="preserve">Rationale</w:t>
            </w:r>
          </w:p>
        </w:tc>
        <w:tc>
          <w:tcPr>
            <w:tcW w:type="dxa" w:w="2560"/>
            <w:shd w:fill="0B5345" w:val="clear"/>
            <w:tcMar>
              <w:top w:type="dxa" w:w="90"/>
              <w:left w:type="dxa" w:w="100"/>
              <w:bottom w:type="dxa" w:w="90"/>
              <w:right w:type="dxa" w:w="100"/>
            </w:tcMar>
            <w:vAlign w:val="top"/>
          </w:tcPr>
          <w:p>
            <w:r>
              <w:rPr>
                <w:b/>
                <w:bCs/>
                <w:color w:val="FFFFFF"/>
                <w:sz w:val="17"/>
                <w:szCs w:val="17"/>
              </w:rPr>
              <w:t xml:space="preserve">Implications</w:t>
            </w:r>
          </w:p>
        </w:tc>
      </w:tr>
      <w:tr>
        <w:tc>
          <w:tcPr>
            <w:tcW w:type="dxa" w:w="2400"/>
            <w:tcMar>
              <w:top w:type="dxa" w:w="90"/>
              <w:left w:type="dxa" w:w="100"/>
              <w:bottom w:type="dxa" w:w="90"/>
              <w:right w:type="dxa" w:w="100"/>
            </w:tcMar>
            <w:vAlign w:val="top"/>
          </w:tcPr>
          <w:p>
            <w:r>
              <w:rPr>
                <w:b/>
                <w:bCs/>
                <w:color w:val="000000"/>
                <w:sz w:val="17"/>
                <w:szCs w:val="17"/>
              </w:rPr>
              <w:t xml:space="preserve">Separation of Concerns with Shared Governance</w:t>
            </w:r>
          </w:p>
        </w:tc>
        <w:tc>
          <w:tcPr>
            <w:tcW w:type="dxa" w:w="2560"/>
            <w:tcMar>
              <w:top w:type="dxa" w:w="90"/>
              <w:left w:type="dxa" w:w="100"/>
              <w:bottom w:type="dxa" w:w="90"/>
              <w:right w:type="dxa" w:w="100"/>
            </w:tcMar>
            <w:vAlign w:val="top"/>
          </w:tcPr>
          <w:p>
            <w:r>
              <w:rPr>
                <w:b w:val="false"/>
                <w:bCs w:val="false"/>
                <w:color w:val="000000"/>
                <w:sz w:val="17"/>
                <w:szCs w:val="17"/>
              </w:rPr>
              <w:t xml:space="preserve">ESM and CKR remain independently hosted and access-controlled per TOR Section 4, but are governed by one shared Data &amp; Content Governance Charter, taxonomy, and metadata standard.</w:t>
            </w:r>
          </w:p>
        </w:tc>
        <w:tc>
          <w:tcPr>
            <w:tcW w:type="dxa" w:w="2560"/>
            <w:tcMar>
              <w:top w:type="dxa" w:w="90"/>
              <w:left w:type="dxa" w:w="100"/>
              <w:bottom w:type="dxa" w:w="90"/>
              <w:right w:type="dxa" w:w="100"/>
            </w:tcMar>
            <w:vAlign w:val="top"/>
          </w:tcPr>
          <w:p>
            <w:r>
              <w:rPr>
                <w:b w:val="false"/>
                <w:bCs w:val="false"/>
                <w:color w:val="000000"/>
                <w:sz w:val="17"/>
                <w:szCs w:val="17"/>
              </w:rPr>
              <w:t xml:space="preserve">Prevents the two systems from recreating, in digital form, the fragmentation problem they exist to solve.</w:t>
            </w:r>
          </w:p>
        </w:tc>
        <w:tc>
          <w:tcPr>
            <w:tcW w:type="dxa" w:w="2560"/>
            <w:tcMar>
              <w:top w:type="dxa" w:w="90"/>
              <w:left w:type="dxa" w:w="100"/>
              <w:bottom w:type="dxa" w:w="90"/>
              <w:right w:type="dxa" w:w="100"/>
            </w:tcMar>
            <w:vAlign w:val="top"/>
          </w:tcPr>
          <w:p>
            <w:r>
              <w:rPr>
                <w:b w:val="false"/>
                <w:bCs w:val="false"/>
                <w:color w:val="000000"/>
                <w:sz w:val="17"/>
                <w:szCs w:val="17"/>
              </w:rPr>
              <w:t xml:space="preserve">A joint governance board oversees both systems even though they remain technically separate; taxonomy changes require joint sign-off.</w:t>
            </w:r>
          </w:p>
        </w:tc>
      </w:tr>
      <w:tr>
        <w:tc>
          <w:tcPr>
            <w:tcW w:type="dxa" w:w="2400"/>
            <w:tcMar>
              <w:top w:type="dxa" w:w="90"/>
              <w:left w:type="dxa" w:w="100"/>
              <w:bottom w:type="dxa" w:w="90"/>
              <w:right w:type="dxa" w:w="100"/>
            </w:tcMar>
            <w:vAlign w:val="top"/>
          </w:tcPr>
          <w:p>
            <w:r>
              <w:rPr>
                <w:b/>
                <w:bCs/>
                <w:color w:val="000000"/>
                <w:sz w:val="17"/>
                <w:szCs w:val="17"/>
              </w:rPr>
              <w:t xml:space="preserve">Single Source of Truth</w:t>
            </w:r>
          </w:p>
        </w:tc>
        <w:tc>
          <w:tcPr>
            <w:tcW w:type="dxa" w:w="2560"/>
            <w:tcMar>
              <w:top w:type="dxa" w:w="90"/>
              <w:left w:type="dxa" w:w="100"/>
              <w:bottom w:type="dxa" w:w="90"/>
              <w:right w:type="dxa" w:w="100"/>
            </w:tcMar>
            <w:vAlign w:val="top"/>
          </w:tcPr>
          <w:p>
            <w:r>
              <w:rPr>
                <w:b w:val="false"/>
                <w:bCs w:val="false"/>
                <w:color w:val="000000"/>
                <w:sz w:val="17"/>
                <w:szCs w:val="17"/>
              </w:rPr>
              <w:t xml:space="preserve">Every category of information has exactly one authoritative system of record; the other system holds, at most, a reference or a deliberately published copy.</w:t>
            </w:r>
          </w:p>
        </w:tc>
        <w:tc>
          <w:tcPr>
            <w:tcW w:type="dxa" w:w="2560"/>
            <w:tcMar>
              <w:top w:type="dxa" w:w="90"/>
              <w:left w:type="dxa" w:w="100"/>
              <w:bottom w:type="dxa" w:w="90"/>
              <w:right w:type="dxa" w:w="100"/>
            </w:tcMar>
            <w:vAlign w:val="top"/>
          </w:tcPr>
          <w:p>
            <w:r>
              <w:rPr>
                <w:b w:val="false"/>
                <w:bCs w:val="false"/>
                <w:color w:val="000000"/>
                <w:sz w:val="17"/>
                <w:szCs w:val="17"/>
              </w:rPr>
              <w:t xml:space="preserve">TOR Section 4 explicitly requires avoiding data duplication; this is standard DAMA-DMBOK master-data-management discipline.</w:t>
            </w:r>
          </w:p>
        </w:tc>
        <w:tc>
          <w:tcPr>
            <w:tcW w:type="dxa" w:w="2560"/>
            <w:tcMar>
              <w:top w:type="dxa" w:w="90"/>
              <w:left w:type="dxa" w:w="100"/>
              <w:bottom w:type="dxa" w:w="90"/>
              <w:right w:type="dxa" w:w="100"/>
            </w:tcMar>
            <w:vAlign w:val="top"/>
          </w:tcPr>
          <w:p>
            <w:r>
              <w:rPr>
                <w:b w:val="false"/>
                <w:bCs w:val="false"/>
                <w:color w:val="000000"/>
                <w:sz w:val="17"/>
                <w:szCs w:val="17"/>
              </w:rPr>
              <w:t xml:space="preserve">An explicit source-of-truth mapping is a mandatory output of the Requirements Analysis and System Design phase, not an implicit assumption.</w:t>
            </w:r>
          </w:p>
        </w:tc>
      </w:tr>
      <w:tr>
        <w:tc>
          <w:tcPr>
            <w:tcW w:type="dxa" w:w="2400"/>
            <w:tcMar>
              <w:top w:type="dxa" w:w="90"/>
              <w:left w:type="dxa" w:w="100"/>
              <w:bottom w:type="dxa" w:w="90"/>
              <w:right w:type="dxa" w:w="100"/>
            </w:tcMar>
            <w:vAlign w:val="top"/>
          </w:tcPr>
          <w:p>
            <w:r>
              <w:rPr>
                <w:b/>
                <w:bCs/>
                <w:color w:val="000000"/>
                <w:sz w:val="17"/>
                <w:szCs w:val="17"/>
              </w:rPr>
              <w:t xml:space="preserve">API-First Integration</w:t>
            </w:r>
          </w:p>
        </w:tc>
        <w:tc>
          <w:tcPr>
            <w:tcW w:type="dxa" w:w="2560"/>
            <w:tcMar>
              <w:top w:type="dxa" w:w="90"/>
              <w:left w:type="dxa" w:w="100"/>
              <w:bottom w:type="dxa" w:w="90"/>
              <w:right w:type="dxa" w:w="100"/>
            </w:tcMar>
            <w:vAlign w:val="top"/>
          </w:tcPr>
          <w:p>
            <w:r>
              <w:rPr>
                <w:b w:val="false"/>
                <w:bCs w:val="false"/>
                <w:color w:val="000000"/>
                <w:sz w:val="17"/>
                <w:szCs w:val="17"/>
              </w:rPr>
              <w:t xml:space="preserve">Integration between ESM, CKR, and the external SAPZ website occurs through documented, versioned APIs rather than manual or point-to-point data transfer.</w:t>
            </w:r>
          </w:p>
        </w:tc>
        <w:tc>
          <w:tcPr>
            <w:tcW w:type="dxa" w:w="2560"/>
            <w:tcMar>
              <w:top w:type="dxa" w:w="90"/>
              <w:left w:type="dxa" w:w="100"/>
              <w:bottom w:type="dxa" w:w="90"/>
              <w:right w:type="dxa" w:w="100"/>
            </w:tcMar>
            <w:vAlign w:val="top"/>
          </w:tcPr>
          <w:p>
            <w:r>
              <w:rPr>
                <w:b w:val="false"/>
                <w:bCs w:val="false"/>
                <w:color w:val="000000"/>
                <w:sz w:val="17"/>
                <w:szCs w:val="17"/>
              </w:rPr>
              <w:t xml:space="preserve">Standard TOGAF integration-architecture practice; supports future interoperability without re-architecture.</w:t>
            </w:r>
          </w:p>
        </w:tc>
        <w:tc>
          <w:tcPr>
            <w:tcW w:type="dxa" w:w="2560"/>
            <w:tcMar>
              <w:top w:type="dxa" w:w="90"/>
              <w:left w:type="dxa" w:w="100"/>
              <w:bottom w:type="dxa" w:w="90"/>
              <w:right w:type="dxa" w:w="100"/>
            </w:tcMar>
            <w:vAlign w:val="top"/>
          </w:tcPr>
          <w:p>
            <w:r>
              <w:rPr>
                <w:b w:val="false"/>
                <w:bCs w:val="false"/>
                <w:color w:val="000000"/>
                <w:sz w:val="17"/>
                <w:szCs w:val="17"/>
              </w:rPr>
              <w:t xml:space="preserve">An API management capability, however lightweight, is required even at this programme's modest scale.</w:t>
            </w:r>
          </w:p>
        </w:tc>
      </w:tr>
      <w:tr>
        <w:tc>
          <w:tcPr>
            <w:tcW w:type="dxa" w:w="2400"/>
            <w:tcMar>
              <w:top w:type="dxa" w:w="90"/>
              <w:left w:type="dxa" w:w="100"/>
              <w:bottom w:type="dxa" w:w="90"/>
              <w:right w:type="dxa" w:w="100"/>
            </w:tcMar>
            <w:vAlign w:val="top"/>
          </w:tcPr>
          <w:p>
            <w:r>
              <w:rPr>
                <w:b/>
                <w:bCs/>
                <w:color w:val="000000"/>
                <w:sz w:val="17"/>
                <w:szCs w:val="17"/>
              </w:rPr>
              <w:t xml:space="preserve">Configure Before Customize, Customize Before Build</w:t>
            </w:r>
          </w:p>
        </w:tc>
        <w:tc>
          <w:tcPr>
            <w:tcW w:type="dxa" w:w="2560"/>
            <w:tcMar>
              <w:top w:type="dxa" w:w="90"/>
              <w:left w:type="dxa" w:w="100"/>
              <w:bottom w:type="dxa" w:w="90"/>
              <w:right w:type="dxa" w:w="100"/>
            </w:tcMar>
            <w:vAlign w:val="top"/>
          </w:tcPr>
          <w:p>
            <w:r>
              <w:rPr>
                <w:b w:val="false"/>
                <w:bCs w:val="false"/>
                <w:color w:val="000000"/>
                <w:sz w:val="17"/>
                <w:szCs w:val="17"/>
              </w:rPr>
              <w:t xml:space="preserve">Platform selection favors mature, configurable commercial or open-source products; custom development is reserved for genuine integration gaps only.</w:t>
            </w:r>
          </w:p>
        </w:tc>
        <w:tc>
          <w:tcPr>
            <w:tcW w:type="dxa" w:w="2560"/>
            <w:tcMar>
              <w:top w:type="dxa" w:w="90"/>
              <w:left w:type="dxa" w:w="100"/>
              <w:bottom w:type="dxa" w:w="90"/>
              <w:right w:type="dxa" w:w="100"/>
            </w:tcMar>
            <w:vAlign w:val="top"/>
          </w:tcPr>
          <w:p>
            <w:r>
              <w:rPr>
                <w:b w:val="false"/>
                <w:bCs w:val="false"/>
                <w:color w:val="000000"/>
                <w:sz w:val="17"/>
                <w:szCs w:val="17"/>
              </w:rPr>
              <w:t xml:space="preserve">Protects the 12-week schedule from custom-development defect risk and supports post-project sustainability.</w:t>
            </w:r>
          </w:p>
        </w:tc>
        <w:tc>
          <w:tcPr>
            <w:tcW w:type="dxa" w:w="2560"/>
            <w:tcMar>
              <w:top w:type="dxa" w:w="90"/>
              <w:left w:type="dxa" w:w="100"/>
              <w:bottom w:type="dxa" w:w="90"/>
              <w:right w:type="dxa" w:w="100"/>
            </w:tcMar>
            <w:vAlign w:val="top"/>
          </w:tcPr>
          <w:p>
            <w:r>
              <w:rPr>
                <w:b w:val="false"/>
                <w:bCs w:val="false"/>
                <w:color w:val="000000"/>
                <w:sz w:val="17"/>
                <w:szCs w:val="17"/>
              </w:rPr>
              <w:t xml:space="preserve">Any proposed custom development must explicitly document why configuration of an existing platform was insufficient.</w:t>
            </w:r>
          </w:p>
        </w:tc>
      </w:tr>
      <w:tr>
        <w:tc>
          <w:tcPr>
            <w:tcW w:type="dxa" w:w="2400"/>
            <w:tcMar>
              <w:top w:type="dxa" w:w="90"/>
              <w:left w:type="dxa" w:w="100"/>
              <w:bottom w:type="dxa" w:w="90"/>
              <w:right w:type="dxa" w:w="100"/>
            </w:tcMar>
            <w:vAlign w:val="top"/>
          </w:tcPr>
          <w:p>
            <w:r>
              <w:rPr>
                <w:b/>
                <w:bCs/>
                <w:color w:val="000000"/>
                <w:sz w:val="17"/>
                <w:szCs w:val="17"/>
              </w:rPr>
              <w:t xml:space="preserve">Security and Privacy by Design</w:t>
            </w:r>
          </w:p>
        </w:tc>
        <w:tc>
          <w:tcPr>
            <w:tcW w:type="dxa" w:w="2560"/>
            <w:tcMar>
              <w:top w:type="dxa" w:w="90"/>
              <w:left w:type="dxa" w:w="100"/>
              <w:bottom w:type="dxa" w:w="90"/>
              <w:right w:type="dxa" w:w="100"/>
            </w:tcMar>
            <w:vAlign w:val="top"/>
          </w:tcPr>
          <w:p>
            <w:r>
              <w:rPr>
                <w:b w:val="false"/>
                <w:bCs w:val="false"/>
                <w:color w:val="000000"/>
                <w:sz w:val="17"/>
                <w:szCs w:val="17"/>
              </w:rPr>
              <w:t xml:space="preserve">Security and data-protection requirements are embedded from the initial architecture, not retrofitted before go-live.</w:t>
            </w:r>
          </w:p>
        </w:tc>
        <w:tc>
          <w:tcPr>
            <w:tcW w:type="dxa" w:w="2560"/>
            <w:tcMar>
              <w:top w:type="dxa" w:w="90"/>
              <w:left w:type="dxa" w:w="100"/>
              <w:bottom w:type="dxa" w:w="90"/>
              <w:right w:type="dxa" w:w="100"/>
            </w:tcMar>
            <w:vAlign w:val="top"/>
          </w:tcPr>
          <w:p>
            <w:r>
              <w:rPr>
                <w:b w:val="false"/>
                <w:bCs w:val="false"/>
                <w:color w:val="000000"/>
                <w:sz w:val="17"/>
                <w:szCs w:val="17"/>
              </w:rPr>
              <w:t xml:space="preserve">Consistent with ISO 27001 principles and the Nigeria Data Protection Regulation.</w:t>
            </w:r>
          </w:p>
        </w:tc>
        <w:tc>
          <w:tcPr>
            <w:tcW w:type="dxa" w:w="2560"/>
            <w:tcMar>
              <w:top w:type="dxa" w:w="90"/>
              <w:left w:type="dxa" w:w="100"/>
              <w:bottom w:type="dxa" w:w="90"/>
              <w:right w:type="dxa" w:w="100"/>
            </w:tcMar>
            <w:vAlign w:val="top"/>
          </w:tcPr>
          <w:p>
            <w:r>
              <w:rPr>
                <w:b w:val="false"/>
                <w:bCs w:val="false"/>
                <w:color w:val="000000"/>
                <w:sz w:val="17"/>
                <w:szCs w:val="17"/>
              </w:rPr>
              <w:t xml:space="preserve">Every architecture artifact produced in this blueprint's later parts includes an explicit security and data-classification annotation.</w:t>
            </w:r>
          </w:p>
        </w:tc>
      </w:tr>
      <w:tr>
        <w:tc>
          <w:tcPr>
            <w:tcW w:type="dxa" w:w="2400"/>
            <w:tcMar>
              <w:top w:type="dxa" w:w="90"/>
              <w:left w:type="dxa" w:w="100"/>
              <w:bottom w:type="dxa" w:w="90"/>
              <w:right w:type="dxa" w:w="100"/>
            </w:tcMar>
            <w:vAlign w:val="top"/>
          </w:tcPr>
          <w:p>
            <w:r>
              <w:rPr>
                <w:b/>
                <w:bCs/>
                <w:color w:val="000000"/>
                <w:sz w:val="17"/>
                <w:szCs w:val="17"/>
              </w:rPr>
              <w:t xml:space="preserve">Architecture Governed, Not Just Designed</w:t>
            </w:r>
          </w:p>
        </w:tc>
        <w:tc>
          <w:tcPr>
            <w:tcW w:type="dxa" w:w="2560"/>
            <w:tcMar>
              <w:top w:type="dxa" w:w="90"/>
              <w:left w:type="dxa" w:w="100"/>
              <w:bottom w:type="dxa" w:w="90"/>
              <w:right w:type="dxa" w:w="100"/>
            </w:tcMar>
            <w:vAlign w:val="top"/>
          </w:tcPr>
          <w:p>
            <w:r>
              <w:rPr>
                <w:b w:val="false"/>
                <w:bCs w:val="false"/>
                <w:color w:val="000000"/>
                <w:sz w:val="17"/>
                <w:szCs w:val="17"/>
              </w:rPr>
              <w:t xml:space="preserve">The architecture remains subject to ongoing governance beyond the initial 12-week engagement, not treated as a one-time artifact.</w:t>
            </w:r>
          </w:p>
        </w:tc>
        <w:tc>
          <w:tcPr>
            <w:tcW w:type="dxa" w:w="2560"/>
            <w:tcMar>
              <w:top w:type="dxa" w:w="90"/>
              <w:left w:type="dxa" w:w="100"/>
              <w:bottom w:type="dxa" w:w="90"/>
              <w:right w:type="dxa" w:w="100"/>
            </w:tcMar>
            <w:vAlign w:val="top"/>
          </w:tcPr>
          <w:p>
            <w:r>
              <w:rPr>
                <w:b w:val="false"/>
                <w:bCs w:val="false"/>
                <w:color w:val="000000"/>
                <w:sz w:val="17"/>
                <w:szCs w:val="17"/>
              </w:rPr>
              <w:t xml:space="preserve">TOGAF treats architecture governance as a continuous capability; the TOR is silent on any post-project EA function, a gap this blueprint flags explicitly.</w:t>
            </w:r>
          </w:p>
        </w:tc>
        <w:tc>
          <w:tcPr>
            <w:tcW w:type="dxa" w:w="2560"/>
            <w:tcMar>
              <w:top w:type="dxa" w:w="90"/>
              <w:left w:type="dxa" w:w="100"/>
              <w:bottom w:type="dxa" w:w="90"/>
              <w:right w:type="dxa" w:w="100"/>
            </w:tcMar>
            <w:vAlign w:val="top"/>
          </w:tcPr>
          <w:p>
            <w:r>
              <w:rPr>
                <w:b w:val="false"/>
                <w:bCs w:val="false"/>
                <w:color w:val="000000"/>
                <w:sz w:val="17"/>
                <w:szCs w:val="17"/>
              </w:rPr>
              <w:t xml:space="preserve">A lightweight Architecture Review function should be established within SAPZ's own KM/ICT Units as part of the sustainability handover (developed in Part 10).</w:t>
            </w:r>
          </w:p>
        </w:tc>
      </w:tr>
    </w:tbl>
    <w:p>
      <w:pPr>
        <w:pStyle w:val="Heading1"/>
        <w:spacing w:after="140" w:before="320"/>
      </w:pPr>
      <w:r>
        <w:t xml:space="preserve">8. Digital Government Principles</w:t>
      </w:r>
    </w:p>
    <w:p>
      <w:pPr>
        <w:spacing w:after="160"/>
      </w:pPr>
      <w:r>
        <w:rPr>
          <w:i/>
          <w:iCs/>
          <w:color w:val="555555"/>
          <w:sz w:val="19"/>
          <w:szCs w:val="19"/>
        </w:rPr>
        <w:t xml:space="preserve">Principles drawn from recognized digital-government practice (UN e-Government principles, the EU's Once-Only principle, FEAF cross-agency interoperability, and open-government-data norms), applied to SAPZ's federal Nigerian context.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rPr>
          <w:tblHeader/>
        </w:trPr>
        <w:tc>
          <w:tcPr>
            <w:tcW w:type="dxa" w:w="2400"/>
            <w:shd w:fill="1B4F72" w:val="clear"/>
            <w:tcMar>
              <w:top w:type="dxa" w:w="90"/>
              <w:left w:type="dxa" w:w="100"/>
              <w:bottom w:type="dxa" w:w="90"/>
              <w:right w:type="dxa" w:w="100"/>
            </w:tcMar>
            <w:vAlign w:val="top"/>
          </w:tcPr>
          <w:p>
            <w:r>
              <w:rPr>
                <w:b/>
                <w:bCs/>
                <w:color w:val="FFFFFF"/>
                <w:sz w:val="17"/>
                <w:szCs w:val="17"/>
              </w:rPr>
              <w:t xml:space="preserve">Principle</w:t>
            </w:r>
          </w:p>
        </w:tc>
        <w:tc>
          <w:tcPr>
            <w:tcW w:type="dxa" w:w="2560"/>
            <w:shd w:fill="1B4F72" w:val="clear"/>
            <w:tcMar>
              <w:top w:type="dxa" w:w="90"/>
              <w:left w:type="dxa" w:w="100"/>
              <w:bottom w:type="dxa" w:w="90"/>
              <w:right w:type="dxa" w:w="100"/>
            </w:tcMar>
            <w:vAlign w:val="top"/>
          </w:tcPr>
          <w:p>
            <w:r>
              <w:rPr>
                <w:b/>
                <w:bCs/>
                <w:color w:val="FFFFFF"/>
                <w:sz w:val="17"/>
                <w:szCs w:val="17"/>
              </w:rPr>
              <w:t xml:space="preserve">Statement</w:t>
            </w:r>
          </w:p>
        </w:tc>
        <w:tc>
          <w:tcPr>
            <w:tcW w:type="dxa" w:w="2560"/>
            <w:shd w:fill="1B4F72" w:val="clear"/>
            <w:tcMar>
              <w:top w:type="dxa" w:w="90"/>
              <w:left w:type="dxa" w:w="100"/>
              <w:bottom w:type="dxa" w:w="90"/>
              <w:right w:type="dxa" w:w="100"/>
            </w:tcMar>
            <w:vAlign w:val="top"/>
          </w:tcPr>
          <w:p>
            <w:r>
              <w:rPr>
                <w:b/>
                <w:bCs/>
                <w:color w:val="FFFFFF"/>
                <w:sz w:val="17"/>
                <w:szCs w:val="17"/>
              </w:rPr>
              <w:t xml:space="preserve">Rationale</w:t>
            </w:r>
          </w:p>
        </w:tc>
        <w:tc>
          <w:tcPr>
            <w:tcW w:type="dxa" w:w="2560"/>
            <w:shd w:fill="1B4F72" w:val="clear"/>
            <w:tcMar>
              <w:top w:type="dxa" w:w="90"/>
              <w:left w:type="dxa" w:w="100"/>
              <w:bottom w:type="dxa" w:w="90"/>
              <w:right w:type="dxa" w:w="100"/>
            </w:tcMar>
            <w:vAlign w:val="top"/>
          </w:tcPr>
          <w:p>
            <w:r>
              <w:rPr>
                <w:b/>
                <w:bCs/>
                <w:color w:val="FFFFFF"/>
                <w:sz w:val="17"/>
                <w:szCs w:val="17"/>
              </w:rPr>
              <w:t xml:space="preserve">Implications</w:t>
            </w:r>
          </w:p>
        </w:tc>
      </w:tr>
      <w:tr>
        <w:tc>
          <w:tcPr>
            <w:tcW w:type="dxa" w:w="2400"/>
            <w:tcMar>
              <w:top w:type="dxa" w:w="90"/>
              <w:left w:type="dxa" w:w="100"/>
              <w:bottom w:type="dxa" w:w="90"/>
              <w:right w:type="dxa" w:w="100"/>
            </w:tcMar>
            <w:vAlign w:val="top"/>
          </w:tcPr>
          <w:p>
            <w:r>
              <w:rPr>
                <w:b/>
                <w:bCs/>
                <w:color w:val="000000"/>
                <w:sz w:val="17"/>
                <w:szCs w:val="17"/>
              </w:rPr>
              <w:t xml:space="preserve">Digital by Default, Not Digital Only</w:t>
            </w:r>
          </w:p>
        </w:tc>
        <w:tc>
          <w:tcPr>
            <w:tcW w:type="dxa" w:w="2560"/>
            <w:tcMar>
              <w:top w:type="dxa" w:w="90"/>
              <w:left w:type="dxa" w:w="100"/>
              <w:bottom w:type="dxa" w:w="90"/>
              <w:right w:type="dxa" w:w="100"/>
            </w:tcMar>
            <w:vAlign w:val="top"/>
          </w:tcPr>
          <w:p>
            <w:r>
              <w:rPr>
                <w:b w:val="false"/>
                <w:bCs w:val="false"/>
                <w:color w:val="000000"/>
                <w:sz w:val="17"/>
                <w:szCs w:val="17"/>
              </w:rPr>
              <w:t xml:space="preserve">Digital channels are the primary means of interaction, but do not exclude stakeholders who cannot access them.</w:t>
            </w:r>
          </w:p>
        </w:tc>
        <w:tc>
          <w:tcPr>
            <w:tcW w:type="dxa" w:w="2560"/>
            <w:tcMar>
              <w:top w:type="dxa" w:w="90"/>
              <w:left w:type="dxa" w:w="100"/>
              <w:bottom w:type="dxa" w:w="90"/>
              <w:right w:type="dxa" w:w="100"/>
            </w:tcMar>
            <w:vAlign w:val="top"/>
          </w:tcPr>
          <w:p>
            <w:r>
              <w:rPr>
                <w:b w:val="false"/>
                <w:bCs w:val="false"/>
                <w:color w:val="000000"/>
                <w:sz w:val="17"/>
                <w:szCs w:val="17"/>
              </w:rPr>
              <w:t xml:space="preserve">Consistent with UN e-Government principles; SAPZ's smallholder-farmer and community-organization stakeholders may have variable digital access.</w:t>
            </w:r>
          </w:p>
        </w:tc>
        <w:tc>
          <w:tcPr>
            <w:tcW w:type="dxa" w:w="2560"/>
            <w:tcMar>
              <w:top w:type="dxa" w:w="90"/>
              <w:left w:type="dxa" w:w="100"/>
              <w:bottom w:type="dxa" w:w="90"/>
              <w:right w:type="dxa" w:w="100"/>
            </w:tcMar>
            <w:vAlign w:val="top"/>
          </w:tcPr>
          <w:p>
            <w:r>
              <w:rPr>
                <w:b w:val="false"/>
                <w:bCs w:val="false"/>
                <w:color w:val="000000"/>
                <w:sz w:val="17"/>
                <w:szCs w:val="17"/>
              </w:rPr>
              <w:t xml:space="preserve">ESM/CKR design should tolerate low-bandwidth conditions gracefully rather than assuming uniform, high-quality connectivity across all seven states.</w:t>
            </w:r>
          </w:p>
        </w:tc>
      </w:tr>
      <w:tr>
        <w:tc>
          <w:tcPr>
            <w:tcW w:type="dxa" w:w="2400"/>
            <w:tcMar>
              <w:top w:type="dxa" w:w="90"/>
              <w:left w:type="dxa" w:w="100"/>
              <w:bottom w:type="dxa" w:w="90"/>
              <w:right w:type="dxa" w:w="100"/>
            </w:tcMar>
            <w:vAlign w:val="top"/>
          </w:tcPr>
          <w:p>
            <w:r>
              <w:rPr>
                <w:b/>
                <w:bCs/>
                <w:color w:val="000000"/>
                <w:sz w:val="17"/>
                <w:szCs w:val="17"/>
              </w:rPr>
              <w:t xml:space="preserve">Once-Only Principle</w:t>
            </w:r>
          </w:p>
        </w:tc>
        <w:tc>
          <w:tcPr>
            <w:tcW w:type="dxa" w:w="2560"/>
            <w:tcMar>
              <w:top w:type="dxa" w:w="90"/>
              <w:left w:type="dxa" w:w="100"/>
              <w:bottom w:type="dxa" w:w="90"/>
              <w:right w:type="dxa" w:w="100"/>
            </w:tcMar>
            <w:vAlign w:val="top"/>
          </w:tcPr>
          <w:p>
            <w:r>
              <w:rPr>
                <w:b w:val="false"/>
                <w:bCs w:val="false"/>
                <w:color w:val="000000"/>
                <w:sz w:val="17"/>
                <w:szCs w:val="17"/>
              </w:rPr>
              <w:t xml:space="preserve">Information already captured by the programme should not need to be re-entered elsewhere.</w:t>
            </w:r>
          </w:p>
        </w:tc>
        <w:tc>
          <w:tcPr>
            <w:tcW w:type="dxa" w:w="2560"/>
            <w:tcMar>
              <w:top w:type="dxa" w:w="90"/>
              <w:left w:type="dxa" w:w="100"/>
              <w:bottom w:type="dxa" w:w="90"/>
              <w:right w:type="dxa" w:w="100"/>
            </w:tcMar>
            <w:vAlign w:val="top"/>
          </w:tcPr>
          <w:p>
            <w:r>
              <w:rPr>
                <w:b w:val="false"/>
                <w:bCs w:val="false"/>
                <w:color w:val="000000"/>
                <w:sz w:val="17"/>
                <w:szCs w:val="17"/>
              </w:rPr>
              <w:t xml:space="preserve">A recognized EU digital-government interoperability principle; directly supports the TOR's anti-duplication objective.</w:t>
            </w:r>
          </w:p>
        </w:tc>
        <w:tc>
          <w:tcPr>
            <w:tcW w:type="dxa" w:w="2560"/>
            <w:tcMar>
              <w:top w:type="dxa" w:w="90"/>
              <w:left w:type="dxa" w:w="100"/>
              <w:bottom w:type="dxa" w:w="90"/>
              <w:right w:type="dxa" w:w="100"/>
            </w:tcMar>
            <w:vAlign w:val="top"/>
          </w:tcPr>
          <w:p>
            <w:r>
              <w:rPr>
                <w:b w:val="false"/>
                <w:bCs w:val="false"/>
                <w:color w:val="000000"/>
                <w:sz w:val="17"/>
                <w:szCs w:val="17"/>
              </w:rPr>
              <w:t xml:space="preserve">Any future integration with state-level systems or the SAPZ website should reuse existing captured data rather than requiring re-entry.</w:t>
            </w:r>
          </w:p>
        </w:tc>
      </w:tr>
      <w:tr>
        <w:tc>
          <w:tcPr>
            <w:tcW w:type="dxa" w:w="2400"/>
            <w:tcMar>
              <w:top w:type="dxa" w:w="90"/>
              <w:left w:type="dxa" w:w="100"/>
              <w:bottom w:type="dxa" w:w="90"/>
              <w:right w:type="dxa" w:w="100"/>
            </w:tcMar>
            <w:vAlign w:val="top"/>
          </w:tcPr>
          <w:p>
            <w:r>
              <w:rPr>
                <w:b/>
                <w:bCs/>
                <w:color w:val="000000"/>
                <w:sz w:val="17"/>
                <w:szCs w:val="17"/>
              </w:rPr>
              <w:t xml:space="preserve">Whole-of-Government Interoperability</w:t>
            </w:r>
          </w:p>
        </w:tc>
        <w:tc>
          <w:tcPr>
            <w:tcW w:type="dxa" w:w="2560"/>
            <w:tcMar>
              <w:top w:type="dxa" w:w="90"/>
              <w:left w:type="dxa" w:w="100"/>
              <w:bottom w:type="dxa" w:w="90"/>
              <w:right w:type="dxa" w:w="100"/>
            </w:tcMar>
            <w:vAlign w:val="top"/>
          </w:tcPr>
          <w:p>
            <w:r>
              <w:rPr>
                <w:b w:val="false"/>
                <w:bCs w:val="false"/>
                <w:color w:val="000000"/>
                <w:sz w:val="17"/>
                <w:szCs w:val="17"/>
              </w:rPr>
              <w:t xml:space="preserve">Systems should be designed to interoperate with other government and donor information systems where a legitimate need exists, using open standards.</w:t>
            </w:r>
          </w:p>
        </w:tc>
        <w:tc>
          <w:tcPr>
            <w:tcW w:type="dxa" w:w="2560"/>
            <w:tcMar>
              <w:top w:type="dxa" w:w="90"/>
              <w:left w:type="dxa" w:w="100"/>
              <w:bottom w:type="dxa" w:w="90"/>
              <w:right w:type="dxa" w:w="100"/>
            </w:tcMar>
            <w:vAlign w:val="top"/>
          </w:tcPr>
          <w:p>
            <w:r>
              <w:rPr>
                <w:b w:val="false"/>
                <w:bCs w:val="false"/>
                <w:color w:val="000000"/>
                <w:sz w:val="17"/>
                <w:szCs w:val="17"/>
              </w:rPr>
              <w:t xml:space="preserve">Consistent with FEAF's cross-agency interoperability emphasis and tri-donor reporting requirements.</w:t>
            </w:r>
          </w:p>
        </w:tc>
        <w:tc>
          <w:tcPr>
            <w:tcW w:type="dxa" w:w="2560"/>
            <w:tcMar>
              <w:top w:type="dxa" w:w="90"/>
              <w:left w:type="dxa" w:w="100"/>
              <w:bottom w:type="dxa" w:w="90"/>
              <w:right w:type="dxa" w:w="100"/>
            </w:tcMar>
            <w:vAlign w:val="top"/>
          </w:tcPr>
          <w:p>
            <w:r>
              <w:rPr>
                <w:b w:val="false"/>
                <w:bCs w:val="false"/>
                <w:color w:val="000000"/>
                <w:sz w:val="17"/>
                <w:szCs w:val="17"/>
              </w:rPr>
              <w:t xml:space="preserve">Avoid proprietary data formats for core programme information; prefer open, documented exchange formats.</w:t>
            </w:r>
          </w:p>
        </w:tc>
      </w:tr>
      <w:tr>
        <w:tc>
          <w:tcPr>
            <w:tcW w:type="dxa" w:w="2400"/>
            <w:tcMar>
              <w:top w:type="dxa" w:w="90"/>
              <w:left w:type="dxa" w:w="100"/>
              <w:bottom w:type="dxa" w:w="90"/>
              <w:right w:type="dxa" w:w="100"/>
            </w:tcMar>
            <w:vAlign w:val="top"/>
          </w:tcPr>
          <w:p>
            <w:r>
              <w:rPr>
                <w:b/>
                <w:bCs/>
                <w:color w:val="000000"/>
                <w:sz w:val="17"/>
                <w:szCs w:val="17"/>
              </w:rPr>
              <w:t xml:space="preserve">Open by Default, Restricted by Exception</w:t>
            </w:r>
          </w:p>
        </w:tc>
        <w:tc>
          <w:tcPr>
            <w:tcW w:type="dxa" w:w="2560"/>
            <w:tcMar>
              <w:top w:type="dxa" w:w="90"/>
              <w:left w:type="dxa" w:w="100"/>
              <w:bottom w:type="dxa" w:w="90"/>
              <w:right w:type="dxa" w:w="100"/>
            </w:tcMar>
            <w:vAlign w:val="top"/>
          </w:tcPr>
          <w:p>
            <w:r>
              <w:rPr>
                <w:b w:val="false"/>
                <w:bCs w:val="false"/>
                <w:color w:val="000000"/>
                <w:sz w:val="17"/>
                <w:szCs w:val="17"/>
              </w:rPr>
              <w:t xml:space="preserve">Knowledge and programme information are public by default via CKR, unless a specific, documented reason requires restriction via ESM.</w:t>
            </w:r>
          </w:p>
        </w:tc>
        <w:tc>
          <w:tcPr>
            <w:tcW w:type="dxa" w:w="2560"/>
            <w:tcMar>
              <w:top w:type="dxa" w:w="90"/>
              <w:left w:type="dxa" w:w="100"/>
              <w:bottom w:type="dxa" w:w="90"/>
              <w:right w:type="dxa" w:w="100"/>
            </w:tcMar>
            <w:vAlign w:val="top"/>
          </w:tcPr>
          <w:p>
            <w:r>
              <w:rPr>
                <w:b w:val="false"/>
                <w:bCs w:val="false"/>
                <w:color w:val="000000"/>
                <w:sz w:val="17"/>
                <w:szCs w:val="17"/>
              </w:rPr>
              <w:t xml:space="preserve">Supports the TOR's transparency objective and broader open-government-data norms.</w:t>
            </w:r>
          </w:p>
        </w:tc>
        <w:tc>
          <w:tcPr>
            <w:tcW w:type="dxa" w:w="2560"/>
            <w:tcMar>
              <w:top w:type="dxa" w:w="90"/>
              <w:left w:type="dxa" w:w="100"/>
              <w:bottom w:type="dxa" w:w="90"/>
              <w:right w:type="dxa" w:w="100"/>
            </w:tcMar>
            <w:vAlign w:val="top"/>
          </w:tcPr>
          <w:p>
            <w:r>
              <w:rPr>
                <w:b w:val="false"/>
                <w:bCs w:val="false"/>
                <w:color w:val="000000"/>
                <w:sz w:val="17"/>
                <w:szCs w:val="17"/>
              </w:rPr>
              <w:t xml:space="preserve">Every piece of content requires an explicit classification decision at creation; default-to-restricted is not an acceptable substitute for that decision.</w:t>
            </w:r>
          </w:p>
        </w:tc>
      </w:tr>
    </w:tbl>
    <w:p>
      <w:pPr>
        <w:pStyle w:val="Heading1"/>
        <w:spacing w:after="140" w:before="320"/>
      </w:pPr>
      <w:r>
        <w:t xml:space="preserve">9. Knowledge Management Principles</w:t>
      </w:r>
    </w:p>
    <w:p>
      <w:pPr>
        <w:spacing w:after="160"/>
      </w:pPr>
      <w:r>
        <w:rPr>
          <w:i/>
          <w:iCs/>
          <w:color w:val="555555"/>
          <w:sz w:val="19"/>
          <w:szCs w:val="19"/>
        </w:rPr>
        <w:t xml:space="preserve">Principles governing how knowledge is captured, organized, and shared across the programme, directly answering the TOR's own knowledge-management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rPr>
          <w:tblHeader/>
        </w:trPr>
        <w:tc>
          <w:tcPr>
            <w:tcW w:type="dxa" w:w="2400"/>
            <w:shd w:fill="4A235A" w:val="clear"/>
            <w:tcMar>
              <w:top w:type="dxa" w:w="90"/>
              <w:left w:type="dxa" w:w="100"/>
              <w:bottom w:type="dxa" w:w="90"/>
              <w:right w:type="dxa" w:w="100"/>
            </w:tcMar>
            <w:vAlign w:val="top"/>
          </w:tcPr>
          <w:p>
            <w:r>
              <w:rPr>
                <w:b/>
                <w:bCs/>
                <w:color w:val="FFFFFF"/>
                <w:sz w:val="17"/>
                <w:szCs w:val="17"/>
              </w:rPr>
              <w:t xml:space="preserve">Principle</w:t>
            </w:r>
          </w:p>
        </w:tc>
        <w:tc>
          <w:tcPr>
            <w:tcW w:type="dxa" w:w="2560"/>
            <w:shd w:fill="4A235A" w:val="clear"/>
            <w:tcMar>
              <w:top w:type="dxa" w:w="90"/>
              <w:left w:type="dxa" w:w="100"/>
              <w:bottom w:type="dxa" w:w="90"/>
              <w:right w:type="dxa" w:w="100"/>
            </w:tcMar>
            <w:vAlign w:val="top"/>
          </w:tcPr>
          <w:p>
            <w:r>
              <w:rPr>
                <w:b/>
                <w:bCs/>
                <w:color w:val="FFFFFF"/>
                <w:sz w:val="17"/>
                <w:szCs w:val="17"/>
              </w:rPr>
              <w:t xml:space="preserve">Statement</w:t>
            </w:r>
          </w:p>
        </w:tc>
        <w:tc>
          <w:tcPr>
            <w:tcW w:type="dxa" w:w="2560"/>
            <w:shd w:fill="4A235A" w:val="clear"/>
            <w:tcMar>
              <w:top w:type="dxa" w:w="90"/>
              <w:left w:type="dxa" w:w="100"/>
              <w:bottom w:type="dxa" w:w="90"/>
              <w:right w:type="dxa" w:w="100"/>
            </w:tcMar>
            <w:vAlign w:val="top"/>
          </w:tcPr>
          <w:p>
            <w:r>
              <w:rPr>
                <w:b/>
                <w:bCs/>
                <w:color w:val="FFFFFF"/>
                <w:sz w:val="17"/>
                <w:szCs w:val="17"/>
              </w:rPr>
              <w:t xml:space="preserve">Rationale</w:t>
            </w:r>
          </w:p>
        </w:tc>
        <w:tc>
          <w:tcPr>
            <w:tcW w:type="dxa" w:w="2560"/>
            <w:shd w:fill="4A235A" w:val="clear"/>
            <w:tcMar>
              <w:top w:type="dxa" w:w="90"/>
              <w:left w:type="dxa" w:w="100"/>
              <w:bottom w:type="dxa" w:w="90"/>
              <w:right w:type="dxa" w:w="100"/>
            </w:tcMar>
            <w:vAlign w:val="top"/>
          </w:tcPr>
          <w:p>
            <w:r>
              <w:rPr>
                <w:b/>
                <w:bCs/>
                <w:color w:val="FFFFFF"/>
                <w:sz w:val="17"/>
                <w:szCs w:val="17"/>
              </w:rPr>
              <w:t xml:space="preserve">Implications</w:t>
            </w:r>
          </w:p>
        </w:tc>
      </w:tr>
      <w:tr>
        <w:tc>
          <w:tcPr>
            <w:tcW w:type="dxa" w:w="2400"/>
            <w:tcMar>
              <w:top w:type="dxa" w:w="90"/>
              <w:left w:type="dxa" w:w="100"/>
              <w:bottom w:type="dxa" w:w="90"/>
              <w:right w:type="dxa" w:w="100"/>
            </w:tcMar>
            <w:vAlign w:val="top"/>
          </w:tcPr>
          <w:p>
            <w:r>
              <w:rPr>
                <w:b/>
                <w:bCs/>
                <w:color w:val="000000"/>
                <w:sz w:val="17"/>
                <w:szCs w:val="17"/>
              </w:rPr>
              <w:t xml:space="preserve">Knowledge as an Institutional Asset</w:t>
            </w:r>
          </w:p>
        </w:tc>
        <w:tc>
          <w:tcPr>
            <w:tcW w:type="dxa" w:w="2560"/>
            <w:tcMar>
              <w:top w:type="dxa" w:w="90"/>
              <w:left w:type="dxa" w:w="100"/>
              <w:bottom w:type="dxa" w:w="90"/>
              <w:right w:type="dxa" w:w="100"/>
            </w:tcMar>
            <w:vAlign w:val="top"/>
          </w:tcPr>
          <w:p>
            <w:r>
              <w:rPr>
                <w:b w:val="false"/>
                <w:bCs w:val="false"/>
                <w:color w:val="000000"/>
                <w:sz w:val="17"/>
                <w:szCs w:val="17"/>
              </w:rPr>
              <w:t xml:space="preserve">Knowledge products are programme assets to be managed with the same discipline as financial or physical assets.</w:t>
            </w:r>
          </w:p>
        </w:tc>
        <w:tc>
          <w:tcPr>
            <w:tcW w:type="dxa" w:w="2560"/>
            <w:tcMar>
              <w:top w:type="dxa" w:w="90"/>
              <w:left w:type="dxa" w:w="100"/>
              <w:bottom w:type="dxa" w:w="90"/>
              <w:right w:type="dxa" w:w="100"/>
            </w:tcMar>
            <w:vAlign w:val="top"/>
          </w:tcPr>
          <w:p>
            <w:r>
              <w:rPr>
                <w:b w:val="false"/>
                <w:bCs w:val="false"/>
                <w:color w:val="000000"/>
                <w:sz w:val="17"/>
                <w:szCs w:val="17"/>
              </w:rPr>
              <w:t xml:space="preserve">Directly answers the TOR's own finding of inadequate knowledge capture, documentation, and dissemination.</w:t>
            </w:r>
          </w:p>
        </w:tc>
        <w:tc>
          <w:tcPr>
            <w:tcW w:type="dxa" w:w="2560"/>
            <w:tcMar>
              <w:top w:type="dxa" w:w="90"/>
              <w:left w:type="dxa" w:w="100"/>
              <w:bottom w:type="dxa" w:w="90"/>
              <w:right w:type="dxa" w:w="100"/>
            </w:tcMar>
            <w:vAlign w:val="top"/>
          </w:tcPr>
          <w:p>
            <w:r>
              <w:rPr>
                <w:b w:val="false"/>
                <w:bCs w:val="false"/>
                <w:color w:val="000000"/>
                <w:sz w:val="17"/>
                <w:szCs w:val="17"/>
              </w:rPr>
              <w:t xml:space="preserve">Named content stewardship, lifecycle management, and retention policy are required, not optional good practice.</w:t>
            </w:r>
          </w:p>
        </w:tc>
      </w:tr>
      <w:tr>
        <w:tc>
          <w:tcPr>
            <w:tcW w:type="dxa" w:w="2400"/>
            <w:tcMar>
              <w:top w:type="dxa" w:w="90"/>
              <w:left w:type="dxa" w:w="100"/>
              <w:bottom w:type="dxa" w:w="90"/>
              <w:right w:type="dxa" w:w="100"/>
            </w:tcMar>
            <w:vAlign w:val="top"/>
          </w:tcPr>
          <w:p>
            <w:r>
              <w:rPr>
                <w:b/>
                <w:bCs/>
                <w:color w:val="000000"/>
                <w:sz w:val="17"/>
                <w:szCs w:val="17"/>
              </w:rPr>
              <w:t xml:space="preserve">Capture at the Point of Creation</w:t>
            </w:r>
          </w:p>
        </w:tc>
        <w:tc>
          <w:tcPr>
            <w:tcW w:type="dxa" w:w="2560"/>
            <w:tcMar>
              <w:top w:type="dxa" w:w="90"/>
              <w:left w:type="dxa" w:w="100"/>
              <w:bottom w:type="dxa" w:w="90"/>
              <w:right w:type="dxa" w:w="100"/>
            </w:tcMar>
            <w:vAlign w:val="top"/>
          </w:tcPr>
          <w:p>
            <w:r>
              <w:rPr>
                <w:b w:val="false"/>
                <w:bCs w:val="false"/>
                <w:color w:val="000000"/>
                <w:sz w:val="17"/>
                <w:szCs w:val="17"/>
              </w:rPr>
              <w:t xml:space="preserve">Knowledge should be captured as close as possible to the activity that created it, not reconstructed later.</w:t>
            </w:r>
          </w:p>
        </w:tc>
        <w:tc>
          <w:tcPr>
            <w:tcW w:type="dxa" w:w="2560"/>
            <w:tcMar>
              <w:top w:type="dxa" w:w="90"/>
              <w:left w:type="dxa" w:w="100"/>
              <w:bottom w:type="dxa" w:w="90"/>
              <w:right w:type="dxa" w:w="100"/>
            </w:tcMar>
            <w:vAlign w:val="top"/>
          </w:tcPr>
          <w:p>
            <w:r>
              <w:rPr>
                <w:b w:val="false"/>
                <w:bCs w:val="false"/>
                <w:color w:val="000000"/>
                <w:sz w:val="17"/>
                <w:szCs w:val="17"/>
              </w:rPr>
              <w:t xml:space="preserve">Addresses the root cause of poor documentation identified in the Procurement Intelligence Report's pain diagnosis, rather than compensating after the fact.</w:t>
            </w:r>
          </w:p>
        </w:tc>
        <w:tc>
          <w:tcPr>
            <w:tcW w:type="dxa" w:w="2560"/>
            <w:tcMar>
              <w:top w:type="dxa" w:w="90"/>
              <w:left w:type="dxa" w:w="100"/>
              <w:bottom w:type="dxa" w:w="90"/>
              <w:right w:type="dxa" w:w="100"/>
            </w:tcMar>
            <w:vAlign w:val="top"/>
          </w:tcPr>
          <w:p>
            <w:r>
              <w:rPr>
                <w:b w:val="false"/>
                <w:bCs w:val="false"/>
                <w:color w:val="000000"/>
                <w:sz w:val="17"/>
                <w:szCs w:val="17"/>
              </w:rPr>
              <w:t xml:space="preserve">ESM workflows include a lightweight, mandatory knowledge-capture step (e.g., a completion note) rather than relying on separate, optional documentation effort.</w:t>
            </w:r>
          </w:p>
        </w:tc>
      </w:tr>
      <w:tr>
        <w:tc>
          <w:tcPr>
            <w:tcW w:type="dxa" w:w="2400"/>
            <w:tcMar>
              <w:top w:type="dxa" w:w="90"/>
              <w:left w:type="dxa" w:w="100"/>
              <w:bottom w:type="dxa" w:w="90"/>
              <w:right w:type="dxa" w:w="100"/>
            </w:tcMar>
            <w:vAlign w:val="top"/>
          </w:tcPr>
          <w:p>
            <w:r>
              <w:rPr>
                <w:b/>
                <w:bCs/>
                <w:color w:val="000000"/>
                <w:sz w:val="17"/>
                <w:szCs w:val="17"/>
              </w:rPr>
              <w:t xml:space="preserve">Findability Before Volume</w:t>
            </w:r>
          </w:p>
        </w:tc>
        <w:tc>
          <w:tcPr>
            <w:tcW w:type="dxa" w:w="2560"/>
            <w:tcMar>
              <w:top w:type="dxa" w:w="90"/>
              <w:left w:type="dxa" w:w="100"/>
              <w:bottom w:type="dxa" w:w="90"/>
              <w:right w:type="dxa" w:w="100"/>
            </w:tcMar>
            <w:vAlign w:val="top"/>
          </w:tcPr>
          <w:p>
            <w:r>
              <w:rPr>
                <w:b w:val="false"/>
                <w:bCs w:val="false"/>
                <w:color w:val="000000"/>
                <w:sz w:val="17"/>
                <w:szCs w:val="17"/>
              </w:rPr>
              <w:t xml:space="preserve">A smaller, well-tagged knowledge base stakeholders can actually find and use is more valuable than a large, poorly organized one.</w:t>
            </w:r>
          </w:p>
        </w:tc>
        <w:tc>
          <w:tcPr>
            <w:tcW w:type="dxa" w:w="2560"/>
            <w:tcMar>
              <w:top w:type="dxa" w:w="90"/>
              <w:left w:type="dxa" w:w="100"/>
              <w:bottom w:type="dxa" w:w="90"/>
              <w:right w:type="dxa" w:w="100"/>
            </w:tcMar>
            <w:vAlign w:val="top"/>
          </w:tcPr>
          <w:p>
            <w:r>
              <w:rPr>
                <w:b w:val="false"/>
                <w:bCs w:val="false"/>
                <w:color w:val="000000"/>
                <w:sz w:val="17"/>
                <w:szCs w:val="17"/>
              </w:rPr>
              <w:t xml:space="preserve">Directly addresses the pain point of difficulty retrieving reliable, up-to-date information.</w:t>
            </w:r>
          </w:p>
        </w:tc>
        <w:tc>
          <w:tcPr>
            <w:tcW w:type="dxa" w:w="2560"/>
            <w:tcMar>
              <w:top w:type="dxa" w:w="90"/>
              <w:left w:type="dxa" w:w="100"/>
              <w:bottom w:type="dxa" w:w="90"/>
              <w:right w:type="dxa" w:w="100"/>
            </w:tcMar>
            <w:vAlign w:val="top"/>
          </w:tcPr>
          <w:p>
            <w:r>
              <w:rPr>
                <w:b w:val="false"/>
                <w:bCs w:val="false"/>
                <w:color w:val="000000"/>
                <w:sz w:val="17"/>
                <w:szCs w:val="17"/>
              </w:rPr>
              <w:t xml:space="preserve">Taxonomy and metadata design precede and govern content-migration volume decisions, rather than migrating everything first and organizing later.</w:t>
            </w:r>
          </w:p>
        </w:tc>
      </w:tr>
      <w:tr>
        <w:tc>
          <w:tcPr>
            <w:tcW w:type="dxa" w:w="2400"/>
            <w:tcMar>
              <w:top w:type="dxa" w:w="90"/>
              <w:left w:type="dxa" w:w="100"/>
              <w:bottom w:type="dxa" w:w="90"/>
              <w:right w:type="dxa" w:w="100"/>
            </w:tcMar>
            <w:vAlign w:val="top"/>
          </w:tcPr>
          <w:p>
            <w:r>
              <w:rPr>
                <w:b/>
                <w:bCs/>
                <w:color w:val="000000"/>
                <w:sz w:val="17"/>
                <w:szCs w:val="17"/>
              </w:rPr>
              <w:t xml:space="preserve">Communities of Practice Over Central Broadcast</w:t>
            </w:r>
          </w:p>
        </w:tc>
        <w:tc>
          <w:tcPr>
            <w:tcW w:type="dxa" w:w="2560"/>
            <w:tcMar>
              <w:top w:type="dxa" w:w="90"/>
              <w:left w:type="dxa" w:w="100"/>
              <w:bottom w:type="dxa" w:w="90"/>
              <w:right w:type="dxa" w:w="100"/>
            </w:tcMar>
            <w:vAlign w:val="top"/>
          </w:tcPr>
          <w:p>
            <w:r>
              <w:rPr>
                <w:b w:val="false"/>
                <w:bCs w:val="false"/>
                <w:color w:val="000000"/>
                <w:sz w:val="17"/>
                <w:szCs w:val="17"/>
              </w:rPr>
              <w:t xml:space="preserve">Knowledge sharing across the seven states should enable peer-to-peer exchange, not only top-down federal-to-state broadcast.</w:t>
            </w:r>
          </w:p>
        </w:tc>
        <w:tc>
          <w:tcPr>
            <w:tcW w:type="dxa" w:w="2560"/>
            <w:tcMar>
              <w:top w:type="dxa" w:w="90"/>
              <w:left w:type="dxa" w:w="100"/>
              <w:bottom w:type="dxa" w:w="90"/>
              <w:right w:type="dxa" w:w="100"/>
            </w:tcMar>
            <w:vAlign w:val="top"/>
          </w:tcPr>
          <w:p>
            <w:r>
              <w:rPr>
                <w:b w:val="false"/>
                <w:bCs w:val="false"/>
                <w:color w:val="000000"/>
                <w:sz w:val="17"/>
                <w:szCs w:val="17"/>
              </w:rPr>
              <w:t xml:space="preserve">Addresses weak cross-state coordination and knowledge-sharing pain points; consistent with the champions-network change-management design.</w:t>
            </w:r>
          </w:p>
        </w:tc>
        <w:tc>
          <w:tcPr>
            <w:tcW w:type="dxa" w:w="2560"/>
            <w:tcMar>
              <w:top w:type="dxa" w:w="90"/>
              <w:left w:type="dxa" w:w="100"/>
              <w:bottom w:type="dxa" w:w="90"/>
              <w:right w:type="dxa" w:w="100"/>
            </w:tcMar>
            <w:vAlign w:val="top"/>
          </w:tcPr>
          <w:p>
            <w:r>
              <w:rPr>
                <w:b w:val="false"/>
                <w:bCs w:val="false"/>
                <w:color w:val="000000"/>
                <w:sz w:val="17"/>
                <w:szCs w:val="17"/>
              </w:rPr>
              <w:t xml:space="preserve">CKR should support state-level contribution mechanisms, not only federal-level publishing.</w:t>
            </w:r>
          </w:p>
        </w:tc>
      </w:tr>
    </w:tbl>
    <w:p>
      <w:pPr>
        <w:pStyle w:val="Heading1"/>
        <w:spacing w:after="140" w:before="320"/>
      </w:pPr>
      <w:r>
        <w:t xml:space="preserve">10. Information Governance Principles</w:t>
      </w:r>
    </w:p>
    <w:p>
      <w:pPr>
        <w:spacing w:after="160"/>
      </w:pPr>
      <w:r>
        <w:rPr>
          <w:i/>
          <w:iCs/>
          <w:color w:val="555555"/>
          <w:sz w:val="19"/>
          <w:szCs w:val="19"/>
        </w:rPr>
        <w:t xml:space="preserve">Principles aligned to the DAMA-DMBOK data-management framework, governing data ownership, quality, classification, and cross-donor data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rPr>
          <w:tblHeader/>
        </w:trPr>
        <w:tc>
          <w:tcPr>
            <w:tcW w:type="dxa" w:w="2400"/>
            <w:shd w:fill="922B21" w:val="clear"/>
            <w:tcMar>
              <w:top w:type="dxa" w:w="90"/>
              <w:left w:type="dxa" w:w="100"/>
              <w:bottom w:type="dxa" w:w="90"/>
              <w:right w:type="dxa" w:w="100"/>
            </w:tcMar>
            <w:vAlign w:val="top"/>
          </w:tcPr>
          <w:p>
            <w:r>
              <w:rPr>
                <w:b/>
                <w:bCs/>
                <w:color w:val="FFFFFF"/>
                <w:sz w:val="17"/>
                <w:szCs w:val="17"/>
              </w:rPr>
              <w:t xml:space="preserve">Principle</w:t>
            </w:r>
          </w:p>
        </w:tc>
        <w:tc>
          <w:tcPr>
            <w:tcW w:type="dxa" w:w="2560"/>
            <w:shd w:fill="922B21" w:val="clear"/>
            <w:tcMar>
              <w:top w:type="dxa" w:w="90"/>
              <w:left w:type="dxa" w:w="100"/>
              <w:bottom w:type="dxa" w:w="90"/>
              <w:right w:type="dxa" w:w="100"/>
            </w:tcMar>
            <w:vAlign w:val="top"/>
          </w:tcPr>
          <w:p>
            <w:r>
              <w:rPr>
                <w:b/>
                <w:bCs/>
                <w:color w:val="FFFFFF"/>
                <w:sz w:val="17"/>
                <w:szCs w:val="17"/>
              </w:rPr>
              <w:t xml:space="preserve">Statement</w:t>
            </w:r>
          </w:p>
        </w:tc>
        <w:tc>
          <w:tcPr>
            <w:tcW w:type="dxa" w:w="2560"/>
            <w:shd w:fill="922B21" w:val="clear"/>
            <w:tcMar>
              <w:top w:type="dxa" w:w="90"/>
              <w:left w:type="dxa" w:w="100"/>
              <w:bottom w:type="dxa" w:w="90"/>
              <w:right w:type="dxa" w:w="100"/>
            </w:tcMar>
            <w:vAlign w:val="top"/>
          </w:tcPr>
          <w:p>
            <w:r>
              <w:rPr>
                <w:b/>
                <w:bCs/>
                <w:color w:val="FFFFFF"/>
                <w:sz w:val="17"/>
                <w:szCs w:val="17"/>
              </w:rPr>
              <w:t xml:space="preserve">Rationale</w:t>
            </w:r>
          </w:p>
        </w:tc>
        <w:tc>
          <w:tcPr>
            <w:tcW w:type="dxa" w:w="2560"/>
            <w:shd w:fill="922B21" w:val="clear"/>
            <w:tcMar>
              <w:top w:type="dxa" w:w="90"/>
              <w:left w:type="dxa" w:w="100"/>
              <w:bottom w:type="dxa" w:w="90"/>
              <w:right w:type="dxa" w:w="100"/>
            </w:tcMar>
            <w:vAlign w:val="top"/>
          </w:tcPr>
          <w:p>
            <w:r>
              <w:rPr>
                <w:b/>
                <w:bCs/>
                <w:color w:val="FFFFFF"/>
                <w:sz w:val="17"/>
                <w:szCs w:val="17"/>
              </w:rPr>
              <w:t xml:space="preserve">Implications</w:t>
            </w:r>
          </w:p>
        </w:tc>
      </w:tr>
      <w:tr>
        <w:tc>
          <w:tcPr>
            <w:tcW w:type="dxa" w:w="2400"/>
            <w:tcMar>
              <w:top w:type="dxa" w:w="90"/>
              <w:left w:type="dxa" w:w="100"/>
              <w:bottom w:type="dxa" w:w="90"/>
              <w:right w:type="dxa" w:w="100"/>
            </w:tcMar>
            <w:vAlign w:val="top"/>
          </w:tcPr>
          <w:p>
            <w:r>
              <w:rPr>
                <w:b/>
                <w:bCs/>
                <w:color w:val="000000"/>
                <w:sz w:val="17"/>
                <w:szCs w:val="17"/>
              </w:rPr>
              <w:t xml:space="preserve">Named Data Stewardship</w:t>
            </w:r>
          </w:p>
        </w:tc>
        <w:tc>
          <w:tcPr>
            <w:tcW w:type="dxa" w:w="2560"/>
            <w:tcMar>
              <w:top w:type="dxa" w:w="90"/>
              <w:left w:type="dxa" w:w="100"/>
              <w:bottom w:type="dxa" w:w="90"/>
              <w:right w:type="dxa" w:w="100"/>
            </w:tcMar>
            <w:vAlign w:val="top"/>
          </w:tcPr>
          <w:p>
            <w:r>
              <w:rPr>
                <w:b w:val="false"/>
                <w:bCs w:val="false"/>
                <w:color w:val="000000"/>
                <w:sz w:val="17"/>
                <w:szCs w:val="17"/>
              </w:rPr>
              <w:t xml:space="preserve">Every data domain — documents, workflow records, knowledge assets — has a named, accountable steward.</w:t>
            </w:r>
          </w:p>
        </w:tc>
        <w:tc>
          <w:tcPr>
            <w:tcW w:type="dxa" w:w="2560"/>
            <w:tcMar>
              <w:top w:type="dxa" w:w="90"/>
              <w:left w:type="dxa" w:w="100"/>
              <w:bottom w:type="dxa" w:w="90"/>
              <w:right w:type="dxa" w:w="100"/>
            </w:tcMar>
            <w:vAlign w:val="top"/>
          </w:tcPr>
          <w:p>
            <w:r>
              <w:rPr>
                <w:b w:val="false"/>
                <w:bCs w:val="false"/>
                <w:color w:val="000000"/>
                <w:sz w:val="17"/>
                <w:szCs w:val="17"/>
              </w:rPr>
              <w:t xml:space="preserve">Core DAMA-DMBOK data-governance discipline; resolves the RACI ambiguity around content decisions identified in the Master Bid &amp; Delivery Strategy.</w:t>
            </w:r>
          </w:p>
        </w:tc>
        <w:tc>
          <w:tcPr>
            <w:tcW w:type="dxa" w:w="2560"/>
            <w:tcMar>
              <w:top w:type="dxa" w:w="90"/>
              <w:left w:type="dxa" w:w="100"/>
              <w:bottom w:type="dxa" w:w="90"/>
              <w:right w:type="dxa" w:w="100"/>
            </w:tcMar>
            <w:vAlign w:val="top"/>
          </w:tcPr>
          <w:p>
            <w:r>
              <w:rPr>
                <w:b w:val="false"/>
                <w:bCs w:val="false"/>
                <w:color w:val="000000"/>
                <w:sz w:val="17"/>
                <w:szCs w:val="17"/>
              </w:rPr>
              <w:t xml:space="preserve">The Data &amp; Content Governance Charter must name specific roles and individuals, not merely state a policy.</w:t>
            </w:r>
          </w:p>
        </w:tc>
      </w:tr>
      <w:tr>
        <w:tc>
          <w:tcPr>
            <w:tcW w:type="dxa" w:w="2400"/>
            <w:tcMar>
              <w:top w:type="dxa" w:w="90"/>
              <w:left w:type="dxa" w:w="100"/>
              <w:bottom w:type="dxa" w:w="90"/>
              <w:right w:type="dxa" w:w="100"/>
            </w:tcMar>
            <w:vAlign w:val="top"/>
          </w:tcPr>
          <w:p>
            <w:r>
              <w:rPr>
                <w:b/>
                <w:bCs/>
                <w:color w:val="000000"/>
                <w:sz w:val="17"/>
                <w:szCs w:val="17"/>
              </w:rPr>
              <w:t xml:space="preserve">Data Quality Is Designed, Not Inspected In</w:t>
            </w:r>
          </w:p>
        </w:tc>
        <w:tc>
          <w:tcPr>
            <w:tcW w:type="dxa" w:w="2560"/>
            <w:tcMar>
              <w:top w:type="dxa" w:w="90"/>
              <w:left w:type="dxa" w:w="100"/>
              <w:bottom w:type="dxa" w:w="90"/>
              <w:right w:type="dxa" w:w="100"/>
            </w:tcMar>
            <w:vAlign w:val="top"/>
          </w:tcPr>
          <w:p>
            <w:r>
              <w:rPr>
                <w:b w:val="false"/>
                <w:bCs w:val="false"/>
                <w:color w:val="000000"/>
                <w:sz w:val="17"/>
                <w:szCs w:val="17"/>
              </w:rPr>
              <w:t xml:space="preserve">Data-quality controls — validation, mandatory metadata fields — are built into capture workflows rather than corrected after the fact.</w:t>
            </w:r>
          </w:p>
        </w:tc>
        <w:tc>
          <w:tcPr>
            <w:tcW w:type="dxa" w:w="2560"/>
            <w:tcMar>
              <w:top w:type="dxa" w:w="90"/>
              <w:left w:type="dxa" w:w="100"/>
              <w:bottom w:type="dxa" w:w="90"/>
              <w:right w:type="dxa" w:w="100"/>
            </w:tcMar>
            <w:vAlign w:val="top"/>
          </w:tcPr>
          <w:p>
            <w:r>
              <w:rPr>
                <w:b w:val="false"/>
                <w:bCs w:val="false"/>
                <w:color w:val="000000"/>
                <w:sz w:val="17"/>
                <w:szCs w:val="17"/>
              </w:rPr>
              <w:t xml:space="preserve">Standard DAMA-DMBOK data-quality-management practice; supports the audit-before-migrate mitigation for migration risk.</w:t>
            </w:r>
          </w:p>
        </w:tc>
        <w:tc>
          <w:tcPr>
            <w:tcW w:type="dxa" w:w="2560"/>
            <w:tcMar>
              <w:top w:type="dxa" w:w="90"/>
              <w:left w:type="dxa" w:w="100"/>
              <w:bottom w:type="dxa" w:w="90"/>
              <w:right w:type="dxa" w:w="100"/>
            </w:tcMar>
            <w:vAlign w:val="top"/>
          </w:tcPr>
          <w:p>
            <w:r>
              <w:rPr>
                <w:b w:val="false"/>
                <w:bCs w:val="false"/>
                <w:color w:val="000000"/>
                <w:sz w:val="17"/>
                <w:szCs w:val="17"/>
              </w:rPr>
              <w:t xml:space="preserve">ESM and CKR intake forms enforce metadata completeness at the point of entry, not through later cleanup exercises.</w:t>
            </w:r>
          </w:p>
        </w:tc>
      </w:tr>
      <w:tr>
        <w:tc>
          <w:tcPr>
            <w:tcW w:type="dxa" w:w="2400"/>
            <w:tcMar>
              <w:top w:type="dxa" w:w="90"/>
              <w:left w:type="dxa" w:w="100"/>
              <w:bottom w:type="dxa" w:w="90"/>
              <w:right w:type="dxa" w:w="100"/>
            </w:tcMar>
            <w:vAlign w:val="top"/>
          </w:tcPr>
          <w:p>
            <w:r>
              <w:rPr>
                <w:b/>
                <w:bCs/>
                <w:color w:val="000000"/>
                <w:sz w:val="17"/>
                <w:szCs w:val="17"/>
              </w:rPr>
              <w:t xml:space="preserve">Classification Before Sharing</w:t>
            </w:r>
          </w:p>
        </w:tc>
        <w:tc>
          <w:tcPr>
            <w:tcW w:type="dxa" w:w="2560"/>
            <w:tcMar>
              <w:top w:type="dxa" w:w="90"/>
              <w:left w:type="dxa" w:w="100"/>
              <w:bottom w:type="dxa" w:w="90"/>
              <w:right w:type="dxa" w:w="100"/>
            </w:tcMar>
            <w:vAlign w:val="top"/>
          </w:tcPr>
          <w:p>
            <w:r>
              <w:rPr>
                <w:b w:val="false"/>
                <w:bCs w:val="false"/>
                <w:color w:val="000000"/>
                <w:sz w:val="17"/>
                <w:szCs w:val="17"/>
              </w:rPr>
              <w:t xml:space="preserve">Every information asset is classified — public, internal, or restricted — before it is stored, governing which system it belongs in.</w:t>
            </w:r>
          </w:p>
        </w:tc>
        <w:tc>
          <w:tcPr>
            <w:tcW w:type="dxa" w:w="2560"/>
            <w:tcMar>
              <w:top w:type="dxa" w:w="90"/>
              <w:left w:type="dxa" w:w="100"/>
              <w:bottom w:type="dxa" w:w="90"/>
              <w:right w:type="dxa" w:w="100"/>
            </w:tcMar>
            <w:vAlign w:val="top"/>
          </w:tcPr>
          <w:p>
            <w:r>
              <w:rPr>
                <w:b w:val="false"/>
                <w:bCs w:val="false"/>
                <w:color w:val="000000"/>
                <w:sz w:val="17"/>
                <w:szCs w:val="17"/>
              </w:rPr>
              <w:t xml:space="preserve">Supports security-by-design and NDPR compliance; operationalizes the ESM/CKR separation-of-concerns principle.</w:t>
            </w:r>
          </w:p>
        </w:tc>
        <w:tc>
          <w:tcPr>
            <w:tcW w:type="dxa" w:w="2560"/>
            <w:tcMar>
              <w:top w:type="dxa" w:w="90"/>
              <w:left w:type="dxa" w:w="100"/>
              <w:bottom w:type="dxa" w:w="90"/>
              <w:right w:type="dxa" w:w="100"/>
            </w:tcMar>
            <w:vAlign w:val="top"/>
          </w:tcPr>
          <w:p>
            <w:r>
              <w:rPr>
                <w:b w:val="false"/>
                <w:bCs w:val="false"/>
                <w:color w:val="000000"/>
                <w:sz w:val="17"/>
                <w:szCs w:val="17"/>
              </w:rPr>
              <w:t xml:space="preserve">Classification is a mandatory workflow step at creation, not a discretionary judgment applied inconsistently later.</w:t>
            </w:r>
          </w:p>
        </w:tc>
      </w:tr>
      <w:tr>
        <w:tc>
          <w:tcPr>
            <w:tcW w:type="dxa" w:w="2400"/>
            <w:tcMar>
              <w:top w:type="dxa" w:w="90"/>
              <w:left w:type="dxa" w:w="100"/>
              <w:bottom w:type="dxa" w:w="90"/>
              <w:right w:type="dxa" w:w="100"/>
            </w:tcMar>
            <w:vAlign w:val="top"/>
          </w:tcPr>
          <w:p>
            <w:r>
              <w:rPr>
                <w:b/>
                <w:bCs/>
                <w:color w:val="000000"/>
                <w:sz w:val="17"/>
                <w:szCs w:val="17"/>
              </w:rPr>
              <w:t xml:space="preserve">Sovereign and Donor-Aligned Data Handling</w:t>
            </w:r>
          </w:p>
        </w:tc>
        <w:tc>
          <w:tcPr>
            <w:tcW w:type="dxa" w:w="2560"/>
            <w:tcMar>
              <w:top w:type="dxa" w:w="90"/>
              <w:left w:type="dxa" w:w="100"/>
              <w:bottom w:type="dxa" w:w="90"/>
              <w:right w:type="dxa" w:w="100"/>
            </w:tcMar>
            <w:vAlign w:val="top"/>
          </w:tcPr>
          <w:p>
            <w:r>
              <w:rPr>
                <w:b w:val="false"/>
                <w:bCs w:val="false"/>
                <w:color w:val="000000"/>
                <w:sz w:val="17"/>
                <w:szCs w:val="17"/>
              </w:rPr>
              <w:t xml:space="preserve">Data-handling practices must simultaneously satisfy Nigerian law and the differing expectations of three co-financing institutions.</w:t>
            </w:r>
          </w:p>
        </w:tc>
        <w:tc>
          <w:tcPr>
            <w:tcW w:type="dxa" w:w="2560"/>
            <w:tcMar>
              <w:top w:type="dxa" w:w="90"/>
              <w:left w:type="dxa" w:w="100"/>
              <w:bottom w:type="dxa" w:w="90"/>
              <w:right w:type="dxa" w:w="100"/>
            </w:tcMar>
            <w:vAlign w:val="top"/>
          </w:tcPr>
          <w:p>
            <w:r>
              <w:rPr>
                <w:b w:val="false"/>
                <w:bCs w:val="false"/>
                <w:color w:val="000000"/>
                <w:sz w:val="17"/>
                <w:szCs w:val="17"/>
              </w:rPr>
              <w:t xml:space="preserve">Addresses the tri-donor data-governance risk identified in the Master Bid &amp; Delivery Strategy as unaddressed by the TOR.</w:t>
            </w:r>
          </w:p>
        </w:tc>
        <w:tc>
          <w:tcPr>
            <w:tcW w:type="dxa" w:w="2560"/>
            <w:tcMar>
              <w:top w:type="dxa" w:w="90"/>
              <w:left w:type="dxa" w:w="100"/>
              <w:bottom w:type="dxa" w:w="90"/>
              <w:right w:type="dxa" w:w="100"/>
            </w:tcMar>
            <w:vAlign w:val="top"/>
          </w:tcPr>
          <w:p>
            <w:r>
              <w:rPr>
                <w:b w:val="false"/>
                <w:bCs w:val="false"/>
                <w:color w:val="000000"/>
                <w:sz w:val="17"/>
                <w:szCs w:val="17"/>
              </w:rPr>
              <w:t xml:space="preserve">A donor-alignment review is a standing Information Governance Board agenda item, not an ad hoc, one-time check during Inception.</w:t>
            </w:r>
          </w:p>
        </w:tc>
      </w:tr>
    </w:tbl>
    <w:p>
      <w:pPr>
        <w:pStyle w:val="Heading1"/>
        <w:spacing w:after="140" w:before="320"/>
      </w:pPr>
      <w:r>
        <w:t xml:space="preserve">11. Technology Principles</w:t>
      </w:r>
    </w:p>
    <w:p>
      <w:pPr>
        <w:spacing w:after="160"/>
      </w:pPr>
      <w:r>
        <w:rPr>
          <w:i/>
          <w:iCs/>
          <w:color w:val="555555"/>
          <w:sz w:val="19"/>
          <w:szCs w:val="19"/>
        </w:rPr>
        <w:t xml:space="preserve">Principles governing infrastructure and platform choices, aligned to the AWS Well-Architected Framework, the Microsoft Azure Architecture Framework, ISO 27001/20000, and DevSecOps practice.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rPr>
          <w:tblHeader/>
        </w:trPr>
        <w:tc>
          <w:tcPr>
            <w:tcW w:type="dxa" w:w="2400"/>
            <w:shd w:fill="6E2C00" w:val="clear"/>
            <w:tcMar>
              <w:top w:type="dxa" w:w="90"/>
              <w:left w:type="dxa" w:w="100"/>
              <w:bottom w:type="dxa" w:w="90"/>
              <w:right w:type="dxa" w:w="100"/>
            </w:tcMar>
            <w:vAlign w:val="top"/>
          </w:tcPr>
          <w:p>
            <w:r>
              <w:rPr>
                <w:b/>
                <w:bCs/>
                <w:color w:val="FFFFFF"/>
                <w:sz w:val="17"/>
                <w:szCs w:val="17"/>
              </w:rPr>
              <w:t xml:space="preserve">Principle</w:t>
            </w:r>
          </w:p>
        </w:tc>
        <w:tc>
          <w:tcPr>
            <w:tcW w:type="dxa" w:w="2560"/>
            <w:shd w:fill="6E2C00" w:val="clear"/>
            <w:tcMar>
              <w:top w:type="dxa" w:w="90"/>
              <w:left w:type="dxa" w:w="100"/>
              <w:bottom w:type="dxa" w:w="90"/>
              <w:right w:type="dxa" w:w="100"/>
            </w:tcMar>
            <w:vAlign w:val="top"/>
          </w:tcPr>
          <w:p>
            <w:r>
              <w:rPr>
                <w:b/>
                <w:bCs/>
                <w:color w:val="FFFFFF"/>
                <w:sz w:val="17"/>
                <w:szCs w:val="17"/>
              </w:rPr>
              <w:t xml:space="preserve">Statement</w:t>
            </w:r>
          </w:p>
        </w:tc>
        <w:tc>
          <w:tcPr>
            <w:tcW w:type="dxa" w:w="2560"/>
            <w:shd w:fill="6E2C00" w:val="clear"/>
            <w:tcMar>
              <w:top w:type="dxa" w:w="90"/>
              <w:left w:type="dxa" w:w="100"/>
              <w:bottom w:type="dxa" w:w="90"/>
              <w:right w:type="dxa" w:w="100"/>
            </w:tcMar>
            <w:vAlign w:val="top"/>
          </w:tcPr>
          <w:p>
            <w:r>
              <w:rPr>
                <w:b/>
                <w:bCs/>
                <w:color w:val="FFFFFF"/>
                <w:sz w:val="17"/>
                <w:szCs w:val="17"/>
              </w:rPr>
              <w:t xml:space="preserve">Rationale</w:t>
            </w:r>
          </w:p>
        </w:tc>
        <w:tc>
          <w:tcPr>
            <w:tcW w:type="dxa" w:w="2560"/>
            <w:shd w:fill="6E2C00" w:val="clear"/>
            <w:tcMar>
              <w:top w:type="dxa" w:w="90"/>
              <w:left w:type="dxa" w:w="100"/>
              <w:bottom w:type="dxa" w:w="90"/>
              <w:right w:type="dxa" w:w="100"/>
            </w:tcMar>
            <w:vAlign w:val="top"/>
          </w:tcPr>
          <w:p>
            <w:r>
              <w:rPr>
                <w:b/>
                <w:bCs/>
                <w:color w:val="FFFFFF"/>
                <w:sz w:val="17"/>
                <w:szCs w:val="17"/>
              </w:rPr>
              <w:t xml:space="preserve">Implications</w:t>
            </w:r>
          </w:p>
        </w:tc>
      </w:tr>
      <w:tr>
        <w:tc>
          <w:tcPr>
            <w:tcW w:type="dxa" w:w="2400"/>
            <w:tcMar>
              <w:top w:type="dxa" w:w="90"/>
              <w:left w:type="dxa" w:w="100"/>
              <w:bottom w:type="dxa" w:w="90"/>
              <w:right w:type="dxa" w:w="100"/>
            </w:tcMar>
            <w:vAlign w:val="top"/>
          </w:tcPr>
          <w:p>
            <w:r>
              <w:rPr>
                <w:b/>
                <w:bCs/>
                <w:color w:val="000000"/>
                <w:sz w:val="17"/>
                <w:szCs w:val="17"/>
              </w:rPr>
              <w:t xml:space="preserve">Cloud-First, Workload-Appropriate</w:t>
            </w:r>
          </w:p>
        </w:tc>
        <w:tc>
          <w:tcPr>
            <w:tcW w:type="dxa" w:w="2560"/>
            <w:tcMar>
              <w:top w:type="dxa" w:w="90"/>
              <w:left w:type="dxa" w:w="100"/>
              <w:bottom w:type="dxa" w:w="90"/>
              <w:right w:type="dxa" w:w="100"/>
            </w:tcMar>
            <w:vAlign w:val="top"/>
          </w:tcPr>
          <w:p>
            <w:r>
              <w:rPr>
                <w:b w:val="false"/>
                <w:bCs w:val="false"/>
                <w:color w:val="000000"/>
                <w:sz w:val="17"/>
                <w:szCs w:val="17"/>
              </w:rPr>
              <w:t xml:space="preserve">Cloud hosting is the default choice, with the specific service model (SaaS, PaaS, or IaaS) selected per workload rather than one blanket choice.</w:t>
            </w:r>
          </w:p>
        </w:tc>
        <w:tc>
          <w:tcPr>
            <w:tcW w:type="dxa" w:w="2560"/>
            <w:tcMar>
              <w:top w:type="dxa" w:w="90"/>
              <w:left w:type="dxa" w:w="100"/>
              <w:bottom w:type="dxa" w:w="90"/>
              <w:right w:type="dxa" w:w="100"/>
            </w:tcMar>
            <w:vAlign w:val="top"/>
          </w:tcPr>
          <w:p>
            <w:r>
              <w:rPr>
                <w:b w:val="false"/>
                <w:bCs w:val="false"/>
                <w:color w:val="000000"/>
                <w:sz w:val="17"/>
                <w:szCs w:val="17"/>
              </w:rPr>
              <w:t xml:space="preserve">Consistent with both the AWS Well-Architected Framework and the Microsoft Azure Architecture Framework's emphasis on managed services where appropriate.</w:t>
            </w:r>
          </w:p>
        </w:tc>
        <w:tc>
          <w:tcPr>
            <w:tcW w:type="dxa" w:w="2560"/>
            <w:tcMar>
              <w:top w:type="dxa" w:w="90"/>
              <w:left w:type="dxa" w:w="100"/>
              <w:bottom w:type="dxa" w:w="90"/>
              <w:right w:type="dxa" w:w="100"/>
            </w:tcMar>
            <w:vAlign w:val="top"/>
          </w:tcPr>
          <w:p>
            <w:r>
              <w:rPr>
                <w:b w:val="false"/>
                <w:bCs w:val="false"/>
                <w:color w:val="000000"/>
                <w:sz w:val="17"/>
                <w:szCs w:val="17"/>
              </w:rPr>
              <w:t xml:space="preserve">Platform selection during design documents the Well-Architected trade-offs considered — cost, operational excellence, reliability, performance, security — for each major component.</w:t>
            </w:r>
          </w:p>
        </w:tc>
      </w:tr>
      <w:tr>
        <w:tc>
          <w:tcPr>
            <w:tcW w:type="dxa" w:w="2400"/>
            <w:tcMar>
              <w:top w:type="dxa" w:w="90"/>
              <w:left w:type="dxa" w:w="100"/>
              <w:bottom w:type="dxa" w:w="90"/>
              <w:right w:type="dxa" w:w="100"/>
            </w:tcMar>
            <w:vAlign w:val="top"/>
          </w:tcPr>
          <w:p>
            <w:r>
              <w:rPr>
                <w:b/>
                <w:bCs/>
                <w:color w:val="000000"/>
                <w:sz w:val="17"/>
                <w:szCs w:val="17"/>
              </w:rPr>
              <w:t xml:space="preserve">Open Standards Over Proprietary Lock-In</w:t>
            </w:r>
          </w:p>
        </w:tc>
        <w:tc>
          <w:tcPr>
            <w:tcW w:type="dxa" w:w="2560"/>
            <w:tcMar>
              <w:top w:type="dxa" w:w="90"/>
              <w:left w:type="dxa" w:w="100"/>
              <w:bottom w:type="dxa" w:w="90"/>
              <w:right w:type="dxa" w:w="100"/>
            </w:tcMar>
            <w:vAlign w:val="top"/>
          </w:tcPr>
          <w:p>
            <w:r>
              <w:rPr>
                <w:b w:val="false"/>
                <w:bCs w:val="false"/>
                <w:color w:val="000000"/>
                <w:sz w:val="17"/>
                <w:szCs w:val="17"/>
              </w:rPr>
              <w:t xml:space="preserve">Prefer open data formats, standard APIs, and portable architectures over vendor-proprietary alternatives.</w:t>
            </w:r>
          </w:p>
        </w:tc>
        <w:tc>
          <w:tcPr>
            <w:tcW w:type="dxa" w:w="2560"/>
            <w:tcMar>
              <w:top w:type="dxa" w:w="90"/>
              <w:left w:type="dxa" w:w="100"/>
              <w:bottom w:type="dxa" w:w="90"/>
              <w:right w:type="dxa" w:w="100"/>
            </w:tcMar>
            <w:vAlign w:val="top"/>
          </w:tcPr>
          <w:p>
            <w:r>
              <w:rPr>
                <w:b w:val="false"/>
                <w:bCs w:val="false"/>
                <w:color w:val="000000"/>
                <w:sz w:val="17"/>
                <w:szCs w:val="17"/>
              </w:rPr>
              <w:t xml:space="preserve">Directly mitigates the vendor/licensing lock-in risk identified in the Master Bid &amp; Delivery Strategy; supports long-term sustainability.</w:t>
            </w:r>
          </w:p>
        </w:tc>
        <w:tc>
          <w:tcPr>
            <w:tcW w:type="dxa" w:w="2560"/>
            <w:tcMar>
              <w:top w:type="dxa" w:w="90"/>
              <w:left w:type="dxa" w:w="100"/>
              <w:bottom w:type="dxa" w:w="90"/>
              <w:right w:type="dxa" w:w="100"/>
            </w:tcMar>
            <w:vAlign w:val="top"/>
          </w:tcPr>
          <w:p>
            <w:r>
              <w:rPr>
                <w:b w:val="false"/>
                <w:bCs w:val="false"/>
                <w:color w:val="000000"/>
                <w:sz w:val="17"/>
                <w:szCs w:val="17"/>
              </w:rPr>
              <w:t xml:space="preserve">Any proprietary technology choice must be explicitly justified against this principle, not adopted by default convenience.</w:t>
            </w:r>
          </w:p>
        </w:tc>
      </w:tr>
      <w:tr>
        <w:tc>
          <w:tcPr>
            <w:tcW w:type="dxa" w:w="2400"/>
            <w:tcMar>
              <w:top w:type="dxa" w:w="90"/>
              <w:left w:type="dxa" w:w="100"/>
              <w:bottom w:type="dxa" w:w="90"/>
              <w:right w:type="dxa" w:w="100"/>
            </w:tcMar>
            <w:vAlign w:val="top"/>
          </w:tcPr>
          <w:p>
            <w:r>
              <w:rPr>
                <w:b/>
                <w:bCs/>
                <w:color w:val="000000"/>
                <w:sz w:val="17"/>
                <w:szCs w:val="17"/>
              </w:rPr>
              <w:t xml:space="preserve">Security as a Continuous Practice, Not a Milestone</w:t>
            </w:r>
          </w:p>
        </w:tc>
        <w:tc>
          <w:tcPr>
            <w:tcW w:type="dxa" w:w="2560"/>
            <w:tcMar>
              <w:top w:type="dxa" w:w="90"/>
              <w:left w:type="dxa" w:w="100"/>
              <w:bottom w:type="dxa" w:w="90"/>
              <w:right w:type="dxa" w:w="100"/>
            </w:tcMar>
            <w:vAlign w:val="top"/>
          </w:tcPr>
          <w:p>
            <w:r>
              <w:rPr>
                <w:b w:val="false"/>
                <w:bCs w:val="false"/>
                <w:color w:val="000000"/>
                <w:sz w:val="17"/>
                <w:szCs w:val="17"/>
              </w:rPr>
              <w:t xml:space="preserve">Security is managed as an ongoing operational discipline aligned to ISO 27001 and ISO 20000, not a one-time pre-go-live checkpoint.</w:t>
            </w:r>
          </w:p>
        </w:tc>
        <w:tc>
          <w:tcPr>
            <w:tcW w:type="dxa" w:w="2560"/>
            <w:tcMar>
              <w:top w:type="dxa" w:w="90"/>
              <w:left w:type="dxa" w:w="100"/>
              <w:bottom w:type="dxa" w:w="90"/>
              <w:right w:type="dxa" w:w="100"/>
            </w:tcMar>
            <w:vAlign w:val="top"/>
          </w:tcPr>
          <w:p>
            <w:r>
              <w:rPr>
                <w:b w:val="false"/>
                <w:bCs w:val="false"/>
                <w:color w:val="000000"/>
                <w:sz w:val="17"/>
                <w:szCs w:val="17"/>
              </w:rPr>
              <w:t xml:space="preserve">Reflects the ISO 27001 ISMS continuous-improvement cycle and DevSecOps practice of embedding security into delivery pipelines.</w:t>
            </w:r>
          </w:p>
        </w:tc>
        <w:tc>
          <w:tcPr>
            <w:tcW w:type="dxa" w:w="2560"/>
            <w:tcMar>
              <w:top w:type="dxa" w:w="90"/>
              <w:left w:type="dxa" w:w="100"/>
              <w:bottom w:type="dxa" w:w="90"/>
              <w:right w:type="dxa" w:w="100"/>
            </w:tcMar>
            <w:vAlign w:val="top"/>
          </w:tcPr>
          <w:p>
            <w:r>
              <w:rPr>
                <w:b w:val="false"/>
                <w:bCs w:val="false"/>
                <w:color w:val="000000"/>
                <w:sz w:val="17"/>
                <w:szCs w:val="17"/>
              </w:rPr>
              <w:t xml:space="preserve">Security testing and review occur in every development sprint, not only immediately before go-live.</w:t>
            </w:r>
          </w:p>
        </w:tc>
      </w:tr>
      <w:tr>
        <w:tc>
          <w:tcPr>
            <w:tcW w:type="dxa" w:w="2400"/>
            <w:tcMar>
              <w:top w:type="dxa" w:w="90"/>
              <w:left w:type="dxa" w:w="100"/>
              <w:bottom w:type="dxa" w:w="90"/>
              <w:right w:type="dxa" w:w="100"/>
            </w:tcMar>
            <w:vAlign w:val="top"/>
          </w:tcPr>
          <w:p>
            <w:r>
              <w:rPr>
                <w:b/>
                <w:bCs/>
                <w:color w:val="000000"/>
                <w:sz w:val="17"/>
                <w:szCs w:val="17"/>
              </w:rPr>
              <w:t xml:space="preserve">Infrastructure and Configuration as Code</w:t>
            </w:r>
          </w:p>
        </w:tc>
        <w:tc>
          <w:tcPr>
            <w:tcW w:type="dxa" w:w="2560"/>
            <w:tcMar>
              <w:top w:type="dxa" w:w="90"/>
              <w:left w:type="dxa" w:w="100"/>
              <w:bottom w:type="dxa" w:w="90"/>
              <w:right w:type="dxa" w:w="100"/>
            </w:tcMar>
            <w:vAlign w:val="top"/>
          </w:tcPr>
          <w:p>
            <w:r>
              <w:rPr>
                <w:b w:val="false"/>
                <w:bCs w:val="false"/>
                <w:color w:val="000000"/>
                <w:sz w:val="17"/>
                <w:szCs w:val="17"/>
              </w:rPr>
              <w:t xml:space="preserve">Environment provisioning and configuration are scripted and version-controlled wherever the schedule and team size allow.</w:t>
            </w:r>
          </w:p>
        </w:tc>
        <w:tc>
          <w:tcPr>
            <w:tcW w:type="dxa" w:w="2560"/>
            <w:tcMar>
              <w:top w:type="dxa" w:w="90"/>
              <w:left w:type="dxa" w:w="100"/>
              <w:bottom w:type="dxa" w:w="90"/>
              <w:right w:type="dxa" w:w="100"/>
            </w:tcMar>
            <w:vAlign w:val="top"/>
          </w:tcPr>
          <w:p>
            <w:r>
              <w:rPr>
                <w:b w:val="false"/>
                <w:bCs w:val="false"/>
                <w:color w:val="000000"/>
                <w:sz w:val="17"/>
                <w:szCs w:val="17"/>
              </w:rPr>
              <w:t xml:space="preserve">Reduces deployment risk and supports the documented, repeatable handover the sustainability principle requires.</w:t>
            </w:r>
          </w:p>
        </w:tc>
        <w:tc>
          <w:tcPr>
            <w:tcW w:type="dxa" w:w="2560"/>
            <w:tcMar>
              <w:top w:type="dxa" w:w="90"/>
              <w:left w:type="dxa" w:w="100"/>
              <w:bottom w:type="dxa" w:w="90"/>
              <w:right w:type="dxa" w:w="100"/>
            </w:tcMar>
            <w:vAlign w:val="top"/>
          </w:tcPr>
          <w:p>
            <w:r>
              <w:rPr>
                <w:b w:val="false"/>
                <w:bCs w:val="false"/>
                <w:color w:val="000000"/>
                <w:sz w:val="17"/>
                <w:szCs w:val="17"/>
              </w:rPr>
              <w:t xml:space="preserve">Even a modest engagement produces reusable deployment scripts and templates, not only a manually configured environment.</w:t>
            </w:r>
          </w:p>
        </w:tc>
      </w:tr>
      <w:tr>
        <w:tc>
          <w:tcPr>
            <w:tcW w:type="dxa" w:w="2400"/>
            <w:tcMar>
              <w:top w:type="dxa" w:w="90"/>
              <w:left w:type="dxa" w:w="100"/>
              <w:bottom w:type="dxa" w:w="90"/>
              <w:right w:type="dxa" w:w="100"/>
            </w:tcMar>
            <w:vAlign w:val="top"/>
          </w:tcPr>
          <w:p>
            <w:r>
              <w:rPr>
                <w:b/>
                <w:bCs/>
                <w:color w:val="000000"/>
                <w:sz w:val="17"/>
                <w:szCs w:val="17"/>
              </w:rPr>
              <w:t xml:space="preserve">Elastic and Resilient by Design</w:t>
            </w:r>
          </w:p>
        </w:tc>
        <w:tc>
          <w:tcPr>
            <w:tcW w:type="dxa" w:w="2560"/>
            <w:tcMar>
              <w:top w:type="dxa" w:w="90"/>
              <w:left w:type="dxa" w:w="100"/>
              <w:bottom w:type="dxa" w:w="90"/>
              <w:right w:type="dxa" w:w="100"/>
            </w:tcMar>
            <w:vAlign w:val="top"/>
          </w:tcPr>
          <w:p>
            <w:r>
              <w:rPr>
                <w:b w:val="false"/>
                <w:bCs w:val="false"/>
                <w:color w:val="000000"/>
                <w:sz w:val="17"/>
                <w:szCs w:val="17"/>
              </w:rPr>
              <w:t xml:space="preserve">Technology architecture tolerates variable load and partial failure gracefully rather than requiring peak-capacity provisioning throughout.</w:t>
            </w:r>
          </w:p>
        </w:tc>
        <w:tc>
          <w:tcPr>
            <w:tcW w:type="dxa" w:w="2560"/>
            <w:tcMar>
              <w:top w:type="dxa" w:w="90"/>
              <w:left w:type="dxa" w:w="100"/>
              <w:bottom w:type="dxa" w:w="90"/>
              <w:right w:type="dxa" w:w="100"/>
            </w:tcMar>
            <w:vAlign w:val="top"/>
          </w:tcPr>
          <w:p>
            <w:r>
              <w:rPr>
                <w:b w:val="false"/>
                <w:bCs w:val="false"/>
                <w:color w:val="000000"/>
                <w:sz w:val="17"/>
                <w:szCs w:val="17"/>
              </w:rPr>
              <w:t xml:space="preserve">Reflects the AWS Well-Architected reliability and cost-optimization pillars, appropriate to a donor-financed programme's realistic budget constraints.</w:t>
            </w:r>
          </w:p>
        </w:tc>
        <w:tc>
          <w:tcPr>
            <w:tcW w:type="dxa" w:w="2560"/>
            <w:tcMar>
              <w:top w:type="dxa" w:w="90"/>
              <w:left w:type="dxa" w:w="100"/>
              <w:bottom w:type="dxa" w:w="90"/>
              <w:right w:type="dxa" w:w="100"/>
            </w:tcMar>
            <w:vAlign w:val="top"/>
          </w:tcPr>
          <w:p>
            <w:r>
              <w:rPr>
                <w:b w:val="false"/>
                <w:bCs w:val="false"/>
                <w:color w:val="000000"/>
                <w:sz w:val="17"/>
                <w:szCs w:val="17"/>
              </w:rPr>
              <w:t xml:space="preserve">Architecture favors auto-scaling managed services over fixed-capacity infrastructure wherever workload volume is uncertain or seasonal.</w:t>
            </w:r>
          </w:p>
        </w:tc>
      </w:tr>
    </w:tbl>
    <w:p>
      <w:pPr>
        <w:pStyle w:val="Heading1"/>
        <w:spacing w:after="140" w:before="320"/>
      </w:pPr>
      <w:r>
        <w:t xml:space="preserve">Continuing This Blueprint</w:t>
      </w:r>
    </w:p>
    <w:p>
      <w:pPr>
        <w:spacing w:after="160" w:line="276"/>
      </w:pPr>
      <w:r>
        <w:t xml:space="preserve">Part 2 of this blueprint addresses Business Capabilities: a capability map for both ESM and CKR, expressed independently of any specific technology choice, that translates the strategic objectives above into named, assessable organizational capabilities SAPZ must possess — some delivered by this engagement, others requiring ongoing institutional investment beyond it. Part 3 addresses Business Processes, modeling the actual workflows (planning, approval, knowledge curation) the TOR requires. Parts 4 through 9 address Information, Application, Integration, Technology, Security, and Deployment Architecture in turn, each building on the principles established in this Part 1 without restating them. Part 10 addresses Governance, including the architecture governance and information governance mechanisms this Part 1 has already flagged as necessary given the current-state absence of any existing EA function. Part 11 addresses the Implementation Roadmap, sequencing all of the above against the TOR's own twelve-week timeline using the phase-by-phase and scenario-planning discipline already established in the Master Bid &amp; Delivery Strategy.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Arial" w:cs="Arial" w:eastAsia="Arial" w:hAnsi="Arial"/>
      <w:b/>
      <w:bCs/>
      <w:color w:val="1F3864"/>
      <w:sz w:val="26"/>
      <w:szCs w:val="26"/>
    </w:rPr>
  </w:style>
  <w:style w:type="paragraph" w:styleId="Heading2">
    <w:name w:val="Heading 2"/>
    <w:basedOn w:val="Normal"/>
    <w:next w:val="Normal"/>
    <w:qFormat/>
    <w:pPr>
      <w:spacing w:after="90" w:before="160"/>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2026-07-17T19:25:22.567Z</dcterms:created>
  <dcterms:modified xsi:type="dcterms:W3CDTF">2026-07-17T19:25:22.567Z</dcterms:modified>
</cp:coreProperties>
</file>

<file path=docProps/custom.xml><?xml version="1.0" encoding="utf-8"?>
<Properties xmlns="http://schemas.openxmlformats.org/officeDocument/2006/custom-properties" xmlns:vt="http://schemas.openxmlformats.org/officeDocument/2006/docPropsVTypes"/>
</file>