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2 of 11 — Business Architecture</w:t>
      </w:r>
    </w:p>
    <w:p>
      <w:pPr>
        <w:spacing w:after="260"/>
        <w:jc w:val="center"/>
      </w:pPr>
      <w:r>
        <w:rPr>
          <w:i/>
          <w:iCs/>
          <w:color w:val="555555"/>
          <w:sz w:val="18"/>
          <w:szCs w:val="18"/>
        </w:rPr>
        <w:t xml:space="preserve">TOGAF ADM Phase B, referencing the Business Architecture Guild's Value Stream discipline, the OMG Business Motivation Model, and the Ross/Weill/Robertson Operating Model framework</w:t>
      </w:r>
    </w:p>
    <w:p>
      <w:pPr>
        <w:pStyle w:val="Heading1"/>
        <w:spacing w:after="130" w:before="300"/>
      </w:pPr>
      <w:r>
        <w:t xml:space="preserve">Introduction to Part 2</w:t>
      </w:r>
    </w:p>
    <w:p>
      <w:pPr>
        <w:spacing w:after="150" w:line="270"/>
      </w:pPr>
      <w:r>
        <w:t xml:space="preserve">Part 2 of this blueprint addresses Business Architecture — the TOGAF ADM Phase B discipline of modeling what the business does and how it is organized to do it, independent of any technology choice. Everything below is derived from the TOR's own scope of work, the Procurement Intelligence Report's pain diagnosis, and the Enterprise Vision established in Part 1, and nothing here contradicts either. Business Architecture is deliberately sequenced before Information, Application, and Technology Architecture in Parts 4 through 7, because a system built before its business context is modeled tends to automate the current state's own inefficiencies rather than replacing them — precisely the risk this blueprint's Part 1 principles were written to avoid.</w:t>
      </w:r>
    </w:p>
    <w:p>
      <w:pPr>
        <w:spacing w:after="150" w:line="270"/>
      </w:pPr>
      <w:r>
        <w:t xml:space="preserve">Fourteen artifacts are developed in this part, each answering a different Business Architecture question in the sequence the Business Architecture Guild and TOGAF both recommend: what domains of activity exist (Business Domains), what ongoing work happens within them (Functions), what is offered to whom (Services), what the organization is able to do (Capabilities), how work actually flows end to end (Processes and Value Streams), who is organized to do it (Organisation Model), how work is coordinated across the programme (Operating Model), who decides what (Decision Model), how the whole is governed (Governance Model), who has a stake in the outcome (Stakeholder Model), why any of this is being done (Business Motivation Model), and finally, where the most urgent capability gaps sit (Capability Heat Map).</w:t>
      </w:r>
    </w:p>
    <w:p>
      <w:pPr>
        <w:pStyle w:val="Heading1"/>
        <w:spacing w:after="130" w:before="300"/>
      </w:pPr>
      <w:r>
        <w:t xml:space="preserve">1. Business Domains</w:t>
      </w:r>
    </w:p>
    <w:p>
      <w:pPr>
        <w:spacing w:after="150" w:line="270"/>
      </w:pPr>
      <w:r>
        <w:t xml:space="preserve">Business Domains partition the programme's ESM/CKR-relevant activity into coherent, largely self-contained areas of responsibility, each of which will later map to a distinct set of application and technology components in Parts 5 and 7. Eight domains are identified, deliberately kept independent of the ESM/CKR system boundary itself, since a domain (an area of business activity) is not the same thing as a system (a piece of software) — a discipline TOGAF insists on precisely because it prevents business scope from being defined backward from whatever software is easiest to build.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31"/>
        <w:gridCol w:w="5897"/>
        <w:gridCol w:w="4212"/>
      </w:tblGrid>
      <w:tr>
        <w:trPr>
          <w:tblHeader/>
        </w:trPr>
        <w:tc>
          <w:tcPr>
            <w:tcW w:type="dxa" w:w="3931"/>
            <w:shd w:fill="1F3864" w:val="clear"/>
            <w:tcMar>
              <w:top w:type="dxa" w:w="70"/>
              <w:left w:type="dxa" w:w="90"/>
              <w:bottom w:type="dxa" w:w="70"/>
              <w:right w:type="dxa" w:w="90"/>
            </w:tcMar>
            <w:vAlign w:val="top"/>
          </w:tcPr>
          <w:p>
            <w:r>
              <w:rPr>
                <w:b/>
                <w:bCs/>
                <w:color w:val="FFFFFF"/>
                <w:sz w:val="16"/>
                <w:szCs w:val="16"/>
              </w:rPr>
              <w:t xml:space="preserve">Domain</w:t>
            </w:r>
          </w:p>
        </w:tc>
        <w:tc>
          <w:tcPr>
            <w:tcW w:type="dxa" w:w="5897"/>
            <w:shd w:fill="1F3864" w:val="clear"/>
            <w:tcMar>
              <w:top w:type="dxa" w:w="70"/>
              <w:left w:type="dxa" w:w="90"/>
              <w:bottom w:type="dxa" w:w="70"/>
              <w:right w:type="dxa" w:w="90"/>
            </w:tcMar>
            <w:vAlign w:val="top"/>
          </w:tcPr>
          <w:p>
            <w:r>
              <w:rPr>
                <w:b/>
                <w:bCs/>
                <w:color w:val="FFFFFF"/>
                <w:sz w:val="16"/>
                <w:szCs w:val="16"/>
              </w:rPr>
              <w:t xml:space="preserve">Description</w:t>
            </w:r>
          </w:p>
        </w:tc>
        <w:tc>
          <w:tcPr>
            <w:tcW w:type="dxa" w:w="4212"/>
            <w:shd w:fill="1F3864" w:val="clear"/>
            <w:tcMar>
              <w:top w:type="dxa" w:w="70"/>
              <w:left w:type="dxa" w:w="90"/>
              <w:bottom w:type="dxa" w:w="70"/>
              <w:right w:type="dxa" w:w="90"/>
            </w:tcMar>
            <w:vAlign w:val="top"/>
          </w:tcPr>
          <w:p>
            <w:r>
              <w:rPr>
                <w:b/>
                <w:bCs/>
                <w:color w:val="FFFFFF"/>
                <w:sz w:val="16"/>
                <w:szCs w:val="16"/>
              </w:rPr>
              <w:t xml:space="preserve">Primary System</w:t>
            </w:r>
          </w:p>
        </w:tc>
      </w:tr>
      <w:tr>
        <w:tc>
          <w:tcPr>
            <w:tcW w:type="dxa" w:w="3931"/>
            <w:tcMar>
              <w:top w:type="dxa" w:w="70"/>
              <w:left w:type="dxa" w:w="90"/>
              <w:bottom w:type="dxa" w:w="70"/>
              <w:right w:type="dxa" w:w="90"/>
            </w:tcMar>
            <w:vAlign w:val="top"/>
          </w:tcPr>
          <w:p>
            <w:r>
              <w:rPr>
                <w:b/>
                <w:bCs/>
                <w:color w:val="000000"/>
                <w:sz w:val="16"/>
                <w:szCs w:val="16"/>
              </w:rPr>
              <w:t xml:space="preserve">D1. Programme Governance &amp; Coordination</w:t>
            </w:r>
          </w:p>
        </w:tc>
        <w:tc>
          <w:tcPr>
            <w:tcW w:type="dxa" w:w="5897"/>
            <w:tcMar>
              <w:top w:type="dxa" w:w="70"/>
              <w:left w:type="dxa" w:w="90"/>
              <w:bottom w:type="dxa" w:w="70"/>
              <w:right w:type="dxa" w:w="90"/>
            </w:tcMar>
            <w:vAlign w:val="top"/>
          </w:tcPr>
          <w:p>
            <w:r>
              <w:rPr>
                <w:b w:val="false"/>
                <w:bCs w:val="false"/>
                <w:color w:val="000000"/>
                <w:sz w:val="16"/>
                <w:szCs w:val="16"/>
              </w:rPr>
              <w:t xml:space="preserve">Strategic oversight, multi-state coordination, donor liaison, and architecture/data governance for the whole programme.</w:t>
            </w:r>
          </w:p>
        </w:tc>
        <w:tc>
          <w:tcPr>
            <w:tcW w:type="dxa" w:w="4212"/>
            <w:tcMar>
              <w:top w:type="dxa" w:w="70"/>
              <w:left w:type="dxa" w:w="90"/>
              <w:bottom w:type="dxa" w:w="70"/>
              <w:right w:type="dxa" w:w="90"/>
            </w:tcMar>
            <w:vAlign w:val="top"/>
          </w:tcPr>
          <w:p>
            <w:r>
              <w:rPr>
                <w:b w:val="false"/>
                <w:bCs w:val="false"/>
                <w:color w:val="000000"/>
                <w:sz w:val="16"/>
                <w:szCs w:val="16"/>
              </w:rPr>
              <w:t xml:space="preserve">Cross-cutting (ESM + CKR)</w:t>
            </w:r>
          </w:p>
        </w:tc>
      </w:tr>
      <w:tr>
        <w:tc>
          <w:tcPr>
            <w:tcW w:type="dxa" w:w="3931"/>
            <w:tcMar>
              <w:top w:type="dxa" w:w="70"/>
              <w:left w:type="dxa" w:w="90"/>
              <w:bottom w:type="dxa" w:w="70"/>
              <w:right w:type="dxa" w:w="90"/>
            </w:tcMar>
            <w:vAlign w:val="top"/>
          </w:tcPr>
          <w:p>
            <w:r>
              <w:rPr>
                <w:b/>
                <w:bCs/>
                <w:color w:val="000000"/>
                <w:sz w:val="16"/>
                <w:szCs w:val="16"/>
              </w:rPr>
              <w:t xml:space="preserve">D2. Document &amp; Content Management</w:t>
            </w:r>
          </w:p>
        </w:tc>
        <w:tc>
          <w:tcPr>
            <w:tcW w:type="dxa" w:w="5897"/>
            <w:tcMar>
              <w:top w:type="dxa" w:w="70"/>
              <w:left w:type="dxa" w:w="90"/>
              <w:bottom w:type="dxa" w:w="70"/>
              <w:right w:type="dxa" w:w="90"/>
            </w:tcMar>
            <w:vAlign w:val="top"/>
          </w:tcPr>
          <w:p>
            <w:r>
              <w:rPr>
                <w:b w:val="false"/>
                <w:bCs w:val="false"/>
                <w:color w:val="000000"/>
                <w:sz w:val="16"/>
                <w:szCs w:val="16"/>
              </w:rPr>
              <w:t xml:space="preserve">Capture, classification, version control, and lifecycle management of internal programme documents.</w:t>
            </w:r>
          </w:p>
        </w:tc>
        <w:tc>
          <w:tcPr>
            <w:tcW w:type="dxa" w:w="4212"/>
            <w:tcMar>
              <w:top w:type="dxa" w:w="70"/>
              <w:left w:type="dxa" w:w="90"/>
              <w:bottom w:type="dxa" w:w="70"/>
              <w:right w:type="dxa" w:w="90"/>
            </w:tcMar>
            <w:vAlign w:val="top"/>
          </w:tcPr>
          <w:p>
            <w:r>
              <w:rPr>
                <w:b w:val="false"/>
                <w:bCs w:val="false"/>
                <w:color w:val="000000"/>
                <w:sz w:val="16"/>
                <w:szCs w:val="16"/>
              </w:rPr>
              <w:t xml:space="preserve">ESM</w:t>
            </w:r>
          </w:p>
        </w:tc>
      </w:tr>
      <w:tr>
        <w:tc>
          <w:tcPr>
            <w:tcW w:type="dxa" w:w="3931"/>
            <w:tcMar>
              <w:top w:type="dxa" w:w="70"/>
              <w:left w:type="dxa" w:w="90"/>
              <w:bottom w:type="dxa" w:w="70"/>
              <w:right w:type="dxa" w:w="90"/>
            </w:tcMar>
            <w:vAlign w:val="top"/>
          </w:tcPr>
          <w:p>
            <w:r>
              <w:rPr>
                <w:b/>
                <w:bCs/>
                <w:color w:val="000000"/>
                <w:sz w:val="16"/>
                <w:szCs w:val="16"/>
              </w:rPr>
              <w:t xml:space="preserve">D3. Workflow &amp; Approval Management</w:t>
            </w:r>
          </w:p>
        </w:tc>
        <w:tc>
          <w:tcPr>
            <w:tcW w:type="dxa" w:w="5897"/>
            <w:tcMar>
              <w:top w:type="dxa" w:w="70"/>
              <w:left w:type="dxa" w:w="90"/>
              <w:bottom w:type="dxa" w:w="70"/>
              <w:right w:type="dxa" w:w="90"/>
            </w:tcMar>
            <w:vAlign w:val="top"/>
          </w:tcPr>
          <w:p>
            <w:r>
              <w:rPr>
                <w:b w:val="false"/>
                <w:bCs w:val="false"/>
                <w:color w:val="000000"/>
                <w:sz w:val="16"/>
                <w:szCs w:val="16"/>
              </w:rPr>
              <w:t xml:space="preserve">Configuration and execution of multi-tier approval workflows for plans, reports, memos, and procurement documents.</w:t>
            </w:r>
          </w:p>
        </w:tc>
        <w:tc>
          <w:tcPr>
            <w:tcW w:type="dxa" w:w="4212"/>
            <w:tcMar>
              <w:top w:type="dxa" w:w="70"/>
              <w:left w:type="dxa" w:w="90"/>
              <w:bottom w:type="dxa" w:w="70"/>
              <w:right w:type="dxa" w:w="90"/>
            </w:tcMar>
            <w:vAlign w:val="top"/>
          </w:tcPr>
          <w:p>
            <w:r>
              <w:rPr>
                <w:b w:val="false"/>
                <w:bCs w:val="false"/>
                <w:color w:val="000000"/>
                <w:sz w:val="16"/>
                <w:szCs w:val="16"/>
              </w:rPr>
              <w:t xml:space="preserve">ESM</w:t>
            </w:r>
          </w:p>
        </w:tc>
      </w:tr>
      <w:tr>
        <w:tc>
          <w:tcPr>
            <w:tcW w:type="dxa" w:w="3931"/>
            <w:tcMar>
              <w:top w:type="dxa" w:w="70"/>
              <w:left w:type="dxa" w:w="90"/>
              <w:bottom w:type="dxa" w:w="70"/>
              <w:right w:type="dxa" w:w="90"/>
            </w:tcMar>
            <w:vAlign w:val="top"/>
          </w:tcPr>
          <w:p>
            <w:r>
              <w:rPr>
                <w:b/>
                <w:bCs/>
                <w:color w:val="000000"/>
                <w:sz w:val="16"/>
                <w:szCs w:val="16"/>
              </w:rPr>
              <w:t xml:space="preserve">D4. Project &amp; Task Management</w:t>
            </w:r>
          </w:p>
        </w:tc>
        <w:tc>
          <w:tcPr>
            <w:tcW w:type="dxa" w:w="5897"/>
            <w:tcMar>
              <w:top w:type="dxa" w:w="70"/>
              <w:left w:type="dxa" w:w="90"/>
              <w:bottom w:type="dxa" w:w="70"/>
              <w:right w:type="dxa" w:w="90"/>
            </w:tcMar>
            <w:vAlign w:val="top"/>
          </w:tcPr>
          <w:p>
            <w:r>
              <w:rPr>
                <w:b w:val="false"/>
                <w:bCs w:val="false"/>
                <w:color w:val="000000"/>
                <w:sz w:val="16"/>
                <w:szCs w:val="16"/>
              </w:rPr>
              <w:t xml:space="preserve">Conversion of approved plans into tracked tasks, milestones, and dependencies.</w:t>
            </w:r>
          </w:p>
        </w:tc>
        <w:tc>
          <w:tcPr>
            <w:tcW w:type="dxa" w:w="4212"/>
            <w:tcMar>
              <w:top w:type="dxa" w:w="70"/>
              <w:left w:type="dxa" w:w="90"/>
              <w:bottom w:type="dxa" w:w="70"/>
              <w:right w:type="dxa" w:w="90"/>
            </w:tcMar>
            <w:vAlign w:val="top"/>
          </w:tcPr>
          <w:p>
            <w:r>
              <w:rPr>
                <w:b w:val="false"/>
                <w:bCs w:val="false"/>
                <w:color w:val="000000"/>
                <w:sz w:val="16"/>
                <w:szCs w:val="16"/>
              </w:rPr>
              <w:t xml:space="preserve">ESM</w:t>
            </w:r>
          </w:p>
        </w:tc>
      </w:tr>
      <w:tr>
        <w:tc>
          <w:tcPr>
            <w:tcW w:type="dxa" w:w="3931"/>
            <w:tcMar>
              <w:top w:type="dxa" w:w="70"/>
              <w:left w:type="dxa" w:w="90"/>
              <w:bottom w:type="dxa" w:w="70"/>
              <w:right w:type="dxa" w:w="90"/>
            </w:tcMar>
            <w:vAlign w:val="top"/>
          </w:tcPr>
          <w:p>
            <w:r>
              <w:rPr>
                <w:b/>
                <w:bCs/>
                <w:color w:val="000000"/>
                <w:sz w:val="16"/>
                <w:szCs w:val="16"/>
              </w:rPr>
              <w:t xml:space="preserve">D5. Knowledge Management &amp; Dissemination</w:t>
            </w:r>
          </w:p>
        </w:tc>
        <w:tc>
          <w:tcPr>
            <w:tcW w:type="dxa" w:w="5897"/>
            <w:tcMar>
              <w:top w:type="dxa" w:w="70"/>
              <w:left w:type="dxa" w:w="90"/>
              <w:bottom w:type="dxa" w:w="70"/>
              <w:right w:type="dxa" w:w="90"/>
            </w:tcMar>
            <w:vAlign w:val="top"/>
          </w:tcPr>
          <w:p>
            <w:r>
              <w:rPr>
                <w:b w:val="false"/>
                <w:bCs w:val="false"/>
                <w:color w:val="000000"/>
                <w:sz w:val="16"/>
                <w:szCs w:val="16"/>
              </w:rPr>
              <w:t xml:space="preserve">Curation, taxonomy, publishing, search, and public dissemination of knowledge assets.</w:t>
            </w:r>
          </w:p>
        </w:tc>
        <w:tc>
          <w:tcPr>
            <w:tcW w:type="dxa" w:w="4212"/>
            <w:tcMar>
              <w:top w:type="dxa" w:w="70"/>
              <w:left w:type="dxa" w:w="90"/>
              <w:bottom w:type="dxa" w:w="70"/>
              <w:right w:type="dxa" w:w="90"/>
            </w:tcMar>
            <w:vAlign w:val="top"/>
          </w:tcPr>
          <w:p>
            <w:r>
              <w:rPr>
                <w:b w:val="false"/>
                <w:bCs w:val="false"/>
                <w:color w:val="000000"/>
                <w:sz w:val="16"/>
                <w:szCs w:val="16"/>
              </w:rPr>
              <w:t xml:space="preserve">CKR</w:t>
            </w:r>
          </w:p>
        </w:tc>
      </w:tr>
      <w:tr>
        <w:tc>
          <w:tcPr>
            <w:tcW w:type="dxa" w:w="3931"/>
            <w:tcMar>
              <w:top w:type="dxa" w:w="70"/>
              <w:left w:type="dxa" w:w="90"/>
              <w:bottom w:type="dxa" w:w="70"/>
              <w:right w:type="dxa" w:w="90"/>
            </w:tcMar>
            <w:vAlign w:val="top"/>
          </w:tcPr>
          <w:p>
            <w:r>
              <w:rPr>
                <w:b/>
                <w:bCs/>
                <w:color w:val="000000"/>
                <w:sz w:val="16"/>
                <w:szCs w:val="16"/>
              </w:rPr>
              <w:t xml:space="preserve">D6. Monitoring, Reporting &amp; Business Intelligence</w:t>
            </w:r>
          </w:p>
        </w:tc>
        <w:tc>
          <w:tcPr>
            <w:tcW w:type="dxa" w:w="5897"/>
            <w:tcMar>
              <w:top w:type="dxa" w:w="70"/>
              <w:left w:type="dxa" w:w="90"/>
              <w:bottom w:type="dxa" w:w="70"/>
              <w:right w:type="dxa" w:w="90"/>
            </w:tcMar>
            <w:vAlign w:val="top"/>
          </w:tcPr>
          <w:p>
            <w:r>
              <w:rPr>
                <w:b w:val="false"/>
                <w:bCs w:val="false"/>
                <w:color w:val="000000"/>
                <w:sz w:val="16"/>
                <w:szCs w:val="16"/>
              </w:rPr>
              <w:t xml:space="preserve">Performance dashboards, KPI tracking, and customizable reporting for internal and donor audiences.</w:t>
            </w:r>
          </w:p>
        </w:tc>
        <w:tc>
          <w:tcPr>
            <w:tcW w:type="dxa" w:w="4212"/>
            <w:tcMar>
              <w:top w:type="dxa" w:w="70"/>
              <w:left w:type="dxa" w:w="90"/>
              <w:bottom w:type="dxa" w:w="70"/>
              <w:right w:type="dxa" w:w="90"/>
            </w:tcMar>
            <w:vAlign w:val="top"/>
          </w:tcPr>
          <w:p>
            <w:r>
              <w:rPr>
                <w:b w:val="false"/>
                <w:bCs w:val="false"/>
                <w:color w:val="000000"/>
                <w:sz w:val="16"/>
                <w:szCs w:val="16"/>
              </w:rPr>
              <w:t xml:space="preserve">ESM (primary), CKR (usage analytics)</w:t>
            </w:r>
          </w:p>
        </w:tc>
      </w:tr>
      <w:tr>
        <w:tc>
          <w:tcPr>
            <w:tcW w:type="dxa" w:w="3931"/>
            <w:tcMar>
              <w:top w:type="dxa" w:w="70"/>
              <w:left w:type="dxa" w:w="90"/>
              <w:bottom w:type="dxa" w:w="70"/>
              <w:right w:type="dxa" w:w="90"/>
            </w:tcMar>
            <w:vAlign w:val="top"/>
          </w:tcPr>
          <w:p>
            <w:r>
              <w:rPr>
                <w:b/>
                <w:bCs/>
                <w:color w:val="000000"/>
                <w:sz w:val="16"/>
                <w:szCs w:val="16"/>
              </w:rPr>
              <w:t xml:space="preserve">D7. Security, Access &amp; Compliance</w:t>
            </w:r>
          </w:p>
        </w:tc>
        <w:tc>
          <w:tcPr>
            <w:tcW w:type="dxa" w:w="5897"/>
            <w:tcMar>
              <w:top w:type="dxa" w:w="70"/>
              <w:left w:type="dxa" w:w="90"/>
              <w:bottom w:type="dxa" w:w="70"/>
              <w:right w:type="dxa" w:w="90"/>
            </w:tcMar>
            <w:vAlign w:val="top"/>
          </w:tcPr>
          <w:p>
            <w:r>
              <w:rPr>
                <w:b w:val="false"/>
                <w:bCs w:val="false"/>
                <w:color w:val="000000"/>
                <w:sz w:val="16"/>
                <w:szCs w:val="16"/>
              </w:rPr>
              <w:t xml:space="preserve">Identity and access management, data protection, audit logging, and regulatory compliance.</w:t>
            </w:r>
          </w:p>
        </w:tc>
        <w:tc>
          <w:tcPr>
            <w:tcW w:type="dxa" w:w="4212"/>
            <w:tcMar>
              <w:top w:type="dxa" w:w="70"/>
              <w:left w:type="dxa" w:w="90"/>
              <w:bottom w:type="dxa" w:w="70"/>
              <w:right w:type="dxa" w:w="90"/>
            </w:tcMar>
            <w:vAlign w:val="top"/>
          </w:tcPr>
          <w:p>
            <w:r>
              <w:rPr>
                <w:b w:val="false"/>
                <w:bCs w:val="false"/>
                <w:color w:val="000000"/>
                <w:sz w:val="16"/>
                <w:szCs w:val="16"/>
              </w:rPr>
              <w:t xml:space="preserve">ESM + CKR</w:t>
            </w:r>
          </w:p>
        </w:tc>
      </w:tr>
      <w:tr>
        <w:tc>
          <w:tcPr>
            <w:tcW w:type="dxa" w:w="3931"/>
            <w:tcMar>
              <w:top w:type="dxa" w:w="70"/>
              <w:left w:type="dxa" w:w="90"/>
              <w:bottom w:type="dxa" w:w="70"/>
              <w:right w:type="dxa" w:w="90"/>
            </w:tcMar>
            <w:vAlign w:val="top"/>
          </w:tcPr>
          <w:p>
            <w:r>
              <w:rPr>
                <w:b/>
                <w:bCs/>
                <w:color w:val="000000"/>
                <w:sz w:val="16"/>
                <w:szCs w:val="16"/>
              </w:rPr>
              <w:t xml:space="preserve">D8. Stakeholder Engagement &amp; Communication</w:t>
            </w:r>
          </w:p>
        </w:tc>
        <w:tc>
          <w:tcPr>
            <w:tcW w:type="dxa" w:w="5897"/>
            <w:tcMar>
              <w:top w:type="dxa" w:w="70"/>
              <w:left w:type="dxa" w:w="90"/>
              <w:bottom w:type="dxa" w:w="70"/>
              <w:right w:type="dxa" w:w="90"/>
            </w:tcMar>
            <w:vAlign w:val="top"/>
          </w:tcPr>
          <w:p>
            <w:r>
              <w:rPr>
                <w:b w:val="false"/>
                <w:bCs w:val="false"/>
                <w:color w:val="000000"/>
                <w:sz w:val="16"/>
                <w:szCs w:val="16"/>
              </w:rPr>
              <w:t xml:space="preserve">Consultation, training, change management, and outreach across all stakeholder groups.</w:t>
            </w:r>
          </w:p>
        </w:tc>
        <w:tc>
          <w:tcPr>
            <w:tcW w:type="dxa" w:w="4212"/>
            <w:tcMar>
              <w:top w:type="dxa" w:w="70"/>
              <w:left w:type="dxa" w:w="90"/>
              <w:bottom w:type="dxa" w:w="70"/>
              <w:right w:type="dxa" w:w="90"/>
            </w:tcMar>
            <w:vAlign w:val="top"/>
          </w:tcPr>
          <w:p>
            <w:r>
              <w:rPr>
                <w:b w:val="false"/>
                <w:bCs w:val="false"/>
                <w:color w:val="000000"/>
                <w:sz w:val="16"/>
                <w:szCs w:val="16"/>
              </w:rPr>
              <w:t xml:space="preserve">Cross-cutting (ESM + CKR)</w:t>
            </w:r>
          </w:p>
        </w:tc>
      </w:tr>
    </w:tbl>
    <w:p>
      <w:pPr>
        <w:pStyle w:val="Heading1"/>
        <w:spacing w:after="130" w:before="300"/>
      </w:pPr>
      <w:r>
        <w:t xml:space="preserve">2. Business Functions</w:t>
      </w:r>
    </w:p>
    <w:p>
      <w:pPr>
        <w:spacing w:after="150" w:line="270"/>
      </w:pPr>
      <w:r>
        <w:t xml:space="preserve">Business Functions are the ongoing, repeatable units of work performed within each domain — the verbs of the business architecture, stable over time even as the specific processes and technology that support them change. They are distinguished from processes, developed later in this part, in that a function describes a continuing responsibility (e.g., 'Classification and Metadata Tagging') while a process describes a specific, triggered sequence of steps (e.g., 'the document lifecycle process') that draws on one or more functions to execute.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
        <w:gridCol w:w="3370"/>
        <w:gridCol w:w="9266"/>
      </w:tblGrid>
      <w:tr>
        <w:trPr>
          <w:tblHeader/>
        </w:trPr>
        <w:tc>
          <w:tcPr>
            <w:tcW w:type="dxa" w:w="1404"/>
            <w:shd w:fill="0B5345" w:val="clear"/>
            <w:tcMar>
              <w:top w:type="dxa" w:w="70"/>
              <w:left w:type="dxa" w:w="90"/>
              <w:bottom w:type="dxa" w:w="70"/>
              <w:right w:type="dxa" w:w="90"/>
            </w:tcMar>
            <w:vAlign w:val="top"/>
          </w:tcPr>
          <w:p>
            <w:r>
              <w:rPr>
                <w:b/>
                <w:bCs/>
                <w:color w:val="FFFFFF"/>
                <w:sz w:val="16"/>
                <w:szCs w:val="16"/>
              </w:rPr>
              <w:t xml:space="preserve">Domain</w:t>
            </w:r>
          </w:p>
        </w:tc>
        <w:tc>
          <w:tcPr>
            <w:tcW w:type="dxa" w:w="3370"/>
            <w:shd w:fill="0B5345" w:val="clear"/>
            <w:tcMar>
              <w:top w:type="dxa" w:w="70"/>
              <w:left w:type="dxa" w:w="90"/>
              <w:bottom w:type="dxa" w:w="70"/>
              <w:right w:type="dxa" w:w="90"/>
            </w:tcMar>
            <w:vAlign w:val="top"/>
          </w:tcPr>
          <w:p>
            <w:r>
              <w:rPr>
                <w:b/>
                <w:bCs/>
                <w:color w:val="FFFFFF"/>
                <w:sz w:val="16"/>
                <w:szCs w:val="16"/>
              </w:rPr>
              <w:t xml:space="preserve">Function</w:t>
            </w:r>
          </w:p>
        </w:tc>
        <w:tc>
          <w:tcPr>
            <w:tcW w:type="dxa" w:w="9266"/>
            <w:shd w:fill="0B5345" w:val="clear"/>
            <w:tcMar>
              <w:top w:type="dxa" w:w="70"/>
              <w:left w:type="dxa" w:w="90"/>
              <w:bottom w:type="dxa" w:w="70"/>
              <w:right w:type="dxa" w:w="90"/>
            </w:tcMar>
            <w:vAlign w:val="top"/>
          </w:tcPr>
          <w:p>
            <w:r>
              <w:rPr>
                <w:b/>
                <w:bCs/>
                <w:color w:val="FFFFFF"/>
                <w:sz w:val="16"/>
                <w:szCs w:val="16"/>
              </w:rPr>
              <w:t xml:space="preserve">Description</w:t>
            </w:r>
          </w:p>
        </w:tc>
      </w:tr>
      <w:tr>
        <w:tc>
          <w:tcPr>
            <w:tcW w:type="dxa" w:w="1404"/>
            <w:tcMar>
              <w:top w:type="dxa" w:w="70"/>
              <w:left w:type="dxa" w:w="90"/>
              <w:bottom w:type="dxa" w:w="70"/>
              <w:right w:type="dxa" w:w="90"/>
            </w:tcMar>
            <w:vAlign w:val="top"/>
          </w:tcPr>
          <w:p>
            <w:r>
              <w:rPr>
                <w:b/>
                <w:bCs/>
                <w:color w:val="000000"/>
                <w:sz w:val="16"/>
                <w:szCs w:val="16"/>
              </w:rPr>
              <w:t xml:space="preserve">D1</w:t>
            </w:r>
          </w:p>
        </w:tc>
        <w:tc>
          <w:tcPr>
            <w:tcW w:type="dxa" w:w="3370"/>
            <w:tcMar>
              <w:top w:type="dxa" w:w="70"/>
              <w:left w:type="dxa" w:w="90"/>
              <w:bottom w:type="dxa" w:w="70"/>
              <w:right w:type="dxa" w:w="90"/>
            </w:tcMar>
            <w:vAlign w:val="top"/>
          </w:tcPr>
          <w:p>
            <w:r>
              <w:rPr>
                <w:b w:val="false"/>
                <w:bCs w:val="false"/>
                <w:color w:val="000000"/>
                <w:sz w:val="16"/>
                <w:szCs w:val="16"/>
              </w:rPr>
              <w:t xml:space="preserve">Strategic Oversight</w:t>
            </w:r>
          </w:p>
        </w:tc>
        <w:tc>
          <w:tcPr>
            <w:tcW w:type="dxa" w:w="9266"/>
            <w:tcMar>
              <w:top w:type="dxa" w:w="70"/>
              <w:left w:type="dxa" w:w="90"/>
              <w:bottom w:type="dxa" w:w="70"/>
              <w:right w:type="dxa" w:w="90"/>
            </w:tcMar>
            <w:vAlign w:val="top"/>
          </w:tcPr>
          <w:p>
            <w:r>
              <w:rPr>
                <w:b w:val="false"/>
                <w:bCs w:val="false"/>
                <w:color w:val="000000"/>
                <w:sz w:val="16"/>
                <w:szCs w:val="16"/>
              </w:rPr>
              <w:t xml:space="preserve">Ongoing programme-level direction-setting and priority arbitration by the National Programme Coordinator.</w:t>
            </w:r>
          </w:p>
        </w:tc>
      </w:tr>
      <w:tr>
        <w:tc>
          <w:tcPr>
            <w:tcW w:type="dxa" w:w="1404"/>
            <w:tcMar>
              <w:top w:type="dxa" w:w="70"/>
              <w:left w:type="dxa" w:w="90"/>
              <w:bottom w:type="dxa" w:w="70"/>
              <w:right w:type="dxa" w:w="90"/>
            </w:tcMar>
            <w:vAlign w:val="top"/>
          </w:tcPr>
          <w:p>
            <w:r>
              <w:rPr>
                <w:b/>
                <w:bCs/>
                <w:color w:val="000000"/>
                <w:sz w:val="16"/>
                <w:szCs w:val="16"/>
              </w:rPr>
              <w:t xml:space="preserve">D1</w:t>
            </w:r>
          </w:p>
        </w:tc>
        <w:tc>
          <w:tcPr>
            <w:tcW w:type="dxa" w:w="3370"/>
            <w:tcMar>
              <w:top w:type="dxa" w:w="70"/>
              <w:left w:type="dxa" w:w="90"/>
              <w:bottom w:type="dxa" w:w="70"/>
              <w:right w:type="dxa" w:w="90"/>
            </w:tcMar>
            <w:vAlign w:val="top"/>
          </w:tcPr>
          <w:p>
            <w:r>
              <w:rPr>
                <w:b w:val="false"/>
                <w:bCs w:val="false"/>
                <w:color w:val="000000"/>
                <w:sz w:val="16"/>
                <w:szCs w:val="16"/>
              </w:rPr>
              <w:t xml:space="preserve">Multi-State Coordination</w:t>
            </w:r>
          </w:p>
        </w:tc>
        <w:tc>
          <w:tcPr>
            <w:tcW w:type="dxa" w:w="9266"/>
            <w:tcMar>
              <w:top w:type="dxa" w:w="70"/>
              <w:left w:type="dxa" w:w="90"/>
              <w:bottom w:type="dxa" w:w="70"/>
              <w:right w:type="dxa" w:w="90"/>
            </w:tcMar>
            <w:vAlign w:val="top"/>
          </w:tcPr>
          <w:p>
            <w:r>
              <w:rPr>
                <w:b w:val="false"/>
                <w:bCs w:val="false"/>
                <w:color w:val="000000"/>
                <w:sz w:val="16"/>
                <w:szCs w:val="16"/>
              </w:rPr>
              <w:t xml:space="preserve">Ongoing alignment of activity, standards, and timelines across seven states and the FCT.</w:t>
            </w:r>
          </w:p>
        </w:tc>
      </w:tr>
      <w:tr>
        <w:tc>
          <w:tcPr>
            <w:tcW w:type="dxa" w:w="1404"/>
            <w:tcMar>
              <w:top w:type="dxa" w:w="70"/>
              <w:left w:type="dxa" w:w="90"/>
              <w:bottom w:type="dxa" w:w="70"/>
              <w:right w:type="dxa" w:w="90"/>
            </w:tcMar>
            <w:vAlign w:val="top"/>
          </w:tcPr>
          <w:p>
            <w:r>
              <w:rPr>
                <w:b/>
                <w:bCs/>
                <w:color w:val="000000"/>
                <w:sz w:val="16"/>
                <w:szCs w:val="16"/>
              </w:rPr>
              <w:t xml:space="preserve">D1</w:t>
            </w:r>
          </w:p>
        </w:tc>
        <w:tc>
          <w:tcPr>
            <w:tcW w:type="dxa" w:w="3370"/>
            <w:tcMar>
              <w:top w:type="dxa" w:w="70"/>
              <w:left w:type="dxa" w:w="90"/>
              <w:bottom w:type="dxa" w:w="70"/>
              <w:right w:type="dxa" w:w="90"/>
            </w:tcMar>
            <w:vAlign w:val="top"/>
          </w:tcPr>
          <w:p>
            <w:r>
              <w:rPr>
                <w:b w:val="false"/>
                <w:bCs w:val="false"/>
                <w:color w:val="000000"/>
                <w:sz w:val="16"/>
                <w:szCs w:val="16"/>
              </w:rPr>
              <w:t xml:space="preserve">Donor Liaison &amp; Reporting Alignment</w:t>
            </w:r>
          </w:p>
        </w:tc>
        <w:tc>
          <w:tcPr>
            <w:tcW w:type="dxa" w:w="9266"/>
            <w:tcMar>
              <w:top w:type="dxa" w:w="70"/>
              <w:left w:type="dxa" w:w="90"/>
              <w:bottom w:type="dxa" w:w="70"/>
              <w:right w:type="dxa" w:w="90"/>
            </w:tcMar>
            <w:vAlign w:val="top"/>
          </w:tcPr>
          <w:p>
            <w:r>
              <w:rPr>
                <w:b w:val="false"/>
                <w:bCs w:val="false"/>
                <w:color w:val="000000"/>
                <w:sz w:val="16"/>
                <w:szCs w:val="16"/>
              </w:rPr>
              <w:t xml:space="preserve">Ongoing management of the reporting and disclosure relationship with AfDB, IFAD, and IsDB.</w:t>
            </w:r>
          </w:p>
        </w:tc>
      </w:tr>
      <w:tr>
        <w:tc>
          <w:tcPr>
            <w:tcW w:type="dxa" w:w="1404"/>
            <w:tcMar>
              <w:top w:type="dxa" w:w="70"/>
              <w:left w:type="dxa" w:w="90"/>
              <w:bottom w:type="dxa" w:w="70"/>
              <w:right w:type="dxa" w:w="90"/>
            </w:tcMar>
            <w:vAlign w:val="top"/>
          </w:tcPr>
          <w:p>
            <w:r>
              <w:rPr>
                <w:b/>
                <w:bCs/>
                <w:color w:val="000000"/>
                <w:sz w:val="16"/>
                <w:szCs w:val="16"/>
              </w:rPr>
              <w:t xml:space="preserve">D1</w:t>
            </w:r>
          </w:p>
        </w:tc>
        <w:tc>
          <w:tcPr>
            <w:tcW w:type="dxa" w:w="3370"/>
            <w:tcMar>
              <w:top w:type="dxa" w:w="70"/>
              <w:left w:type="dxa" w:w="90"/>
              <w:bottom w:type="dxa" w:w="70"/>
              <w:right w:type="dxa" w:w="90"/>
            </w:tcMar>
            <w:vAlign w:val="top"/>
          </w:tcPr>
          <w:p>
            <w:r>
              <w:rPr>
                <w:b w:val="false"/>
                <w:bCs w:val="false"/>
                <w:color w:val="000000"/>
                <w:sz w:val="16"/>
                <w:szCs w:val="16"/>
              </w:rPr>
              <w:t xml:space="preserve">Architecture &amp; Data Governance</w:t>
            </w:r>
          </w:p>
        </w:tc>
        <w:tc>
          <w:tcPr>
            <w:tcW w:type="dxa" w:w="9266"/>
            <w:tcMar>
              <w:top w:type="dxa" w:w="70"/>
              <w:left w:type="dxa" w:w="90"/>
              <w:bottom w:type="dxa" w:w="70"/>
              <w:right w:type="dxa" w:w="90"/>
            </w:tcMar>
            <w:vAlign w:val="top"/>
          </w:tcPr>
          <w:p>
            <w:r>
              <w:rPr>
                <w:b w:val="false"/>
                <w:bCs w:val="false"/>
                <w:color w:val="000000"/>
                <w:sz w:val="16"/>
                <w:szCs w:val="16"/>
              </w:rPr>
              <w:t xml:space="preserve">Ongoing stewardship of the shared taxonomy, metadata standard, and Data &amp; Content Governance Charter.</w:t>
            </w:r>
          </w:p>
        </w:tc>
      </w:tr>
      <w:tr>
        <w:tc>
          <w:tcPr>
            <w:tcW w:type="dxa" w:w="1404"/>
            <w:tcMar>
              <w:top w:type="dxa" w:w="70"/>
              <w:left w:type="dxa" w:w="90"/>
              <w:bottom w:type="dxa" w:w="70"/>
              <w:right w:type="dxa" w:w="90"/>
            </w:tcMar>
            <w:vAlign w:val="top"/>
          </w:tcPr>
          <w:p>
            <w:r>
              <w:rPr>
                <w:b/>
                <w:bCs/>
                <w:color w:val="000000"/>
                <w:sz w:val="16"/>
                <w:szCs w:val="16"/>
              </w:rPr>
              <w:t xml:space="preserve">D2</w:t>
            </w:r>
          </w:p>
        </w:tc>
        <w:tc>
          <w:tcPr>
            <w:tcW w:type="dxa" w:w="3370"/>
            <w:tcMar>
              <w:top w:type="dxa" w:w="70"/>
              <w:left w:type="dxa" w:w="90"/>
              <w:bottom w:type="dxa" w:w="70"/>
              <w:right w:type="dxa" w:w="90"/>
            </w:tcMar>
            <w:vAlign w:val="top"/>
          </w:tcPr>
          <w:p>
            <w:r>
              <w:rPr>
                <w:b w:val="false"/>
                <w:bCs w:val="false"/>
                <w:color w:val="000000"/>
                <w:sz w:val="16"/>
                <w:szCs w:val="16"/>
              </w:rPr>
              <w:t xml:space="preserve">Document Capture &amp; Intake</w:t>
            </w:r>
          </w:p>
        </w:tc>
        <w:tc>
          <w:tcPr>
            <w:tcW w:type="dxa" w:w="9266"/>
            <w:tcMar>
              <w:top w:type="dxa" w:w="70"/>
              <w:left w:type="dxa" w:w="90"/>
              <w:bottom w:type="dxa" w:w="70"/>
              <w:right w:type="dxa" w:w="90"/>
            </w:tcMar>
            <w:vAlign w:val="top"/>
          </w:tcPr>
          <w:p>
            <w:r>
              <w:rPr>
                <w:b w:val="false"/>
                <w:bCs w:val="false"/>
                <w:color w:val="000000"/>
                <w:sz w:val="16"/>
                <w:szCs w:val="16"/>
              </w:rPr>
              <w:t xml:space="preserve">Ongoing receipt of new documents from state and federal contributors into the repository.</w:t>
            </w:r>
          </w:p>
        </w:tc>
      </w:tr>
      <w:tr>
        <w:tc>
          <w:tcPr>
            <w:tcW w:type="dxa" w:w="1404"/>
            <w:tcMar>
              <w:top w:type="dxa" w:w="70"/>
              <w:left w:type="dxa" w:w="90"/>
              <w:bottom w:type="dxa" w:w="70"/>
              <w:right w:type="dxa" w:w="90"/>
            </w:tcMar>
            <w:vAlign w:val="top"/>
          </w:tcPr>
          <w:p>
            <w:r>
              <w:rPr>
                <w:b/>
                <w:bCs/>
                <w:color w:val="000000"/>
                <w:sz w:val="16"/>
                <w:szCs w:val="16"/>
              </w:rPr>
              <w:t xml:space="preserve">D2</w:t>
            </w:r>
          </w:p>
        </w:tc>
        <w:tc>
          <w:tcPr>
            <w:tcW w:type="dxa" w:w="3370"/>
            <w:tcMar>
              <w:top w:type="dxa" w:w="70"/>
              <w:left w:type="dxa" w:w="90"/>
              <w:bottom w:type="dxa" w:w="70"/>
              <w:right w:type="dxa" w:w="90"/>
            </w:tcMar>
            <w:vAlign w:val="top"/>
          </w:tcPr>
          <w:p>
            <w:r>
              <w:rPr>
                <w:b w:val="false"/>
                <w:bCs w:val="false"/>
                <w:color w:val="000000"/>
                <w:sz w:val="16"/>
                <w:szCs w:val="16"/>
              </w:rPr>
              <w:t xml:space="preserve">Classification &amp; Metadata Tagging</w:t>
            </w:r>
          </w:p>
        </w:tc>
        <w:tc>
          <w:tcPr>
            <w:tcW w:type="dxa" w:w="9266"/>
            <w:tcMar>
              <w:top w:type="dxa" w:w="70"/>
              <w:left w:type="dxa" w:w="90"/>
              <w:bottom w:type="dxa" w:w="70"/>
              <w:right w:type="dxa" w:w="90"/>
            </w:tcMar>
            <w:vAlign w:val="top"/>
          </w:tcPr>
          <w:p>
            <w:r>
              <w:rPr>
                <w:b w:val="false"/>
                <w:bCs w:val="false"/>
                <w:color w:val="000000"/>
                <w:sz w:val="16"/>
                <w:szCs w:val="16"/>
              </w:rPr>
              <w:t xml:space="preserve">Ongoing categorization of documents against the shared taxonomy at point of capture.</w:t>
            </w:r>
          </w:p>
        </w:tc>
      </w:tr>
      <w:tr>
        <w:tc>
          <w:tcPr>
            <w:tcW w:type="dxa" w:w="1404"/>
            <w:tcMar>
              <w:top w:type="dxa" w:w="70"/>
              <w:left w:type="dxa" w:w="90"/>
              <w:bottom w:type="dxa" w:w="70"/>
              <w:right w:type="dxa" w:w="90"/>
            </w:tcMar>
            <w:vAlign w:val="top"/>
          </w:tcPr>
          <w:p>
            <w:r>
              <w:rPr>
                <w:b/>
                <w:bCs/>
                <w:color w:val="000000"/>
                <w:sz w:val="16"/>
                <w:szCs w:val="16"/>
              </w:rPr>
              <w:t xml:space="preserve">D2</w:t>
            </w:r>
          </w:p>
        </w:tc>
        <w:tc>
          <w:tcPr>
            <w:tcW w:type="dxa" w:w="3370"/>
            <w:tcMar>
              <w:top w:type="dxa" w:w="70"/>
              <w:left w:type="dxa" w:w="90"/>
              <w:bottom w:type="dxa" w:w="70"/>
              <w:right w:type="dxa" w:w="90"/>
            </w:tcMar>
            <w:vAlign w:val="top"/>
          </w:tcPr>
          <w:p>
            <w:r>
              <w:rPr>
                <w:b w:val="false"/>
                <w:bCs w:val="false"/>
                <w:color w:val="000000"/>
                <w:sz w:val="16"/>
                <w:szCs w:val="16"/>
              </w:rPr>
              <w:t xml:space="preserve">Version Control &amp; Lifecycle Management</w:t>
            </w:r>
          </w:p>
        </w:tc>
        <w:tc>
          <w:tcPr>
            <w:tcW w:type="dxa" w:w="9266"/>
            <w:tcMar>
              <w:top w:type="dxa" w:w="70"/>
              <w:left w:type="dxa" w:w="90"/>
              <w:bottom w:type="dxa" w:w="70"/>
              <w:right w:type="dxa" w:w="90"/>
            </w:tcMar>
            <w:vAlign w:val="top"/>
          </w:tcPr>
          <w:p>
            <w:r>
              <w:rPr>
                <w:b w:val="false"/>
                <w:bCs w:val="false"/>
                <w:color w:val="000000"/>
                <w:sz w:val="16"/>
                <w:szCs w:val="16"/>
              </w:rPr>
              <w:t xml:space="preserve">Ongoing tracking of document versions from creation through archive or disposal.</w:t>
            </w:r>
          </w:p>
        </w:tc>
      </w:tr>
      <w:tr>
        <w:tc>
          <w:tcPr>
            <w:tcW w:type="dxa" w:w="1404"/>
            <w:tcMar>
              <w:top w:type="dxa" w:w="70"/>
              <w:left w:type="dxa" w:w="90"/>
              <w:bottom w:type="dxa" w:w="70"/>
              <w:right w:type="dxa" w:w="90"/>
            </w:tcMar>
            <w:vAlign w:val="top"/>
          </w:tcPr>
          <w:p>
            <w:r>
              <w:rPr>
                <w:b/>
                <w:bCs/>
                <w:color w:val="000000"/>
                <w:sz w:val="16"/>
                <w:szCs w:val="16"/>
              </w:rPr>
              <w:t xml:space="preserve">D2</w:t>
            </w:r>
          </w:p>
        </w:tc>
        <w:tc>
          <w:tcPr>
            <w:tcW w:type="dxa" w:w="3370"/>
            <w:tcMar>
              <w:top w:type="dxa" w:w="70"/>
              <w:left w:type="dxa" w:w="90"/>
              <w:bottom w:type="dxa" w:w="70"/>
              <w:right w:type="dxa" w:w="90"/>
            </w:tcMar>
            <w:vAlign w:val="top"/>
          </w:tcPr>
          <w:p>
            <w:r>
              <w:rPr>
                <w:b w:val="false"/>
                <w:bCs w:val="false"/>
                <w:color w:val="000000"/>
                <w:sz w:val="16"/>
                <w:szCs w:val="16"/>
              </w:rPr>
              <w:t xml:space="preserve">Legacy Content Migration</w:t>
            </w:r>
          </w:p>
        </w:tc>
        <w:tc>
          <w:tcPr>
            <w:tcW w:type="dxa" w:w="9266"/>
            <w:tcMar>
              <w:top w:type="dxa" w:w="70"/>
              <w:left w:type="dxa" w:w="90"/>
              <w:bottom w:type="dxa" w:w="70"/>
              <w:right w:type="dxa" w:w="90"/>
            </w:tcMar>
            <w:vAlign w:val="top"/>
          </w:tcPr>
          <w:p>
            <w:r>
              <w:rPr>
                <w:b w:val="false"/>
                <w:bCs w:val="false"/>
                <w:color w:val="000000"/>
                <w:sz w:val="16"/>
                <w:szCs w:val="16"/>
              </w:rPr>
              <w:t xml:space="preserve">One-time-per-batch but ongoing-as-a-capability audit, cleansing, and migration of pre-existing documents.</w:t>
            </w:r>
          </w:p>
        </w:tc>
      </w:tr>
      <w:tr>
        <w:tc>
          <w:tcPr>
            <w:tcW w:type="dxa" w:w="1404"/>
            <w:tcMar>
              <w:top w:type="dxa" w:w="70"/>
              <w:left w:type="dxa" w:w="90"/>
              <w:bottom w:type="dxa" w:w="70"/>
              <w:right w:type="dxa" w:w="90"/>
            </w:tcMar>
            <w:vAlign w:val="top"/>
          </w:tcPr>
          <w:p>
            <w:r>
              <w:rPr>
                <w:b/>
                <w:bCs/>
                <w:color w:val="000000"/>
                <w:sz w:val="16"/>
                <w:szCs w:val="16"/>
              </w:rPr>
              <w:t xml:space="preserve">D3</w:t>
            </w:r>
          </w:p>
        </w:tc>
        <w:tc>
          <w:tcPr>
            <w:tcW w:type="dxa" w:w="3370"/>
            <w:tcMar>
              <w:top w:type="dxa" w:w="70"/>
              <w:left w:type="dxa" w:w="90"/>
              <w:bottom w:type="dxa" w:w="70"/>
              <w:right w:type="dxa" w:w="90"/>
            </w:tcMar>
            <w:vAlign w:val="top"/>
          </w:tcPr>
          <w:p>
            <w:r>
              <w:rPr>
                <w:b w:val="false"/>
                <w:bCs w:val="false"/>
                <w:color w:val="000000"/>
                <w:sz w:val="16"/>
                <w:szCs w:val="16"/>
              </w:rPr>
              <w:t xml:space="preserve">Workflow Configuration</w:t>
            </w:r>
          </w:p>
        </w:tc>
        <w:tc>
          <w:tcPr>
            <w:tcW w:type="dxa" w:w="9266"/>
            <w:tcMar>
              <w:top w:type="dxa" w:w="70"/>
              <w:left w:type="dxa" w:w="90"/>
              <w:bottom w:type="dxa" w:w="70"/>
              <w:right w:type="dxa" w:w="90"/>
            </w:tcMar>
            <w:vAlign w:val="top"/>
          </w:tcPr>
          <w:p>
            <w:r>
              <w:rPr>
                <w:b w:val="false"/>
                <w:bCs w:val="false"/>
                <w:color w:val="000000"/>
                <w:sz w:val="16"/>
                <w:szCs w:val="16"/>
              </w:rPr>
              <w:t xml:space="preserve">Ongoing design and adjustment of approval routes for each document type.</w:t>
            </w:r>
          </w:p>
        </w:tc>
      </w:tr>
      <w:tr>
        <w:tc>
          <w:tcPr>
            <w:tcW w:type="dxa" w:w="1404"/>
            <w:tcMar>
              <w:top w:type="dxa" w:w="70"/>
              <w:left w:type="dxa" w:w="90"/>
              <w:bottom w:type="dxa" w:w="70"/>
              <w:right w:type="dxa" w:w="90"/>
            </w:tcMar>
            <w:vAlign w:val="top"/>
          </w:tcPr>
          <w:p>
            <w:r>
              <w:rPr>
                <w:b/>
                <w:bCs/>
                <w:color w:val="000000"/>
                <w:sz w:val="16"/>
                <w:szCs w:val="16"/>
              </w:rPr>
              <w:t xml:space="preserve">D3</w:t>
            </w:r>
          </w:p>
        </w:tc>
        <w:tc>
          <w:tcPr>
            <w:tcW w:type="dxa" w:w="3370"/>
            <w:tcMar>
              <w:top w:type="dxa" w:w="70"/>
              <w:left w:type="dxa" w:w="90"/>
              <w:bottom w:type="dxa" w:w="70"/>
              <w:right w:type="dxa" w:w="90"/>
            </w:tcMar>
            <w:vAlign w:val="top"/>
          </w:tcPr>
          <w:p>
            <w:r>
              <w:rPr>
                <w:b w:val="false"/>
                <w:bCs w:val="false"/>
                <w:color w:val="000000"/>
                <w:sz w:val="16"/>
                <w:szCs w:val="16"/>
              </w:rPr>
              <w:t xml:space="preserve">Approval Routing</w:t>
            </w:r>
          </w:p>
        </w:tc>
        <w:tc>
          <w:tcPr>
            <w:tcW w:type="dxa" w:w="9266"/>
            <w:tcMar>
              <w:top w:type="dxa" w:w="70"/>
              <w:left w:type="dxa" w:w="90"/>
              <w:bottom w:type="dxa" w:w="70"/>
              <w:right w:type="dxa" w:w="90"/>
            </w:tcMar>
            <w:vAlign w:val="top"/>
          </w:tcPr>
          <w:p>
            <w:r>
              <w:rPr>
                <w:b w:val="false"/>
                <w:bCs w:val="false"/>
                <w:color w:val="000000"/>
                <w:sz w:val="16"/>
                <w:szCs w:val="16"/>
              </w:rPr>
              <w:t xml:space="preserve">Ongoing execution of multi-level approvals across state, regional, and national tiers.</w:t>
            </w:r>
          </w:p>
        </w:tc>
      </w:tr>
      <w:tr>
        <w:tc>
          <w:tcPr>
            <w:tcW w:type="dxa" w:w="1404"/>
            <w:tcMar>
              <w:top w:type="dxa" w:w="70"/>
              <w:left w:type="dxa" w:w="90"/>
              <w:bottom w:type="dxa" w:w="70"/>
              <w:right w:type="dxa" w:w="90"/>
            </w:tcMar>
            <w:vAlign w:val="top"/>
          </w:tcPr>
          <w:p>
            <w:r>
              <w:rPr>
                <w:b/>
                <w:bCs/>
                <w:color w:val="000000"/>
                <w:sz w:val="16"/>
                <w:szCs w:val="16"/>
              </w:rPr>
              <w:t xml:space="preserve">D3</w:t>
            </w:r>
          </w:p>
        </w:tc>
        <w:tc>
          <w:tcPr>
            <w:tcW w:type="dxa" w:w="3370"/>
            <w:tcMar>
              <w:top w:type="dxa" w:w="70"/>
              <w:left w:type="dxa" w:w="90"/>
              <w:bottom w:type="dxa" w:w="70"/>
              <w:right w:type="dxa" w:w="90"/>
            </w:tcMar>
            <w:vAlign w:val="top"/>
          </w:tcPr>
          <w:p>
            <w:r>
              <w:rPr>
                <w:b w:val="false"/>
                <w:bCs w:val="false"/>
                <w:color w:val="000000"/>
                <w:sz w:val="16"/>
                <w:szCs w:val="16"/>
              </w:rPr>
              <w:t xml:space="preserve">Escalation Management</w:t>
            </w:r>
          </w:p>
        </w:tc>
        <w:tc>
          <w:tcPr>
            <w:tcW w:type="dxa" w:w="9266"/>
            <w:tcMar>
              <w:top w:type="dxa" w:w="70"/>
              <w:left w:type="dxa" w:w="90"/>
              <w:bottom w:type="dxa" w:w="70"/>
              <w:right w:type="dxa" w:w="90"/>
            </w:tcMar>
            <w:vAlign w:val="top"/>
          </w:tcPr>
          <w:p>
            <w:r>
              <w:rPr>
                <w:b w:val="false"/>
                <w:bCs w:val="false"/>
                <w:color w:val="000000"/>
                <w:sz w:val="16"/>
                <w:szCs w:val="16"/>
              </w:rPr>
              <w:t xml:space="preserve">Ongoing handling of stalled approvals against defined service-level expectations.</w:t>
            </w:r>
          </w:p>
        </w:tc>
      </w:tr>
      <w:tr>
        <w:tc>
          <w:tcPr>
            <w:tcW w:type="dxa" w:w="1404"/>
            <w:tcMar>
              <w:top w:type="dxa" w:w="70"/>
              <w:left w:type="dxa" w:w="90"/>
              <w:bottom w:type="dxa" w:w="70"/>
              <w:right w:type="dxa" w:w="90"/>
            </w:tcMar>
            <w:vAlign w:val="top"/>
          </w:tcPr>
          <w:p>
            <w:r>
              <w:rPr>
                <w:b/>
                <w:bCs/>
                <w:color w:val="000000"/>
                <w:sz w:val="16"/>
                <w:szCs w:val="16"/>
              </w:rPr>
              <w:t xml:space="preserve">D3</w:t>
            </w:r>
          </w:p>
        </w:tc>
        <w:tc>
          <w:tcPr>
            <w:tcW w:type="dxa" w:w="3370"/>
            <w:tcMar>
              <w:top w:type="dxa" w:w="70"/>
              <w:left w:type="dxa" w:w="90"/>
              <w:bottom w:type="dxa" w:w="70"/>
              <w:right w:type="dxa" w:w="90"/>
            </w:tcMar>
            <w:vAlign w:val="top"/>
          </w:tcPr>
          <w:p>
            <w:r>
              <w:rPr>
                <w:b w:val="false"/>
                <w:bCs w:val="false"/>
                <w:color w:val="000000"/>
                <w:sz w:val="16"/>
                <w:szCs w:val="16"/>
              </w:rPr>
              <w:t xml:space="preserve">Notification &amp; Reminders</w:t>
            </w:r>
          </w:p>
        </w:tc>
        <w:tc>
          <w:tcPr>
            <w:tcW w:type="dxa" w:w="9266"/>
            <w:tcMar>
              <w:top w:type="dxa" w:w="70"/>
              <w:left w:type="dxa" w:w="90"/>
              <w:bottom w:type="dxa" w:w="70"/>
              <w:right w:type="dxa" w:w="90"/>
            </w:tcMar>
            <w:vAlign w:val="top"/>
          </w:tcPr>
          <w:p>
            <w:r>
              <w:rPr>
                <w:b w:val="false"/>
                <w:bCs w:val="false"/>
                <w:color w:val="000000"/>
                <w:sz w:val="16"/>
                <w:szCs w:val="16"/>
              </w:rPr>
              <w:t xml:space="preserve">Ongoing automated alerts to keep approvals and tasks moving.</w:t>
            </w:r>
          </w:p>
        </w:tc>
      </w:tr>
      <w:tr>
        <w:tc>
          <w:tcPr>
            <w:tcW w:type="dxa" w:w="1404"/>
            <w:tcMar>
              <w:top w:type="dxa" w:w="70"/>
              <w:left w:type="dxa" w:w="90"/>
              <w:bottom w:type="dxa" w:w="70"/>
              <w:right w:type="dxa" w:w="90"/>
            </w:tcMar>
            <w:vAlign w:val="top"/>
          </w:tcPr>
          <w:p>
            <w:r>
              <w:rPr>
                <w:b/>
                <w:bCs/>
                <w:color w:val="000000"/>
                <w:sz w:val="16"/>
                <w:szCs w:val="16"/>
              </w:rPr>
              <w:t xml:space="preserve">D4</w:t>
            </w:r>
          </w:p>
        </w:tc>
        <w:tc>
          <w:tcPr>
            <w:tcW w:type="dxa" w:w="3370"/>
            <w:tcMar>
              <w:top w:type="dxa" w:w="70"/>
              <w:left w:type="dxa" w:w="90"/>
              <w:bottom w:type="dxa" w:w="70"/>
              <w:right w:type="dxa" w:w="90"/>
            </w:tcMar>
            <w:vAlign w:val="top"/>
          </w:tcPr>
          <w:p>
            <w:r>
              <w:rPr>
                <w:b w:val="false"/>
                <w:bCs w:val="false"/>
                <w:color w:val="000000"/>
                <w:sz w:val="16"/>
                <w:szCs w:val="16"/>
              </w:rPr>
              <w:t xml:space="preserve">Plan-to-Task Conversion</w:t>
            </w:r>
          </w:p>
        </w:tc>
        <w:tc>
          <w:tcPr>
            <w:tcW w:type="dxa" w:w="9266"/>
            <w:tcMar>
              <w:top w:type="dxa" w:w="70"/>
              <w:left w:type="dxa" w:w="90"/>
              <w:bottom w:type="dxa" w:w="70"/>
              <w:right w:type="dxa" w:w="90"/>
            </w:tcMar>
            <w:vAlign w:val="top"/>
          </w:tcPr>
          <w:p>
            <w:r>
              <w:rPr>
                <w:b w:val="false"/>
                <w:bCs w:val="false"/>
                <w:color w:val="000000"/>
                <w:sz w:val="16"/>
                <w:szCs w:val="16"/>
              </w:rPr>
              <w:t xml:space="preserve">Ongoing translation of approved plans into assigned, trackable tasks.</w:t>
            </w:r>
          </w:p>
        </w:tc>
      </w:tr>
      <w:tr>
        <w:tc>
          <w:tcPr>
            <w:tcW w:type="dxa" w:w="1404"/>
            <w:tcMar>
              <w:top w:type="dxa" w:w="70"/>
              <w:left w:type="dxa" w:w="90"/>
              <w:bottom w:type="dxa" w:w="70"/>
              <w:right w:type="dxa" w:w="90"/>
            </w:tcMar>
            <w:vAlign w:val="top"/>
          </w:tcPr>
          <w:p>
            <w:r>
              <w:rPr>
                <w:b/>
                <w:bCs/>
                <w:color w:val="000000"/>
                <w:sz w:val="16"/>
                <w:szCs w:val="16"/>
              </w:rPr>
              <w:t xml:space="preserve">D4</w:t>
            </w:r>
          </w:p>
        </w:tc>
        <w:tc>
          <w:tcPr>
            <w:tcW w:type="dxa" w:w="3370"/>
            <w:tcMar>
              <w:top w:type="dxa" w:w="70"/>
              <w:left w:type="dxa" w:w="90"/>
              <w:bottom w:type="dxa" w:w="70"/>
              <w:right w:type="dxa" w:w="90"/>
            </w:tcMar>
            <w:vAlign w:val="top"/>
          </w:tcPr>
          <w:p>
            <w:r>
              <w:rPr>
                <w:b w:val="false"/>
                <w:bCs w:val="false"/>
                <w:color w:val="000000"/>
                <w:sz w:val="16"/>
                <w:szCs w:val="16"/>
              </w:rPr>
              <w:t xml:space="preserve">Milestone Tracking</w:t>
            </w:r>
          </w:p>
        </w:tc>
        <w:tc>
          <w:tcPr>
            <w:tcW w:type="dxa" w:w="9266"/>
            <w:tcMar>
              <w:top w:type="dxa" w:w="70"/>
              <w:left w:type="dxa" w:w="90"/>
              <w:bottom w:type="dxa" w:w="70"/>
              <w:right w:type="dxa" w:w="90"/>
            </w:tcMar>
            <w:vAlign w:val="top"/>
          </w:tcPr>
          <w:p>
            <w:r>
              <w:rPr>
                <w:b w:val="false"/>
                <w:bCs w:val="false"/>
                <w:color w:val="000000"/>
                <w:sz w:val="16"/>
                <w:szCs w:val="16"/>
              </w:rPr>
              <w:t xml:space="preserve">Ongoing monitoring of task and project milestones against schedule.</w:t>
            </w:r>
          </w:p>
        </w:tc>
      </w:tr>
      <w:tr>
        <w:tc>
          <w:tcPr>
            <w:tcW w:type="dxa" w:w="1404"/>
            <w:tcMar>
              <w:top w:type="dxa" w:w="70"/>
              <w:left w:type="dxa" w:w="90"/>
              <w:bottom w:type="dxa" w:w="70"/>
              <w:right w:type="dxa" w:w="90"/>
            </w:tcMar>
            <w:vAlign w:val="top"/>
          </w:tcPr>
          <w:p>
            <w:r>
              <w:rPr>
                <w:b/>
                <w:bCs/>
                <w:color w:val="000000"/>
                <w:sz w:val="16"/>
                <w:szCs w:val="16"/>
              </w:rPr>
              <w:t xml:space="preserve">D4</w:t>
            </w:r>
          </w:p>
        </w:tc>
        <w:tc>
          <w:tcPr>
            <w:tcW w:type="dxa" w:w="3370"/>
            <w:tcMar>
              <w:top w:type="dxa" w:w="70"/>
              <w:left w:type="dxa" w:w="90"/>
              <w:bottom w:type="dxa" w:w="70"/>
              <w:right w:type="dxa" w:w="90"/>
            </w:tcMar>
            <w:vAlign w:val="top"/>
          </w:tcPr>
          <w:p>
            <w:r>
              <w:rPr>
                <w:b w:val="false"/>
                <w:bCs w:val="false"/>
                <w:color w:val="000000"/>
                <w:sz w:val="16"/>
                <w:szCs w:val="16"/>
              </w:rPr>
              <w:t xml:space="preserve">Dependency Management</w:t>
            </w:r>
          </w:p>
        </w:tc>
        <w:tc>
          <w:tcPr>
            <w:tcW w:type="dxa" w:w="9266"/>
            <w:tcMar>
              <w:top w:type="dxa" w:w="70"/>
              <w:left w:type="dxa" w:w="90"/>
              <w:bottom w:type="dxa" w:w="70"/>
              <w:right w:type="dxa" w:w="90"/>
            </w:tcMar>
            <w:vAlign w:val="top"/>
          </w:tcPr>
          <w:p>
            <w:r>
              <w:rPr>
                <w:b w:val="false"/>
                <w:bCs w:val="false"/>
                <w:color w:val="000000"/>
                <w:sz w:val="16"/>
                <w:szCs w:val="16"/>
              </w:rPr>
              <w:t xml:space="preserve">Ongoing identification and sequencing of task interdependencies.</w:t>
            </w:r>
          </w:p>
        </w:tc>
      </w:tr>
      <w:tr>
        <w:tc>
          <w:tcPr>
            <w:tcW w:type="dxa" w:w="1404"/>
            <w:tcMar>
              <w:top w:type="dxa" w:w="70"/>
              <w:left w:type="dxa" w:w="90"/>
              <w:bottom w:type="dxa" w:w="70"/>
              <w:right w:type="dxa" w:w="90"/>
            </w:tcMar>
            <w:vAlign w:val="top"/>
          </w:tcPr>
          <w:p>
            <w:r>
              <w:rPr>
                <w:b/>
                <w:bCs/>
                <w:color w:val="000000"/>
                <w:sz w:val="16"/>
                <w:szCs w:val="16"/>
              </w:rPr>
              <w:t xml:space="preserve">D4</w:t>
            </w:r>
          </w:p>
        </w:tc>
        <w:tc>
          <w:tcPr>
            <w:tcW w:type="dxa" w:w="3370"/>
            <w:tcMar>
              <w:top w:type="dxa" w:w="70"/>
              <w:left w:type="dxa" w:w="90"/>
              <w:bottom w:type="dxa" w:w="70"/>
              <w:right w:type="dxa" w:w="90"/>
            </w:tcMar>
            <w:vAlign w:val="top"/>
          </w:tcPr>
          <w:p>
            <w:r>
              <w:rPr>
                <w:b w:val="false"/>
                <w:bCs w:val="false"/>
                <w:color w:val="000000"/>
                <w:sz w:val="16"/>
                <w:szCs w:val="16"/>
              </w:rPr>
              <w:t xml:space="preserve">Progress Monitoring</w:t>
            </w:r>
          </w:p>
        </w:tc>
        <w:tc>
          <w:tcPr>
            <w:tcW w:type="dxa" w:w="9266"/>
            <w:tcMar>
              <w:top w:type="dxa" w:w="70"/>
              <w:left w:type="dxa" w:w="90"/>
              <w:bottom w:type="dxa" w:w="70"/>
              <w:right w:type="dxa" w:w="90"/>
            </w:tcMar>
            <w:vAlign w:val="top"/>
          </w:tcPr>
          <w:p>
            <w:r>
              <w:rPr>
                <w:b w:val="false"/>
                <w:bCs w:val="false"/>
                <w:color w:val="000000"/>
                <w:sz w:val="16"/>
                <w:szCs w:val="16"/>
              </w:rPr>
              <w:t xml:space="preserve">Ongoing tracking of task completion status feeding programme-level dashboards.</w:t>
            </w:r>
          </w:p>
        </w:tc>
      </w:tr>
      <w:tr>
        <w:tc>
          <w:tcPr>
            <w:tcW w:type="dxa" w:w="1404"/>
            <w:tcMar>
              <w:top w:type="dxa" w:w="70"/>
              <w:left w:type="dxa" w:w="90"/>
              <w:bottom w:type="dxa" w:w="70"/>
              <w:right w:type="dxa" w:w="90"/>
            </w:tcMar>
            <w:vAlign w:val="top"/>
          </w:tcPr>
          <w:p>
            <w:r>
              <w:rPr>
                <w:b/>
                <w:bCs/>
                <w:color w:val="000000"/>
                <w:sz w:val="16"/>
                <w:szCs w:val="16"/>
              </w:rPr>
              <w:t xml:space="preserve">D5</w:t>
            </w:r>
          </w:p>
        </w:tc>
        <w:tc>
          <w:tcPr>
            <w:tcW w:type="dxa" w:w="3370"/>
            <w:tcMar>
              <w:top w:type="dxa" w:w="70"/>
              <w:left w:type="dxa" w:w="90"/>
              <w:bottom w:type="dxa" w:w="70"/>
              <w:right w:type="dxa" w:w="90"/>
            </w:tcMar>
            <w:vAlign w:val="top"/>
          </w:tcPr>
          <w:p>
            <w:r>
              <w:rPr>
                <w:b w:val="false"/>
                <w:bCs w:val="false"/>
                <w:color w:val="000000"/>
                <w:sz w:val="16"/>
                <w:szCs w:val="16"/>
              </w:rPr>
              <w:t xml:space="preserve">Content Curation</w:t>
            </w:r>
          </w:p>
        </w:tc>
        <w:tc>
          <w:tcPr>
            <w:tcW w:type="dxa" w:w="9266"/>
            <w:tcMar>
              <w:top w:type="dxa" w:w="70"/>
              <w:left w:type="dxa" w:w="90"/>
              <w:bottom w:type="dxa" w:w="70"/>
              <w:right w:type="dxa" w:w="90"/>
            </w:tcMar>
            <w:vAlign w:val="top"/>
          </w:tcPr>
          <w:p>
            <w:r>
              <w:rPr>
                <w:b w:val="false"/>
                <w:bCs w:val="false"/>
                <w:color w:val="000000"/>
                <w:sz w:val="16"/>
                <w:szCs w:val="16"/>
              </w:rPr>
              <w:t xml:space="preserve">Ongoing editorial review and quality control of knowledge assets before publication.</w:t>
            </w:r>
          </w:p>
        </w:tc>
      </w:tr>
      <w:tr>
        <w:tc>
          <w:tcPr>
            <w:tcW w:type="dxa" w:w="1404"/>
            <w:tcMar>
              <w:top w:type="dxa" w:w="70"/>
              <w:left w:type="dxa" w:w="90"/>
              <w:bottom w:type="dxa" w:w="70"/>
              <w:right w:type="dxa" w:w="90"/>
            </w:tcMar>
            <w:vAlign w:val="top"/>
          </w:tcPr>
          <w:p>
            <w:r>
              <w:rPr>
                <w:b/>
                <w:bCs/>
                <w:color w:val="000000"/>
                <w:sz w:val="16"/>
                <w:szCs w:val="16"/>
              </w:rPr>
              <w:t xml:space="preserve">D5</w:t>
            </w:r>
          </w:p>
        </w:tc>
        <w:tc>
          <w:tcPr>
            <w:tcW w:type="dxa" w:w="3370"/>
            <w:tcMar>
              <w:top w:type="dxa" w:w="70"/>
              <w:left w:type="dxa" w:w="90"/>
              <w:bottom w:type="dxa" w:w="70"/>
              <w:right w:type="dxa" w:w="90"/>
            </w:tcMar>
            <w:vAlign w:val="top"/>
          </w:tcPr>
          <w:p>
            <w:r>
              <w:rPr>
                <w:b w:val="false"/>
                <w:bCs w:val="false"/>
                <w:color w:val="000000"/>
                <w:sz w:val="16"/>
                <w:szCs w:val="16"/>
              </w:rPr>
              <w:t xml:space="preserve">Taxonomy Management</w:t>
            </w:r>
          </w:p>
        </w:tc>
        <w:tc>
          <w:tcPr>
            <w:tcW w:type="dxa" w:w="9266"/>
            <w:tcMar>
              <w:top w:type="dxa" w:w="70"/>
              <w:left w:type="dxa" w:w="90"/>
              <w:bottom w:type="dxa" w:w="70"/>
              <w:right w:type="dxa" w:w="90"/>
            </w:tcMar>
            <w:vAlign w:val="top"/>
          </w:tcPr>
          <w:p>
            <w:r>
              <w:rPr>
                <w:b w:val="false"/>
                <w:bCs w:val="false"/>
                <w:color w:val="000000"/>
                <w:sz w:val="16"/>
                <w:szCs w:val="16"/>
              </w:rPr>
              <w:t xml:space="preserve">Ongoing maintenance of the knowledge-content classification scheme shared with ESM.</w:t>
            </w:r>
          </w:p>
        </w:tc>
      </w:tr>
      <w:tr>
        <w:tc>
          <w:tcPr>
            <w:tcW w:type="dxa" w:w="1404"/>
            <w:tcMar>
              <w:top w:type="dxa" w:w="70"/>
              <w:left w:type="dxa" w:w="90"/>
              <w:bottom w:type="dxa" w:w="70"/>
              <w:right w:type="dxa" w:w="90"/>
            </w:tcMar>
            <w:vAlign w:val="top"/>
          </w:tcPr>
          <w:p>
            <w:r>
              <w:rPr>
                <w:b/>
                <w:bCs/>
                <w:color w:val="000000"/>
                <w:sz w:val="16"/>
                <w:szCs w:val="16"/>
              </w:rPr>
              <w:t xml:space="preserve">D5</w:t>
            </w:r>
          </w:p>
        </w:tc>
        <w:tc>
          <w:tcPr>
            <w:tcW w:type="dxa" w:w="3370"/>
            <w:tcMar>
              <w:top w:type="dxa" w:w="70"/>
              <w:left w:type="dxa" w:w="90"/>
              <w:bottom w:type="dxa" w:w="70"/>
              <w:right w:type="dxa" w:w="90"/>
            </w:tcMar>
            <w:vAlign w:val="top"/>
          </w:tcPr>
          <w:p>
            <w:r>
              <w:rPr>
                <w:b w:val="false"/>
                <w:bCs w:val="false"/>
                <w:color w:val="000000"/>
                <w:sz w:val="16"/>
                <w:szCs w:val="16"/>
              </w:rPr>
              <w:t xml:space="preserve">Publishing &amp; Content Discovery</w:t>
            </w:r>
          </w:p>
        </w:tc>
        <w:tc>
          <w:tcPr>
            <w:tcW w:type="dxa" w:w="9266"/>
            <w:tcMar>
              <w:top w:type="dxa" w:w="70"/>
              <w:left w:type="dxa" w:w="90"/>
              <w:bottom w:type="dxa" w:w="70"/>
              <w:right w:type="dxa" w:w="90"/>
            </w:tcMar>
            <w:vAlign w:val="top"/>
          </w:tcPr>
          <w:p>
            <w:r>
              <w:rPr>
                <w:b w:val="false"/>
                <w:bCs w:val="false"/>
                <w:color w:val="000000"/>
                <w:sz w:val="16"/>
                <w:szCs w:val="16"/>
              </w:rPr>
              <w:t xml:space="preserve">Ongoing release of curated content and support for search, filtering, and browsing.</w:t>
            </w:r>
          </w:p>
        </w:tc>
      </w:tr>
      <w:tr>
        <w:tc>
          <w:tcPr>
            <w:tcW w:type="dxa" w:w="1404"/>
            <w:tcMar>
              <w:top w:type="dxa" w:w="70"/>
              <w:left w:type="dxa" w:w="90"/>
              <w:bottom w:type="dxa" w:w="70"/>
              <w:right w:type="dxa" w:w="90"/>
            </w:tcMar>
            <w:vAlign w:val="top"/>
          </w:tcPr>
          <w:p>
            <w:r>
              <w:rPr>
                <w:b/>
                <w:bCs/>
                <w:color w:val="000000"/>
                <w:sz w:val="16"/>
                <w:szCs w:val="16"/>
              </w:rPr>
              <w:t xml:space="preserve">D5</w:t>
            </w:r>
          </w:p>
        </w:tc>
        <w:tc>
          <w:tcPr>
            <w:tcW w:type="dxa" w:w="3370"/>
            <w:tcMar>
              <w:top w:type="dxa" w:w="70"/>
              <w:left w:type="dxa" w:w="90"/>
              <w:bottom w:type="dxa" w:w="70"/>
              <w:right w:type="dxa" w:w="90"/>
            </w:tcMar>
            <w:vAlign w:val="top"/>
          </w:tcPr>
          <w:p>
            <w:r>
              <w:rPr>
                <w:b w:val="false"/>
                <w:bCs w:val="false"/>
                <w:color w:val="000000"/>
                <w:sz w:val="16"/>
                <w:szCs w:val="16"/>
              </w:rPr>
              <w:t xml:space="preserve">Usage Analytics</w:t>
            </w:r>
          </w:p>
        </w:tc>
        <w:tc>
          <w:tcPr>
            <w:tcW w:type="dxa" w:w="9266"/>
            <w:tcMar>
              <w:top w:type="dxa" w:w="70"/>
              <w:left w:type="dxa" w:w="90"/>
              <w:bottom w:type="dxa" w:w="70"/>
              <w:right w:type="dxa" w:w="90"/>
            </w:tcMar>
            <w:vAlign w:val="top"/>
          </w:tcPr>
          <w:p>
            <w:r>
              <w:rPr>
                <w:b w:val="false"/>
                <w:bCs w:val="false"/>
                <w:color w:val="000000"/>
                <w:sz w:val="16"/>
                <w:szCs w:val="16"/>
              </w:rPr>
              <w:t xml:space="preserve">Ongoing measurement of content engagement to inform curation priorities.</w:t>
            </w:r>
          </w:p>
        </w:tc>
      </w:tr>
      <w:tr>
        <w:tc>
          <w:tcPr>
            <w:tcW w:type="dxa" w:w="1404"/>
            <w:tcMar>
              <w:top w:type="dxa" w:w="70"/>
              <w:left w:type="dxa" w:w="90"/>
              <w:bottom w:type="dxa" w:w="70"/>
              <w:right w:type="dxa" w:w="90"/>
            </w:tcMar>
            <w:vAlign w:val="top"/>
          </w:tcPr>
          <w:p>
            <w:r>
              <w:rPr>
                <w:b/>
                <w:bCs/>
                <w:color w:val="000000"/>
                <w:sz w:val="16"/>
                <w:szCs w:val="16"/>
              </w:rPr>
              <w:t xml:space="preserve">D6</w:t>
            </w:r>
          </w:p>
        </w:tc>
        <w:tc>
          <w:tcPr>
            <w:tcW w:type="dxa" w:w="3370"/>
            <w:tcMar>
              <w:top w:type="dxa" w:w="70"/>
              <w:left w:type="dxa" w:w="90"/>
              <w:bottom w:type="dxa" w:w="70"/>
              <w:right w:type="dxa" w:w="90"/>
            </w:tcMar>
            <w:vAlign w:val="top"/>
          </w:tcPr>
          <w:p>
            <w:r>
              <w:rPr>
                <w:b w:val="false"/>
                <w:bCs w:val="false"/>
                <w:color w:val="000000"/>
                <w:sz w:val="16"/>
                <w:szCs w:val="16"/>
              </w:rPr>
              <w:t xml:space="preserve">Performance Monitoring</w:t>
            </w:r>
          </w:p>
        </w:tc>
        <w:tc>
          <w:tcPr>
            <w:tcW w:type="dxa" w:w="9266"/>
            <w:tcMar>
              <w:top w:type="dxa" w:w="70"/>
              <w:left w:type="dxa" w:w="90"/>
              <w:bottom w:type="dxa" w:w="70"/>
              <w:right w:type="dxa" w:w="90"/>
            </w:tcMar>
            <w:vAlign w:val="top"/>
          </w:tcPr>
          <w:p>
            <w:r>
              <w:rPr>
                <w:b w:val="false"/>
                <w:bCs w:val="false"/>
                <w:color w:val="000000"/>
                <w:sz w:val="16"/>
                <w:szCs w:val="16"/>
              </w:rPr>
              <w:t xml:space="preserve">Ongoing tracking of programme KPIs across states and components.</w:t>
            </w:r>
          </w:p>
        </w:tc>
      </w:tr>
      <w:tr>
        <w:tc>
          <w:tcPr>
            <w:tcW w:type="dxa" w:w="1404"/>
            <w:tcMar>
              <w:top w:type="dxa" w:w="70"/>
              <w:left w:type="dxa" w:w="90"/>
              <w:bottom w:type="dxa" w:w="70"/>
              <w:right w:type="dxa" w:w="90"/>
            </w:tcMar>
            <w:vAlign w:val="top"/>
          </w:tcPr>
          <w:p>
            <w:r>
              <w:rPr>
                <w:b/>
                <w:bCs/>
                <w:color w:val="000000"/>
                <w:sz w:val="16"/>
                <w:szCs w:val="16"/>
              </w:rPr>
              <w:t xml:space="preserve">D6</w:t>
            </w:r>
          </w:p>
        </w:tc>
        <w:tc>
          <w:tcPr>
            <w:tcW w:type="dxa" w:w="3370"/>
            <w:tcMar>
              <w:top w:type="dxa" w:w="70"/>
              <w:left w:type="dxa" w:w="90"/>
              <w:bottom w:type="dxa" w:w="70"/>
              <w:right w:type="dxa" w:w="90"/>
            </w:tcMar>
            <w:vAlign w:val="top"/>
          </w:tcPr>
          <w:p>
            <w:r>
              <w:rPr>
                <w:b w:val="false"/>
                <w:bCs w:val="false"/>
                <w:color w:val="000000"/>
                <w:sz w:val="16"/>
                <w:szCs w:val="16"/>
              </w:rPr>
              <w:t xml:space="preserve">Dashboard Management</w:t>
            </w:r>
          </w:p>
        </w:tc>
        <w:tc>
          <w:tcPr>
            <w:tcW w:type="dxa" w:w="9266"/>
            <w:tcMar>
              <w:top w:type="dxa" w:w="70"/>
              <w:left w:type="dxa" w:w="90"/>
              <w:bottom w:type="dxa" w:w="70"/>
              <w:right w:type="dxa" w:w="90"/>
            </w:tcMar>
            <w:vAlign w:val="top"/>
          </w:tcPr>
          <w:p>
            <w:r>
              <w:rPr>
                <w:b w:val="false"/>
                <w:bCs w:val="false"/>
                <w:color w:val="000000"/>
                <w:sz w:val="16"/>
                <w:szCs w:val="16"/>
              </w:rPr>
              <w:t xml:space="preserve">Ongoing maintenance of executive, management, and operational dashboard tiers.</w:t>
            </w:r>
          </w:p>
        </w:tc>
      </w:tr>
      <w:tr>
        <w:tc>
          <w:tcPr>
            <w:tcW w:type="dxa" w:w="1404"/>
            <w:tcMar>
              <w:top w:type="dxa" w:w="70"/>
              <w:left w:type="dxa" w:w="90"/>
              <w:bottom w:type="dxa" w:w="70"/>
              <w:right w:type="dxa" w:w="90"/>
            </w:tcMar>
            <w:vAlign w:val="top"/>
          </w:tcPr>
          <w:p>
            <w:r>
              <w:rPr>
                <w:b/>
                <w:bCs/>
                <w:color w:val="000000"/>
                <w:sz w:val="16"/>
                <w:szCs w:val="16"/>
              </w:rPr>
              <w:t xml:space="preserve">D6</w:t>
            </w:r>
          </w:p>
        </w:tc>
        <w:tc>
          <w:tcPr>
            <w:tcW w:type="dxa" w:w="3370"/>
            <w:tcMar>
              <w:top w:type="dxa" w:w="70"/>
              <w:left w:type="dxa" w:w="90"/>
              <w:bottom w:type="dxa" w:w="70"/>
              <w:right w:type="dxa" w:w="90"/>
            </w:tcMar>
            <w:vAlign w:val="top"/>
          </w:tcPr>
          <w:p>
            <w:r>
              <w:rPr>
                <w:b w:val="false"/>
                <w:bCs w:val="false"/>
                <w:color w:val="000000"/>
                <w:sz w:val="16"/>
                <w:szCs w:val="16"/>
              </w:rPr>
              <w:t xml:space="preserve">Custom Reporting</w:t>
            </w:r>
          </w:p>
        </w:tc>
        <w:tc>
          <w:tcPr>
            <w:tcW w:type="dxa" w:w="9266"/>
            <w:tcMar>
              <w:top w:type="dxa" w:w="70"/>
              <w:left w:type="dxa" w:w="90"/>
              <w:bottom w:type="dxa" w:w="70"/>
              <w:right w:type="dxa" w:w="90"/>
            </w:tcMar>
            <w:vAlign w:val="top"/>
          </w:tcPr>
          <w:p>
            <w:r>
              <w:rPr>
                <w:b w:val="false"/>
                <w:bCs w:val="false"/>
                <w:color w:val="000000"/>
                <w:sz w:val="16"/>
                <w:szCs w:val="16"/>
              </w:rPr>
              <w:t xml:space="preserve">Ongoing generation of tailored reports for different stakeholder audiences.</w:t>
            </w:r>
          </w:p>
        </w:tc>
      </w:tr>
      <w:tr>
        <w:tc>
          <w:tcPr>
            <w:tcW w:type="dxa" w:w="1404"/>
            <w:tcMar>
              <w:top w:type="dxa" w:w="70"/>
              <w:left w:type="dxa" w:w="90"/>
              <w:bottom w:type="dxa" w:w="70"/>
              <w:right w:type="dxa" w:w="90"/>
            </w:tcMar>
            <w:vAlign w:val="top"/>
          </w:tcPr>
          <w:p>
            <w:r>
              <w:rPr>
                <w:b/>
                <w:bCs/>
                <w:color w:val="000000"/>
                <w:sz w:val="16"/>
                <w:szCs w:val="16"/>
              </w:rPr>
              <w:t xml:space="preserve">D6</w:t>
            </w:r>
          </w:p>
        </w:tc>
        <w:tc>
          <w:tcPr>
            <w:tcW w:type="dxa" w:w="3370"/>
            <w:tcMar>
              <w:top w:type="dxa" w:w="70"/>
              <w:left w:type="dxa" w:w="90"/>
              <w:bottom w:type="dxa" w:w="70"/>
              <w:right w:type="dxa" w:w="90"/>
            </w:tcMar>
            <w:vAlign w:val="top"/>
          </w:tcPr>
          <w:p>
            <w:r>
              <w:rPr>
                <w:b w:val="false"/>
                <w:bCs w:val="false"/>
                <w:color w:val="000000"/>
                <w:sz w:val="16"/>
                <w:szCs w:val="16"/>
              </w:rPr>
              <w:t xml:space="preserve">Data Export</w:t>
            </w:r>
          </w:p>
        </w:tc>
        <w:tc>
          <w:tcPr>
            <w:tcW w:type="dxa" w:w="9266"/>
            <w:tcMar>
              <w:top w:type="dxa" w:w="70"/>
              <w:left w:type="dxa" w:w="90"/>
              <w:bottom w:type="dxa" w:w="70"/>
              <w:right w:type="dxa" w:w="90"/>
            </w:tcMar>
            <w:vAlign w:val="top"/>
          </w:tcPr>
          <w:p>
            <w:r>
              <w:rPr>
                <w:b w:val="false"/>
                <w:bCs w:val="false"/>
                <w:color w:val="000000"/>
                <w:sz w:val="16"/>
                <w:szCs w:val="16"/>
              </w:rPr>
              <w:t xml:space="preserve">Ongoing provision of data in donor- and government-compatible formats.</w:t>
            </w:r>
          </w:p>
        </w:tc>
      </w:tr>
      <w:tr>
        <w:tc>
          <w:tcPr>
            <w:tcW w:type="dxa" w:w="1404"/>
            <w:tcMar>
              <w:top w:type="dxa" w:w="70"/>
              <w:left w:type="dxa" w:w="90"/>
              <w:bottom w:type="dxa" w:w="70"/>
              <w:right w:type="dxa" w:w="90"/>
            </w:tcMar>
            <w:vAlign w:val="top"/>
          </w:tcPr>
          <w:p>
            <w:r>
              <w:rPr>
                <w:b/>
                <w:bCs/>
                <w:color w:val="000000"/>
                <w:sz w:val="16"/>
                <w:szCs w:val="16"/>
              </w:rPr>
              <w:t xml:space="preserve">D7</w:t>
            </w:r>
          </w:p>
        </w:tc>
        <w:tc>
          <w:tcPr>
            <w:tcW w:type="dxa" w:w="3370"/>
            <w:tcMar>
              <w:top w:type="dxa" w:w="70"/>
              <w:left w:type="dxa" w:w="90"/>
              <w:bottom w:type="dxa" w:w="70"/>
              <w:right w:type="dxa" w:w="90"/>
            </w:tcMar>
            <w:vAlign w:val="top"/>
          </w:tcPr>
          <w:p>
            <w:r>
              <w:rPr>
                <w:b w:val="false"/>
                <w:bCs w:val="false"/>
                <w:color w:val="000000"/>
                <w:sz w:val="16"/>
                <w:szCs w:val="16"/>
              </w:rPr>
              <w:t xml:space="preserve">Identity &amp; Access Management</w:t>
            </w:r>
          </w:p>
        </w:tc>
        <w:tc>
          <w:tcPr>
            <w:tcW w:type="dxa" w:w="9266"/>
            <w:tcMar>
              <w:top w:type="dxa" w:w="70"/>
              <w:left w:type="dxa" w:w="90"/>
              <w:bottom w:type="dxa" w:w="70"/>
              <w:right w:type="dxa" w:w="90"/>
            </w:tcMar>
            <w:vAlign w:val="top"/>
          </w:tcPr>
          <w:p>
            <w:r>
              <w:rPr>
                <w:b w:val="false"/>
                <w:bCs w:val="false"/>
                <w:color w:val="000000"/>
                <w:sz w:val="16"/>
                <w:szCs w:val="16"/>
              </w:rPr>
              <w:t xml:space="preserve">Ongoing provisioning, authentication, and role assignment for all system users.</w:t>
            </w:r>
          </w:p>
        </w:tc>
      </w:tr>
      <w:tr>
        <w:tc>
          <w:tcPr>
            <w:tcW w:type="dxa" w:w="1404"/>
            <w:tcMar>
              <w:top w:type="dxa" w:w="70"/>
              <w:left w:type="dxa" w:w="90"/>
              <w:bottom w:type="dxa" w:w="70"/>
              <w:right w:type="dxa" w:w="90"/>
            </w:tcMar>
            <w:vAlign w:val="top"/>
          </w:tcPr>
          <w:p>
            <w:r>
              <w:rPr>
                <w:b/>
                <w:bCs/>
                <w:color w:val="000000"/>
                <w:sz w:val="16"/>
                <w:szCs w:val="16"/>
              </w:rPr>
              <w:t xml:space="preserve">D7</w:t>
            </w:r>
          </w:p>
        </w:tc>
        <w:tc>
          <w:tcPr>
            <w:tcW w:type="dxa" w:w="3370"/>
            <w:tcMar>
              <w:top w:type="dxa" w:w="70"/>
              <w:left w:type="dxa" w:w="90"/>
              <w:bottom w:type="dxa" w:w="70"/>
              <w:right w:type="dxa" w:w="90"/>
            </w:tcMar>
            <w:vAlign w:val="top"/>
          </w:tcPr>
          <w:p>
            <w:r>
              <w:rPr>
                <w:b w:val="false"/>
                <w:bCs w:val="false"/>
                <w:color w:val="000000"/>
                <w:sz w:val="16"/>
                <w:szCs w:val="16"/>
              </w:rPr>
              <w:t xml:space="preserve">Data Protection &amp; Encryption</w:t>
            </w:r>
          </w:p>
        </w:tc>
        <w:tc>
          <w:tcPr>
            <w:tcW w:type="dxa" w:w="9266"/>
            <w:tcMar>
              <w:top w:type="dxa" w:w="70"/>
              <w:left w:type="dxa" w:w="90"/>
              <w:bottom w:type="dxa" w:w="70"/>
              <w:right w:type="dxa" w:w="90"/>
            </w:tcMar>
            <w:vAlign w:val="top"/>
          </w:tcPr>
          <w:p>
            <w:r>
              <w:rPr>
                <w:b w:val="false"/>
                <w:bCs w:val="false"/>
                <w:color w:val="000000"/>
                <w:sz w:val="16"/>
                <w:szCs w:val="16"/>
              </w:rPr>
              <w:t xml:space="preserve">Ongoing enforcement of encryption and secure-access standards.</w:t>
            </w:r>
          </w:p>
        </w:tc>
      </w:tr>
      <w:tr>
        <w:tc>
          <w:tcPr>
            <w:tcW w:type="dxa" w:w="1404"/>
            <w:tcMar>
              <w:top w:type="dxa" w:w="70"/>
              <w:left w:type="dxa" w:w="90"/>
              <w:bottom w:type="dxa" w:w="70"/>
              <w:right w:type="dxa" w:w="90"/>
            </w:tcMar>
            <w:vAlign w:val="top"/>
          </w:tcPr>
          <w:p>
            <w:r>
              <w:rPr>
                <w:b/>
                <w:bCs/>
                <w:color w:val="000000"/>
                <w:sz w:val="16"/>
                <w:szCs w:val="16"/>
              </w:rPr>
              <w:t xml:space="preserve">D7</w:t>
            </w:r>
          </w:p>
        </w:tc>
        <w:tc>
          <w:tcPr>
            <w:tcW w:type="dxa" w:w="3370"/>
            <w:tcMar>
              <w:top w:type="dxa" w:w="70"/>
              <w:left w:type="dxa" w:w="90"/>
              <w:bottom w:type="dxa" w:w="70"/>
              <w:right w:type="dxa" w:w="90"/>
            </w:tcMar>
            <w:vAlign w:val="top"/>
          </w:tcPr>
          <w:p>
            <w:r>
              <w:rPr>
                <w:b w:val="false"/>
                <w:bCs w:val="false"/>
                <w:color w:val="000000"/>
                <w:sz w:val="16"/>
                <w:szCs w:val="16"/>
              </w:rPr>
              <w:t xml:space="preserve">Audit Logging</w:t>
            </w:r>
          </w:p>
        </w:tc>
        <w:tc>
          <w:tcPr>
            <w:tcW w:type="dxa" w:w="9266"/>
            <w:tcMar>
              <w:top w:type="dxa" w:w="70"/>
              <w:left w:type="dxa" w:w="90"/>
              <w:bottom w:type="dxa" w:w="70"/>
              <w:right w:type="dxa" w:w="90"/>
            </w:tcMar>
            <w:vAlign w:val="top"/>
          </w:tcPr>
          <w:p>
            <w:r>
              <w:rPr>
                <w:b w:val="false"/>
                <w:bCs w:val="false"/>
                <w:color w:val="000000"/>
                <w:sz w:val="16"/>
                <w:szCs w:val="16"/>
              </w:rPr>
              <w:t xml:space="preserve">Ongoing capture of a tamper-evident record of system and user activity.</w:t>
            </w:r>
          </w:p>
        </w:tc>
      </w:tr>
      <w:tr>
        <w:tc>
          <w:tcPr>
            <w:tcW w:type="dxa" w:w="1404"/>
            <w:tcMar>
              <w:top w:type="dxa" w:w="70"/>
              <w:left w:type="dxa" w:w="90"/>
              <w:bottom w:type="dxa" w:w="70"/>
              <w:right w:type="dxa" w:w="90"/>
            </w:tcMar>
            <w:vAlign w:val="top"/>
          </w:tcPr>
          <w:p>
            <w:r>
              <w:rPr>
                <w:b/>
                <w:bCs/>
                <w:color w:val="000000"/>
                <w:sz w:val="16"/>
                <w:szCs w:val="16"/>
              </w:rPr>
              <w:t xml:space="preserve">D7</w:t>
            </w:r>
          </w:p>
        </w:tc>
        <w:tc>
          <w:tcPr>
            <w:tcW w:type="dxa" w:w="3370"/>
            <w:tcMar>
              <w:top w:type="dxa" w:w="70"/>
              <w:left w:type="dxa" w:w="90"/>
              <w:bottom w:type="dxa" w:w="70"/>
              <w:right w:type="dxa" w:w="90"/>
            </w:tcMar>
            <w:vAlign w:val="top"/>
          </w:tcPr>
          <w:p>
            <w:r>
              <w:rPr>
                <w:b w:val="false"/>
                <w:bCs w:val="false"/>
                <w:color w:val="000000"/>
                <w:sz w:val="16"/>
                <w:szCs w:val="16"/>
              </w:rPr>
              <w:t xml:space="preserve">Compliance Monitoring</w:t>
            </w:r>
          </w:p>
        </w:tc>
        <w:tc>
          <w:tcPr>
            <w:tcW w:type="dxa" w:w="9266"/>
            <w:tcMar>
              <w:top w:type="dxa" w:w="70"/>
              <w:left w:type="dxa" w:w="90"/>
              <w:bottom w:type="dxa" w:w="70"/>
              <w:right w:type="dxa" w:w="90"/>
            </w:tcMar>
            <w:vAlign w:val="top"/>
          </w:tcPr>
          <w:p>
            <w:r>
              <w:rPr>
                <w:b w:val="false"/>
                <w:bCs w:val="false"/>
                <w:color w:val="000000"/>
                <w:sz w:val="16"/>
                <w:szCs w:val="16"/>
              </w:rPr>
              <w:t xml:space="preserve">Ongoing verification of NDPR and donor data-policy alignment.</w:t>
            </w:r>
          </w:p>
        </w:tc>
      </w:tr>
      <w:tr>
        <w:tc>
          <w:tcPr>
            <w:tcW w:type="dxa" w:w="1404"/>
            <w:tcMar>
              <w:top w:type="dxa" w:w="70"/>
              <w:left w:type="dxa" w:w="90"/>
              <w:bottom w:type="dxa" w:w="70"/>
              <w:right w:type="dxa" w:w="90"/>
            </w:tcMar>
            <w:vAlign w:val="top"/>
          </w:tcPr>
          <w:p>
            <w:r>
              <w:rPr>
                <w:b/>
                <w:bCs/>
                <w:color w:val="000000"/>
                <w:sz w:val="16"/>
                <w:szCs w:val="16"/>
              </w:rPr>
              <w:t xml:space="preserve">D8</w:t>
            </w:r>
          </w:p>
        </w:tc>
        <w:tc>
          <w:tcPr>
            <w:tcW w:type="dxa" w:w="3370"/>
            <w:tcMar>
              <w:top w:type="dxa" w:w="70"/>
              <w:left w:type="dxa" w:w="90"/>
              <w:bottom w:type="dxa" w:w="70"/>
              <w:right w:type="dxa" w:w="90"/>
            </w:tcMar>
            <w:vAlign w:val="top"/>
          </w:tcPr>
          <w:p>
            <w:r>
              <w:rPr>
                <w:b w:val="false"/>
                <w:bCs w:val="false"/>
                <w:color w:val="000000"/>
                <w:sz w:val="16"/>
                <w:szCs w:val="16"/>
              </w:rPr>
              <w:t xml:space="preserve">Stakeholder Consultation</w:t>
            </w:r>
          </w:p>
        </w:tc>
        <w:tc>
          <w:tcPr>
            <w:tcW w:type="dxa" w:w="9266"/>
            <w:tcMar>
              <w:top w:type="dxa" w:w="70"/>
              <w:left w:type="dxa" w:w="90"/>
              <w:bottom w:type="dxa" w:w="70"/>
              <w:right w:type="dxa" w:w="90"/>
            </w:tcMar>
            <w:vAlign w:val="top"/>
          </w:tcPr>
          <w:p>
            <w:r>
              <w:rPr>
                <w:b w:val="false"/>
                <w:bCs w:val="false"/>
                <w:color w:val="000000"/>
                <w:sz w:val="16"/>
                <w:szCs w:val="16"/>
              </w:rPr>
              <w:t xml:space="preserve">Ongoing engagement with state teams, donors, and community/private-sector stakeholders.</w:t>
            </w:r>
          </w:p>
        </w:tc>
      </w:tr>
      <w:tr>
        <w:tc>
          <w:tcPr>
            <w:tcW w:type="dxa" w:w="1404"/>
            <w:tcMar>
              <w:top w:type="dxa" w:w="70"/>
              <w:left w:type="dxa" w:w="90"/>
              <w:bottom w:type="dxa" w:w="70"/>
              <w:right w:type="dxa" w:w="90"/>
            </w:tcMar>
            <w:vAlign w:val="top"/>
          </w:tcPr>
          <w:p>
            <w:r>
              <w:rPr>
                <w:b/>
                <w:bCs/>
                <w:color w:val="000000"/>
                <w:sz w:val="16"/>
                <w:szCs w:val="16"/>
              </w:rPr>
              <w:t xml:space="preserve">D8</w:t>
            </w:r>
          </w:p>
        </w:tc>
        <w:tc>
          <w:tcPr>
            <w:tcW w:type="dxa" w:w="3370"/>
            <w:tcMar>
              <w:top w:type="dxa" w:w="70"/>
              <w:left w:type="dxa" w:w="90"/>
              <w:bottom w:type="dxa" w:w="70"/>
              <w:right w:type="dxa" w:w="90"/>
            </w:tcMar>
            <w:vAlign w:val="top"/>
          </w:tcPr>
          <w:p>
            <w:r>
              <w:rPr>
                <w:b w:val="false"/>
                <w:bCs w:val="false"/>
                <w:color w:val="000000"/>
                <w:sz w:val="16"/>
                <w:szCs w:val="16"/>
              </w:rPr>
              <w:t xml:space="preserve">Training &amp; Capacity Building</w:t>
            </w:r>
          </w:p>
        </w:tc>
        <w:tc>
          <w:tcPr>
            <w:tcW w:type="dxa" w:w="9266"/>
            <w:tcMar>
              <w:top w:type="dxa" w:w="70"/>
              <w:left w:type="dxa" w:w="90"/>
              <w:bottom w:type="dxa" w:w="70"/>
              <w:right w:type="dxa" w:w="90"/>
            </w:tcMar>
            <w:vAlign w:val="top"/>
          </w:tcPr>
          <w:p>
            <w:r>
              <w:rPr>
                <w:b w:val="false"/>
                <w:bCs w:val="false"/>
                <w:color w:val="000000"/>
                <w:sz w:val="16"/>
                <w:szCs w:val="16"/>
              </w:rPr>
              <w:t xml:space="preserve">Ongoing skill development for system users and the KM/ICT Units.</w:t>
            </w:r>
          </w:p>
        </w:tc>
      </w:tr>
      <w:tr>
        <w:tc>
          <w:tcPr>
            <w:tcW w:type="dxa" w:w="1404"/>
            <w:tcMar>
              <w:top w:type="dxa" w:w="70"/>
              <w:left w:type="dxa" w:w="90"/>
              <w:bottom w:type="dxa" w:w="70"/>
              <w:right w:type="dxa" w:w="90"/>
            </w:tcMar>
            <w:vAlign w:val="top"/>
          </w:tcPr>
          <w:p>
            <w:r>
              <w:rPr>
                <w:b/>
                <w:bCs/>
                <w:color w:val="000000"/>
                <w:sz w:val="16"/>
                <w:szCs w:val="16"/>
              </w:rPr>
              <w:t xml:space="preserve">D8</w:t>
            </w:r>
          </w:p>
        </w:tc>
        <w:tc>
          <w:tcPr>
            <w:tcW w:type="dxa" w:w="3370"/>
            <w:tcMar>
              <w:top w:type="dxa" w:w="70"/>
              <w:left w:type="dxa" w:w="90"/>
              <w:bottom w:type="dxa" w:w="70"/>
              <w:right w:type="dxa" w:w="90"/>
            </w:tcMar>
            <w:vAlign w:val="top"/>
          </w:tcPr>
          <w:p>
            <w:r>
              <w:rPr>
                <w:b w:val="false"/>
                <w:bCs w:val="false"/>
                <w:color w:val="000000"/>
                <w:sz w:val="16"/>
                <w:szCs w:val="16"/>
              </w:rPr>
              <w:t xml:space="preserve">Change Management &amp; Adoption</w:t>
            </w:r>
          </w:p>
        </w:tc>
        <w:tc>
          <w:tcPr>
            <w:tcW w:type="dxa" w:w="9266"/>
            <w:tcMar>
              <w:top w:type="dxa" w:w="70"/>
              <w:left w:type="dxa" w:w="90"/>
              <w:bottom w:type="dxa" w:w="70"/>
              <w:right w:type="dxa" w:w="90"/>
            </w:tcMar>
            <w:vAlign w:val="top"/>
          </w:tcPr>
          <w:p>
            <w:r>
              <w:rPr>
                <w:b w:val="false"/>
                <w:bCs w:val="false"/>
                <w:color w:val="000000"/>
                <w:sz w:val="16"/>
                <w:szCs w:val="16"/>
              </w:rPr>
              <w:t xml:space="preserve">Ongoing support for behavioral adoption of new systems and processes.</w:t>
            </w:r>
          </w:p>
        </w:tc>
      </w:tr>
      <w:tr>
        <w:tc>
          <w:tcPr>
            <w:tcW w:type="dxa" w:w="1404"/>
            <w:tcMar>
              <w:top w:type="dxa" w:w="70"/>
              <w:left w:type="dxa" w:w="90"/>
              <w:bottom w:type="dxa" w:w="70"/>
              <w:right w:type="dxa" w:w="90"/>
            </w:tcMar>
            <w:vAlign w:val="top"/>
          </w:tcPr>
          <w:p>
            <w:r>
              <w:rPr>
                <w:b/>
                <w:bCs/>
                <w:color w:val="000000"/>
                <w:sz w:val="16"/>
                <w:szCs w:val="16"/>
              </w:rPr>
              <w:t xml:space="preserve">D8</w:t>
            </w:r>
          </w:p>
        </w:tc>
        <w:tc>
          <w:tcPr>
            <w:tcW w:type="dxa" w:w="3370"/>
            <w:tcMar>
              <w:top w:type="dxa" w:w="70"/>
              <w:left w:type="dxa" w:w="90"/>
              <w:bottom w:type="dxa" w:w="70"/>
              <w:right w:type="dxa" w:w="90"/>
            </w:tcMar>
            <w:vAlign w:val="top"/>
          </w:tcPr>
          <w:p>
            <w:r>
              <w:rPr>
                <w:b w:val="false"/>
                <w:bCs w:val="false"/>
                <w:color w:val="000000"/>
                <w:sz w:val="16"/>
                <w:szCs w:val="16"/>
              </w:rPr>
              <w:t xml:space="preserve">Communications &amp; Outreach</w:t>
            </w:r>
          </w:p>
        </w:tc>
        <w:tc>
          <w:tcPr>
            <w:tcW w:type="dxa" w:w="9266"/>
            <w:tcMar>
              <w:top w:type="dxa" w:w="70"/>
              <w:left w:type="dxa" w:w="90"/>
              <w:bottom w:type="dxa" w:w="70"/>
              <w:right w:type="dxa" w:w="90"/>
            </w:tcMar>
            <w:vAlign w:val="top"/>
          </w:tcPr>
          <w:p>
            <w:r>
              <w:rPr>
                <w:b w:val="false"/>
                <w:bCs w:val="false"/>
                <w:color w:val="000000"/>
                <w:sz w:val="16"/>
                <w:szCs w:val="16"/>
              </w:rPr>
              <w:t xml:space="preserve">Ongoing public and inter-agency communication about programme knowledge and progress.</w:t>
            </w:r>
          </w:p>
        </w:tc>
      </w:tr>
    </w:tbl>
    <w:p>
      <w:pPr>
        <w:pStyle w:val="Heading1"/>
        <w:spacing w:after="130" w:before="300"/>
      </w:pPr>
      <w:r>
        <w:t xml:space="preserve">3. Business Services</w:t>
      </w:r>
    </w:p>
    <w:p>
      <w:pPr>
        <w:spacing w:after="150" w:line="270"/>
      </w:pPr>
      <w:r>
        <w:t xml:space="preserve">Business Services are what each domain offers to a defined consumer — internal SAPZ staff, state-level teams, the National Programme Coordinator, the co-financing institutions, or the general public — expressed as a service a consumer can request or rely upon, not as a technical feature. This distinction matters because Annex 1's own emphasis on 'quality of the proposed approach' rewards a bidder who can describe the assignment in terms of value delivered to a named consumer, not only in terms of modules built.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370"/>
        <w:gridCol w:w="3370"/>
        <w:gridCol w:w="4493"/>
        <w:gridCol w:w="2808"/>
      </w:tblGrid>
      <w:tr>
        <w:trPr>
          <w:tblHeader/>
        </w:trPr>
        <w:tc>
          <w:tcPr>
            <w:tcW w:type="dxa" w:w="3370"/>
            <w:shd w:fill="1B4F72" w:val="clear"/>
            <w:tcMar>
              <w:top w:type="dxa" w:w="70"/>
              <w:left w:type="dxa" w:w="90"/>
              <w:bottom w:type="dxa" w:w="70"/>
              <w:right w:type="dxa" w:w="90"/>
            </w:tcMar>
            <w:vAlign w:val="top"/>
          </w:tcPr>
          <w:p>
            <w:r>
              <w:rPr>
                <w:b/>
                <w:bCs/>
                <w:color w:val="FFFFFF"/>
                <w:sz w:val="16"/>
                <w:szCs w:val="16"/>
              </w:rPr>
              <w:t xml:space="preserve">Service</w:t>
            </w:r>
          </w:p>
        </w:tc>
        <w:tc>
          <w:tcPr>
            <w:tcW w:type="dxa" w:w="3370"/>
            <w:shd w:fill="1B4F72" w:val="clear"/>
            <w:tcMar>
              <w:top w:type="dxa" w:w="70"/>
              <w:left w:type="dxa" w:w="90"/>
              <w:bottom w:type="dxa" w:w="70"/>
              <w:right w:type="dxa" w:w="90"/>
            </w:tcMar>
            <w:vAlign w:val="top"/>
          </w:tcPr>
          <w:p>
            <w:r>
              <w:rPr>
                <w:b/>
                <w:bCs/>
                <w:color w:val="FFFFFF"/>
                <w:sz w:val="16"/>
                <w:szCs w:val="16"/>
              </w:rPr>
              <w:t xml:space="preserve">Consumer</w:t>
            </w:r>
          </w:p>
        </w:tc>
        <w:tc>
          <w:tcPr>
            <w:tcW w:type="dxa" w:w="4493"/>
            <w:shd w:fill="1B4F72" w:val="clear"/>
            <w:tcMar>
              <w:top w:type="dxa" w:w="70"/>
              <w:left w:type="dxa" w:w="90"/>
              <w:bottom w:type="dxa" w:w="70"/>
              <w:right w:type="dxa" w:w="90"/>
            </w:tcMar>
            <w:vAlign w:val="top"/>
          </w:tcPr>
          <w:p>
            <w:r>
              <w:rPr>
                <w:b/>
                <w:bCs/>
                <w:color w:val="FFFFFF"/>
                <w:sz w:val="16"/>
                <w:szCs w:val="16"/>
              </w:rPr>
              <w:t xml:space="preserve">Description</w:t>
            </w:r>
          </w:p>
        </w:tc>
        <w:tc>
          <w:tcPr>
            <w:tcW w:type="dxa" w:w="2808"/>
            <w:shd w:fill="1B4F72" w:val="clear"/>
            <w:tcMar>
              <w:top w:type="dxa" w:w="70"/>
              <w:left w:type="dxa" w:w="90"/>
              <w:bottom w:type="dxa" w:w="70"/>
              <w:right w:type="dxa" w:w="90"/>
            </w:tcMar>
            <w:vAlign w:val="top"/>
          </w:tcPr>
          <w:p>
            <w:r>
              <w:rPr>
                <w:b/>
                <w:bCs/>
                <w:color w:val="FFFFFF"/>
                <w:sz w:val="16"/>
                <w:szCs w:val="16"/>
              </w:rPr>
              <w:t xml:space="preserve">Domain</w:t>
            </w:r>
          </w:p>
        </w:tc>
      </w:tr>
      <w:tr>
        <w:tc>
          <w:tcPr>
            <w:tcW w:type="dxa" w:w="3370"/>
            <w:tcMar>
              <w:top w:type="dxa" w:w="70"/>
              <w:left w:type="dxa" w:w="90"/>
              <w:bottom w:type="dxa" w:w="70"/>
              <w:right w:type="dxa" w:w="90"/>
            </w:tcMar>
            <w:vAlign w:val="top"/>
          </w:tcPr>
          <w:p>
            <w:r>
              <w:rPr>
                <w:b/>
                <w:bCs/>
                <w:color w:val="000000"/>
                <w:sz w:val="16"/>
                <w:szCs w:val="16"/>
              </w:rPr>
              <w:t xml:space="preserve">Document Repository Service</w:t>
            </w:r>
          </w:p>
        </w:tc>
        <w:tc>
          <w:tcPr>
            <w:tcW w:type="dxa" w:w="3370"/>
            <w:tcMar>
              <w:top w:type="dxa" w:w="70"/>
              <w:left w:type="dxa" w:w="90"/>
              <w:bottom w:type="dxa" w:w="70"/>
              <w:right w:type="dxa" w:w="90"/>
            </w:tcMar>
            <w:vAlign w:val="top"/>
          </w:tcPr>
          <w:p>
            <w:r>
              <w:rPr>
                <w:b w:val="false"/>
                <w:bCs w:val="false"/>
                <w:color w:val="000000"/>
                <w:sz w:val="16"/>
                <w:szCs w:val="16"/>
              </w:rPr>
              <w:t xml:space="preserve">Internal SAPZ staff, all states + FCT</w:t>
            </w:r>
          </w:p>
        </w:tc>
        <w:tc>
          <w:tcPr>
            <w:tcW w:type="dxa" w:w="4493"/>
            <w:tcMar>
              <w:top w:type="dxa" w:w="70"/>
              <w:left w:type="dxa" w:w="90"/>
              <w:bottom w:type="dxa" w:w="70"/>
              <w:right w:type="dxa" w:w="90"/>
            </w:tcMar>
            <w:vAlign w:val="top"/>
          </w:tcPr>
          <w:p>
            <w:r>
              <w:rPr>
                <w:b w:val="false"/>
                <w:bCs w:val="false"/>
                <w:color w:val="000000"/>
                <w:sz w:val="16"/>
                <w:szCs w:val="16"/>
              </w:rPr>
              <w:t xml:space="preserve">Centralized storage, retrieval, and lifecycle management of programme documents.</w:t>
            </w:r>
          </w:p>
        </w:tc>
        <w:tc>
          <w:tcPr>
            <w:tcW w:type="dxa" w:w="2808"/>
            <w:tcMar>
              <w:top w:type="dxa" w:w="70"/>
              <w:left w:type="dxa" w:w="90"/>
              <w:bottom w:type="dxa" w:w="70"/>
              <w:right w:type="dxa" w:w="90"/>
            </w:tcMar>
            <w:vAlign w:val="top"/>
          </w:tcPr>
          <w:p>
            <w:r>
              <w:rPr>
                <w:b w:val="false"/>
                <w:bCs w:val="false"/>
                <w:color w:val="000000"/>
                <w:sz w:val="16"/>
                <w:szCs w:val="16"/>
              </w:rPr>
              <w:t xml:space="preserve">D2</w:t>
            </w:r>
          </w:p>
        </w:tc>
      </w:tr>
      <w:tr>
        <w:tc>
          <w:tcPr>
            <w:tcW w:type="dxa" w:w="3370"/>
            <w:tcMar>
              <w:top w:type="dxa" w:w="70"/>
              <w:left w:type="dxa" w:w="90"/>
              <w:bottom w:type="dxa" w:w="70"/>
              <w:right w:type="dxa" w:w="90"/>
            </w:tcMar>
            <w:vAlign w:val="top"/>
          </w:tcPr>
          <w:p>
            <w:r>
              <w:rPr>
                <w:b/>
                <w:bCs/>
                <w:color w:val="000000"/>
                <w:sz w:val="16"/>
                <w:szCs w:val="16"/>
              </w:rPr>
              <w:t xml:space="preserve">Workflow &amp; Approval Service</w:t>
            </w:r>
          </w:p>
        </w:tc>
        <w:tc>
          <w:tcPr>
            <w:tcW w:type="dxa" w:w="3370"/>
            <w:tcMar>
              <w:top w:type="dxa" w:w="70"/>
              <w:left w:type="dxa" w:w="90"/>
              <w:bottom w:type="dxa" w:w="70"/>
              <w:right w:type="dxa" w:w="90"/>
            </w:tcMar>
            <w:vAlign w:val="top"/>
          </w:tcPr>
          <w:p>
            <w:r>
              <w:rPr>
                <w:b w:val="false"/>
                <w:bCs w:val="false"/>
                <w:color w:val="000000"/>
                <w:sz w:val="16"/>
                <w:szCs w:val="16"/>
              </w:rPr>
              <w:t xml:space="preserve">State/regional/national approvers</w:t>
            </w:r>
          </w:p>
        </w:tc>
        <w:tc>
          <w:tcPr>
            <w:tcW w:type="dxa" w:w="4493"/>
            <w:tcMar>
              <w:top w:type="dxa" w:w="70"/>
              <w:left w:type="dxa" w:w="90"/>
              <w:bottom w:type="dxa" w:w="70"/>
              <w:right w:type="dxa" w:w="90"/>
            </w:tcMar>
            <w:vAlign w:val="top"/>
          </w:tcPr>
          <w:p>
            <w:r>
              <w:rPr>
                <w:b w:val="false"/>
                <w:bCs w:val="false"/>
                <w:color w:val="000000"/>
                <w:sz w:val="16"/>
                <w:szCs w:val="16"/>
              </w:rPr>
              <w:t xml:space="preserve">Configurable, auditable routing of documents through multi-tier approval.</w:t>
            </w:r>
          </w:p>
        </w:tc>
        <w:tc>
          <w:tcPr>
            <w:tcW w:type="dxa" w:w="2808"/>
            <w:tcMar>
              <w:top w:type="dxa" w:w="70"/>
              <w:left w:type="dxa" w:w="90"/>
              <w:bottom w:type="dxa" w:w="70"/>
              <w:right w:type="dxa" w:w="90"/>
            </w:tcMar>
            <w:vAlign w:val="top"/>
          </w:tcPr>
          <w:p>
            <w:r>
              <w:rPr>
                <w:b w:val="false"/>
                <w:bCs w:val="false"/>
                <w:color w:val="000000"/>
                <w:sz w:val="16"/>
                <w:szCs w:val="16"/>
              </w:rPr>
              <w:t xml:space="preserve">D3</w:t>
            </w:r>
          </w:p>
        </w:tc>
      </w:tr>
      <w:tr>
        <w:tc>
          <w:tcPr>
            <w:tcW w:type="dxa" w:w="3370"/>
            <w:tcMar>
              <w:top w:type="dxa" w:w="70"/>
              <w:left w:type="dxa" w:w="90"/>
              <w:bottom w:type="dxa" w:w="70"/>
              <w:right w:type="dxa" w:w="90"/>
            </w:tcMar>
            <w:vAlign w:val="top"/>
          </w:tcPr>
          <w:p>
            <w:r>
              <w:rPr>
                <w:b/>
                <w:bCs/>
                <w:color w:val="000000"/>
                <w:sz w:val="16"/>
                <w:szCs w:val="16"/>
              </w:rPr>
              <w:t xml:space="preserve">Task &amp; Project Tracking Service</w:t>
            </w:r>
          </w:p>
        </w:tc>
        <w:tc>
          <w:tcPr>
            <w:tcW w:type="dxa" w:w="3370"/>
            <w:tcMar>
              <w:top w:type="dxa" w:w="70"/>
              <w:left w:type="dxa" w:w="90"/>
              <w:bottom w:type="dxa" w:w="70"/>
              <w:right w:type="dxa" w:w="90"/>
            </w:tcMar>
            <w:vAlign w:val="top"/>
          </w:tcPr>
          <w:p>
            <w:r>
              <w:rPr>
                <w:b w:val="false"/>
                <w:bCs w:val="false"/>
                <w:color w:val="000000"/>
                <w:sz w:val="16"/>
                <w:szCs w:val="16"/>
              </w:rPr>
              <w:t xml:space="preserve">Programme managers, state teams</w:t>
            </w:r>
          </w:p>
        </w:tc>
        <w:tc>
          <w:tcPr>
            <w:tcW w:type="dxa" w:w="4493"/>
            <w:tcMar>
              <w:top w:type="dxa" w:w="70"/>
              <w:left w:type="dxa" w:w="90"/>
              <w:bottom w:type="dxa" w:w="70"/>
              <w:right w:type="dxa" w:w="90"/>
            </w:tcMar>
            <w:vAlign w:val="top"/>
          </w:tcPr>
          <w:p>
            <w:r>
              <w:rPr>
                <w:b w:val="false"/>
                <w:bCs w:val="false"/>
                <w:color w:val="000000"/>
                <w:sz w:val="16"/>
                <w:szCs w:val="16"/>
              </w:rPr>
              <w:t xml:space="preserve">Conversion of plans into tracked, monitored tasks and milestones.</w:t>
            </w:r>
          </w:p>
        </w:tc>
        <w:tc>
          <w:tcPr>
            <w:tcW w:type="dxa" w:w="2808"/>
            <w:tcMar>
              <w:top w:type="dxa" w:w="70"/>
              <w:left w:type="dxa" w:w="90"/>
              <w:bottom w:type="dxa" w:w="70"/>
              <w:right w:type="dxa" w:w="90"/>
            </w:tcMar>
            <w:vAlign w:val="top"/>
          </w:tcPr>
          <w:p>
            <w:r>
              <w:rPr>
                <w:b w:val="false"/>
                <w:bCs w:val="false"/>
                <w:color w:val="000000"/>
                <w:sz w:val="16"/>
                <w:szCs w:val="16"/>
              </w:rPr>
              <w:t xml:space="preserve">D4</w:t>
            </w:r>
          </w:p>
        </w:tc>
      </w:tr>
      <w:tr>
        <w:tc>
          <w:tcPr>
            <w:tcW w:type="dxa" w:w="3370"/>
            <w:tcMar>
              <w:top w:type="dxa" w:w="70"/>
              <w:left w:type="dxa" w:w="90"/>
              <w:bottom w:type="dxa" w:w="70"/>
              <w:right w:type="dxa" w:w="90"/>
            </w:tcMar>
            <w:vAlign w:val="top"/>
          </w:tcPr>
          <w:p>
            <w:r>
              <w:rPr>
                <w:b/>
                <w:bCs/>
                <w:color w:val="000000"/>
                <w:sz w:val="16"/>
                <w:szCs w:val="16"/>
              </w:rPr>
              <w:t xml:space="preserve">Knowledge Publishing Service</w:t>
            </w:r>
          </w:p>
        </w:tc>
        <w:tc>
          <w:tcPr>
            <w:tcW w:type="dxa" w:w="3370"/>
            <w:tcMar>
              <w:top w:type="dxa" w:w="70"/>
              <w:left w:type="dxa" w:w="90"/>
              <w:bottom w:type="dxa" w:w="70"/>
              <w:right w:type="dxa" w:w="90"/>
            </w:tcMar>
            <w:vAlign w:val="top"/>
          </w:tcPr>
          <w:p>
            <w:r>
              <w:rPr>
                <w:b w:val="false"/>
                <w:bCs w:val="false"/>
                <w:color w:val="000000"/>
                <w:sz w:val="16"/>
                <w:szCs w:val="16"/>
              </w:rPr>
              <w:t xml:space="preserve">General public, private sector, community organizations</w:t>
            </w:r>
          </w:p>
        </w:tc>
        <w:tc>
          <w:tcPr>
            <w:tcW w:type="dxa" w:w="4493"/>
            <w:tcMar>
              <w:top w:type="dxa" w:w="70"/>
              <w:left w:type="dxa" w:w="90"/>
              <w:bottom w:type="dxa" w:w="70"/>
              <w:right w:type="dxa" w:w="90"/>
            </w:tcMar>
            <w:vAlign w:val="top"/>
          </w:tcPr>
          <w:p>
            <w:r>
              <w:rPr>
                <w:b w:val="false"/>
                <w:bCs w:val="false"/>
                <w:color w:val="000000"/>
                <w:sz w:val="16"/>
                <w:szCs w:val="16"/>
              </w:rPr>
              <w:t xml:space="preserve">Structured, searchable access to publications, case studies, tools, and multimedia.</w:t>
            </w:r>
          </w:p>
        </w:tc>
        <w:tc>
          <w:tcPr>
            <w:tcW w:type="dxa" w:w="2808"/>
            <w:tcMar>
              <w:top w:type="dxa" w:w="70"/>
              <w:left w:type="dxa" w:w="90"/>
              <w:bottom w:type="dxa" w:w="70"/>
              <w:right w:type="dxa" w:w="90"/>
            </w:tcMar>
            <w:vAlign w:val="top"/>
          </w:tcPr>
          <w:p>
            <w:r>
              <w:rPr>
                <w:b w:val="false"/>
                <w:bCs w:val="false"/>
                <w:color w:val="000000"/>
                <w:sz w:val="16"/>
                <w:szCs w:val="16"/>
              </w:rPr>
              <w:t xml:space="preserve">D5</w:t>
            </w:r>
          </w:p>
        </w:tc>
      </w:tr>
      <w:tr>
        <w:tc>
          <w:tcPr>
            <w:tcW w:type="dxa" w:w="3370"/>
            <w:tcMar>
              <w:top w:type="dxa" w:w="70"/>
              <w:left w:type="dxa" w:w="90"/>
              <w:bottom w:type="dxa" w:w="70"/>
              <w:right w:type="dxa" w:w="90"/>
            </w:tcMar>
            <w:vAlign w:val="top"/>
          </w:tcPr>
          <w:p>
            <w:r>
              <w:rPr>
                <w:b/>
                <w:bCs/>
                <w:color w:val="000000"/>
                <w:sz w:val="16"/>
                <w:szCs w:val="16"/>
              </w:rPr>
              <w:t xml:space="preserve">Search &amp; Discovery Service</w:t>
            </w:r>
          </w:p>
        </w:tc>
        <w:tc>
          <w:tcPr>
            <w:tcW w:type="dxa" w:w="3370"/>
            <w:tcMar>
              <w:top w:type="dxa" w:w="70"/>
              <w:left w:type="dxa" w:w="90"/>
              <w:bottom w:type="dxa" w:w="70"/>
              <w:right w:type="dxa" w:w="90"/>
            </w:tcMar>
            <w:vAlign w:val="top"/>
          </w:tcPr>
          <w:p>
            <w:r>
              <w:rPr>
                <w:b w:val="false"/>
                <w:bCs w:val="false"/>
                <w:color w:val="000000"/>
                <w:sz w:val="16"/>
                <w:szCs w:val="16"/>
              </w:rPr>
              <w:t xml:space="preserve">Internal staff + public</w:t>
            </w:r>
          </w:p>
        </w:tc>
        <w:tc>
          <w:tcPr>
            <w:tcW w:type="dxa" w:w="4493"/>
            <w:tcMar>
              <w:top w:type="dxa" w:w="70"/>
              <w:left w:type="dxa" w:w="90"/>
              <w:bottom w:type="dxa" w:w="70"/>
              <w:right w:type="dxa" w:w="90"/>
            </w:tcMar>
            <w:vAlign w:val="top"/>
          </w:tcPr>
          <w:p>
            <w:r>
              <w:rPr>
                <w:b w:val="false"/>
                <w:bCs w:val="false"/>
                <w:color w:val="000000"/>
                <w:sz w:val="16"/>
                <w:szCs w:val="16"/>
              </w:rPr>
              <w:t xml:space="preserve">Advanced search, filtering, and content preview across both systems' governed content.</w:t>
            </w:r>
          </w:p>
        </w:tc>
        <w:tc>
          <w:tcPr>
            <w:tcW w:type="dxa" w:w="2808"/>
            <w:tcMar>
              <w:top w:type="dxa" w:w="70"/>
              <w:left w:type="dxa" w:w="90"/>
              <w:bottom w:type="dxa" w:w="70"/>
              <w:right w:type="dxa" w:w="90"/>
            </w:tcMar>
            <w:vAlign w:val="top"/>
          </w:tcPr>
          <w:p>
            <w:r>
              <w:rPr>
                <w:b w:val="false"/>
                <w:bCs w:val="false"/>
                <w:color w:val="000000"/>
                <w:sz w:val="16"/>
                <w:szCs w:val="16"/>
              </w:rPr>
              <w:t xml:space="preserve">D2 + D5</w:t>
            </w:r>
          </w:p>
        </w:tc>
      </w:tr>
      <w:tr>
        <w:tc>
          <w:tcPr>
            <w:tcW w:type="dxa" w:w="3370"/>
            <w:tcMar>
              <w:top w:type="dxa" w:w="70"/>
              <w:left w:type="dxa" w:w="90"/>
              <w:bottom w:type="dxa" w:w="70"/>
              <w:right w:type="dxa" w:w="90"/>
            </w:tcMar>
            <w:vAlign w:val="top"/>
          </w:tcPr>
          <w:p>
            <w:r>
              <w:rPr>
                <w:b/>
                <w:bCs/>
                <w:color w:val="000000"/>
                <w:sz w:val="16"/>
                <w:szCs w:val="16"/>
              </w:rPr>
              <w:t xml:space="preserve">Dashboard &amp; Reporting Service</w:t>
            </w:r>
          </w:p>
        </w:tc>
        <w:tc>
          <w:tcPr>
            <w:tcW w:type="dxa" w:w="3370"/>
            <w:tcMar>
              <w:top w:type="dxa" w:w="70"/>
              <w:left w:type="dxa" w:w="90"/>
              <w:bottom w:type="dxa" w:w="70"/>
              <w:right w:type="dxa" w:w="90"/>
            </w:tcMar>
            <w:vAlign w:val="top"/>
          </w:tcPr>
          <w:p>
            <w:r>
              <w:rPr>
                <w:b w:val="false"/>
                <w:bCs w:val="false"/>
                <w:color w:val="000000"/>
                <w:sz w:val="16"/>
                <w:szCs w:val="16"/>
              </w:rPr>
              <w:t xml:space="preserve">NPCO, co-financing institutions, state teams</w:t>
            </w:r>
          </w:p>
        </w:tc>
        <w:tc>
          <w:tcPr>
            <w:tcW w:type="dxa" w:w="4493"/>
            <w:tcMar>
              <w:top w:type="dxa" w:w="70"/>
              <w:left w:type="dxa" w:w="90"/>
              <w:bottom w:type="dxa" w:w="70"/>
              <w:right w:type="dxa" w:w="90"/>
            </w:tcMar>
            <w:vAlign w:val="top"/>
          </w:tcPr>
          <w:p>
            <w:r>
              <w:rPr>
                <w:b w:val="false"/>
                <w:bCs w:val="false"/>
                <w:color w:val="000000"/>
                <w:sz w:val="16"/>
                <w:szCs w:val="16"/>
              </w:rPr>
              <w:t xml:space="preserve">Real-time and on-demand visibility into programme performance and KPIs.</w:t>
            </w:r>
          </w:p>
        </w:tc>
        <w:tc>
          <w:tcPr>
            <w:tcW w:type="dxa" w:w="2808"/>
            <w:tcMar>
              <w:top w:type="dxa" w:w="70"/>
              <w:left w:type="dxa" w:w="90"/>
              <w:bottom w:type="dxa" w:w="70"/>
              <w:right w:type="dxa" w:w="90"/>
            </w:tcMar>
            <w:vAlign w:val="top"/>
          </w:tcPr>
          <w:p>
            <w:r>
              <w:rPr>
                <w:b w:val="false"/>
                <w:bCs w:val="false"/>
                <w:color w:val="000000"/>
                <w:sz w:val="16"/>
                <w:szCs w:val="16"/>
              </w:rPr>
              <w:t xml:space="preserve">D6</w:t>
            </w:r>
          </w:p>
        </w:tc>
      </w:tr>
      <w:tr>
        <w:tc>
          <w:tcPr>
            <w:tcW w:type="dxa" w:w="3370"/>
            <w:tcMar>
              <w:top w:type="dxa" w:w="70"/>
              <w:left w:type="dxa" w:w="90"/>
              <w:bottom w:type="dxa" w:w="70"/>
              <w:right w:type="dxa" w:w="90"/>
            </w:tcMar>
            <w:vAlign w:val="top"/>
          </w:tcPr>
          <w:p>
            <w:r>
              <w:rPr>
                <w:b/>
                <w:bCs/>
                <w:color w:val="000000"/>
                <w:sz w:val="16"/>
                <w:szCs w:val="16"/>
              </w:rPr>
              <w:t xml:space="preserve">Identity &amp; Access Service</w:t>
            </w:r>
          </w:p>
        </w:tc>
        <w:tc>
          <w:tcPr>
            <w:tcW w:type="dxa" w:w="3370"/>
            <w:tcMar>
              <w:top w:type="dxa" w:w="70"/>
              <w:left w:type="dxa" w:w="90"/>
              <w:bottom w:type="dxa" w:w="70"/>
              <w:right w:type="dxa" w:w="90"/>
            </w:tcMar>
            <w:vAlign w:val="top"/>
          </w:tcPr>
          <w:p>
            <w:r>
              <w:rPr>
                <w:b w:val="false"/>
                <w:bCs w:val="false"/>
                <w:color w:val="000000"/>
                <w:sz w:val="16"/>
                <w:szCs w:val="16"/>
              </w:rPr>
              <w:t xml:space="preserve">All system users</w:t>
            </w:r>
          </w:p>
        </w:tc>
        <w:tc>
          <w:tcPr>
            <w:tcW w:type="dxa" w:w="4493"/>
            <w:tcMar>
              <w:top w:type="dxa" w:w="70"/>
              <w:left w:type="dxa" w:w="90"/>
              <w:bottom w:type="dxa" w:w="70"/>
              <w:right w:type="dxa" w:w="90"/>
            </w:tcMar>
            <w:vAlign w:val="top"/>
          </w:tcPr>
          <w:p>
            <w:r>
              <w:rPr>
                <w:b w:val="false"/>
                <w:bCs w:val="false"/>
                <w:color w:val="000000"/>
                <w:sz w:val="16"/>
                <w:szCs w:val="16"/>
              </w:rPr>
              <w:t xml:space="preserve">Secure authentication, authorization, and role-based access across ESM and CKR.</w:t>
            </w:r>
          </w:p>
        </w:tc>
        <w:tc>
          <w:tcPr>
            <w:tcW w:type="dxa" w:w="2808"/>
            <w:tcMar>
              <w:top w:type="dxa" w:w="70"/>
              <w:left w:type="dxa" w:w="90"/>
              <w:bottom w:type="dxa" w:w="70"/>
              <w:right w:type="dxa" w:w="90"/>
            </w:tcMar>
            <w:vAlign w:val="top"/>
          </w:tcPr>
          <w:p>
            <w:r>
              <w:rPr>
                <w:b w:val="false"/>
                <w:bCs w:val="false"/>
                <w:color w:val="000000"/>
                <w:sz w:val="16"/>
                <w:szCs w:val="16"/>
              </w:rPr>
              <w:t xml:space="preserve">D7</w:t>
            </w:r>
          </w:p>
        </w:tc>
      </w:tr>
      <w:tr>
        <w:tc>
          <w:tcPr>
            <w:tcW w:type="dxa" w:w="3370"/>
            <w:tcMar>
              <w:top w:type="dxa" w:w="70"/>
              <w:left w:type="dxa" w:w="90"/>
              <w:bottom w:type="dxa" w:w="70"/>
              <w:right w:type="dxa" w:w="90"/>
            </w:tcMar>
            <w:vAlign w:val="top"/>
          </w:tcPr>
          <w:p>
            <w:r>
              <w:rPr>
                <w:b/>
                <w:bCs/>
                <w:color w:val="000000"/>
                <w:sz w:val="16"/>
                <w:szCs w:val="16"/>
              </w:rPr>
              <w:t xml:space="preserve">Training &amp; Support Service</w:t>
            </w:r>
          </w:p>
        </w:tc>
        <w:tc>
          <w:tcPr>
            <w:tcW w:type="dxa" w:w="3370"/>
            <w:tcMar>
              <w:top w:type="dxa" w:w="70"/>
              <w:left w:type="dxa" w:w="90"/>
              <w:bottom w:type="dxa" w:w="70"/>
              <w:right w:type="dxa" w:w="90"/>
            </w:tcMar>
            <w:vAlign w:val="top"/>
          </w:tcPr>
          <w:p>
            <w:r>
              <w:rPr>
                <w:b w:val="false"/>
                <w:bCs w:val="false"/>
                <w:color w:val="000000"/>
                <w:sz w:val="16"/>
                <w:szCs w:val="16"/>
              </w:rPr>
              <w:t xml:space="preserve">State-level staff, champions, KM/ICT Units</w:t>
            </w:r>
          </w:p>
        </w:tc>
        <w:tc>
          <w:tcPr>
            <w:tcW w:type="dxa" w:w="4493"/>
            <w:tcMar>
              <w:top w:type="dxa" w:w="70"/>
              <w:left w:type="dxa" w:w="90"/>
              <w:bottom w:type="dxa" w:w="70"/>
              <w:right w:type="dxa" w:w="90"/>
            </w:tcMar>
            <w:vAlign w:val="top"/>
          </w:tcPr>
          <w:p>
            <w:r>
              <w:rPr>
                <w:b w:val="false"/>
                <w:bCs w:val="false"/>
                <w:color w:val="000000"/>
                <w:sz w:val="16"/>
                <w:szCs w:val="16"/>
              </w:rPr>
              <w:t xml:space="preserve">Onboarding, training materials, and change-management support.</w:t>
            </w:r>
          </w:p>
        </w:tc>
        <w:tc>
          <w:tcPr>
            <w:tcW w:type="dxa" w:w="2808"/>
            <w:tcMar>
              <w:top w:type="dxa" w:w="70"/>
              <w:left w:type="dxa" w:w="90"/>
              <w:bottom w:type="dxa" w:w="70"/>
              <w:right w:type="dxa" w:w="90"/>
            </w:tcMar>
            <w:vAlign w:val="top"/>
          </w:tcPr>
          <w:p>
            <w:r>
              <w:rPr>
                <w:b w:val="false"/>
                <w:bCs w:val="false"/>
                <w:color w:val="000000"/>
                <w:sz w:val="16"/>
                <w:szCs w:val="16"/>
              </w:rPr>
              <w:t xml:space="preserve">D8</w:t>
            </w:r>
          </w:p>
        </w:tc>
      </w:tr>
    </w:tbl>
    <w:p>
      <w:pPr>
        <w:pStyle w:val="Heading1"/>
        <w:spacing w:after="130" w:before="300"/>
      </w:pPr>
      <w:r>
        <w:t xml:space="preserve">4. Business Capabilities</w:t>
      </w:r>
    </w:p>
    <w:p>
      <w:pPr>
        <w:spacing w:after="150" w:line="270"/>
      </w:pPr>
      <w:r>
        <w:t xml:space="preserve">Business Capabilities describe what SAPZ is able to do as an organization once ESM and CKR are operating, expressed as stable, technology-independent abilities rather than as project deliverables. Capabilities are the anchor artifact this Business Architecture is organized around: they are referenced again in the Capability Map, the Heat Map, and in Part 3's Business Capability-to-Process traceability, and they should remain valid descriptions of SAPZ's abilities long after any specific technology choice made in Part 7 has been superseded.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31"/>
        <w:gridCol w:w="5897"/>
        <w:gridCol w:w="4212"/>
      </w:tblGrid>
      <w:tr>
        <w:trPr>
          <w:tblHeader/>
        </w:trPr>
        <w:tc>
          <w:tcPr>
            <w:tcW w:type="dxa" w:w="3931"/>
            <w:shd w:fill="4A235A" w:val="clear"/>
            <w:tcMar>
              <w:top w:type="dxa" w:w="70"/>
              <w:left w:type="dxa" w:w="90"/>
              <w:bottom w:type="dxa" w:w="70"/>
              <w:right w:type="dxa" w:w="90"/>
            </w:tcMar>
            <w:vAlign w:val="top"/>
          </w:tcPr>
          <w:p>
            <w:r>
              <w:rPr>
                <w:b/>
                <w:bCs/>
                <w:color w:val="FFFFFF"/>
                <w:sz w:val="16"/>
                <w:szCs w:val="16"/>
              </w:rPr>
              <w:t xml:space="preserve">Capability</w:t>
            </w:r>
          </w:p>
        </w:tc>
        <w:tc>
          <w:tcPr>
            <w:tcW w:type="dxa" w:w="5897"/>
            <w:shd w:fill="4A235A" w:val="clear"/>
            <w:tcMar>
              <w:top w:type="dxa" w:w="70"/>
              <w:left w:type="dxa" w:w="90"/>
              <w:bottom w:type="dxa" w:w="70"/>
              <w:right w:type="dxa" w:w="90"/>
            </w:tcMar>
            <w:vAlign w:val="top"/>
          </w:tcPr>
          <w:p>
            <w:r>
              <w:rPr>
                <w:b/>
                <w:bCs/>
                <w:color w:val="FFFFFF"/>
                <w:sz w:val="16"/>
                <w:szCs w:val="16"/>
              </w:rPr>
              <w:t xml:space="preserve">Definition</w:t>
            </w:r>
          </w:p>
        </w:tc>
        <w:tc>
          <w:tcPr>
            <w:tcW w:type="dxa" w:w="4212"/>
            <w:shd w:fill="4A235A" w:val="clear"/>
            <w:tcMar>
              <w:top w:type="dxa" w:w="70"/>
              <w:left w:type="dxa" w:w="90"/>
              <w:bottom w:type="dxa" w:w="70"/>
              <w:right w:type="dxa" w:w="90"/>
            </w:tcMar>
            <w:vAlign w:val="top"/>
          </w:tcPr>
          <w:p>
            <w:r>
              <w:rPr>
                <w:b/>
                <w:bCs/>
                <w:color w:val="FFFFFF"/>
                <w:sz w:val="16"/>
                <w:szCs w:val="16"/>
              </w:rPr>
              <w:t xml:space="preserve">Supporting Domain</w:t>
            </w:r>
          </w:p>
        </w:tc>
      </w:tr>
      <w:tr>
        <w:tc>
          <w:tcPr>
            <w:tcW w:type="dxa" w:w="3931"/>
            <w:tcMar>
              <w:top w:type="dxa" w:w="70"/>
              <w:left w:type="dxa" w:w="90"/>
              <w:bottom w:type="dxa" w:w="70"/>
              <w:right w:type="dxa" w:w="90"/>
            </w:tcMar>
            <w:vAlign w:val="top"/>
          </w:tcPr>
          <w:p>
            <w:r>
              <w:rPr>
                <w:b/>
                <w:bCs/>
                <w:color w:val="000000"/>
                <w:sz w:val="16"/>
                <w:szCs w:val="16"/>
              </w:rPr>
              <w:t xml:space="preserve">Centralized Document Management</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capture, classify, version, and govern programme documents from a single authoritative repository.</w:t>
            </w:r>
          </w:p>
        </w:tc>
        <w:tc>
          <w:tcPr>
            <w:tcW w:type="dxa" w:w="4212"/>
            <w:tcMar>
              <w:top w:type="dxa" w:w="70"/>
              <w:left w:type="dxa" w:w="90"/>
              <w:bottom w:type="dxa" w:w="70"/>
              <w:right w:type="dxa" w:w="90"/>
            </w:tcMar>
            <w:vAlign w:val="top"/>
          </w:tcPr>
          <w:p>
            <w:r>
              <w:rPr>
                <w:b w:val="false"/>
                <w:bCs w:val="false"/>
                <w:color w:val="000000"/>
                <w:sz w:val="16"/>
                <w:szCs w:val="16"/>
              </w:rPr>
              <w:t xml:space="preserve">D2</w:t>
            </w:r>
          </w:p>
        </w:tc>
      </w:tr>
      <w:tr>
        <w:tc>
          <w:tcPr>
            <w:tcW w:type="dxa" w:w="3931"/>
            <w:tcMar>
              <w:top w:type="dxa" w:w="70"/>
              <w:left w:type="dxa" w:w="90"/>
              <w:bottom w:type="dxa" w:w="70"/>
              <w:right w:type="dxa" w:w="90"/>
            </w:tcMar>
            <w:vAlign w:val="top"/>
          </w:tcPr>
          <w:p>
            <w:r>
              <w:rPr>
                <w:b/>
                <w:bCs/>
                <w:color w:val="000000"/>
                <w:sz w:val="16"/>
                <w:szCs w:val="16"/>
              </w:rPr>
              <w:t xml:space="preserve">Workflow Automation &amp; Multi-Tier Approval</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route, escalate, and audit approvals across state, regional, and national levels without manual handling.</w:t>
            </w:r>
          </w:p>
        </w:tc>
        <w:tc>
          <w:tcPr>
            <w:tcW w:type="dxa" w:w="4212"/>
            <w:tcMar>
              <w:top w:type="dxa" w:w="70"/>
              <w:left w:type="dxa" w:w="90"/>
              <w:bottom w:type="dxa" w:w="70"/>
              <w:right w:type="dxa" w:w="90"/>
            </w:tcMar>
            <w:vAlign w:val="top"/>
          </w:tcPr>
          <w:p>
            <w:r>
              <w:rPr>
                <w:b w:val="false"/>
                <w:bCs w:val="false"/>
                <w:color w:val="000000"/>
                <w:sz w:val="16"/>
                <w:szCs w:val="16"/>
              </w:rPr>
              <w:t xml:space="preserve">D3</w:t>
            </w:r>
          </w:p>
        </w:tc>
      </w:tr>
      <w:tr>
        <w:tc>
          <w:tcPr>
            <w:tcW w:type="dxa" w:w="3931"/>
            <w:tcMar>
              <w:top w:type="dxa" w:w="70"/>
              <w:left w:type="dxa" w:w="90"/>
              <w:bottom w:type="dxa" w:w="70"/>
              <w:right w:type="dxa" w:w="90"/>
            </w:tcMar>
            <w:vAlign w:val="top"/>
          </w:tcPr>
          <w:p>
            <w:r>
              <w:rPr>
                <w:b/>
                <w:bCs/>
                <w:color w:val="000000"/>
                <w:sz w:val="16"/>
                <w:szCs w:val="16"/>
              </w:rPr>
              <w:t xml:space="preserve">Project &amp; Task Execution Tracking</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convert plans into monitored, accountable units of work.</w:t>
            </w:r>
          </w:p>
        </w:tc>
        <w:tc>
          <w:tcPr>
            <w:tcW w:type="dxa" w:w="4212"/>
            <w:tcMar>
              <w:top w:type="dxa" w:w="70"/>
              <w:left w:type="dxa" w:w="90"/>
              <w:bottom w:type="dxa" w:w="70"/>
              <w:right w:type="dxa" w:w="90"/>
            </w:tcMar>
            <w:vAlign w:val="top"/>
          </w:tcPr>
          <w:p>
            <w:r>
              <w:rPr>
                <w:b w:val="false"/>
                <w:bCs w:val="false"/>
                <w:color w:val="000000"/>
                <w:sz w:val="16"/>
                <w:szCs w:val="16"/>
              </w:rPr>
              <w:t xml:space="preserve">D4</w:t>
            </w:r>
          </w:p>
        </w:tc>
      </w:tr>
      <w:tr>
        <w:tc>
          <w:tcPr>
            <w:tcW w:type="dxa" w:w="3931"/>
            <w:tcMar>
              <w:top w:type="dxa" w:w="70"/>
              <w:left w:type="dxa" w:w="90"/>
              <w:bottom w:type="dxa" w:w="70"/>
              <w:right w:type="dxa" w:w="90"/>
            </w:tcMar>
            <w:vAlign w:val="top"/>
          </w:tcPr>
          <w:p>
            <w:r>
              <w:rPr>
                <w:b/>
                <w:bCs/>
                <w:color w:val="000000"/>
                <w:sz w:val="16"/>
                <w:szCs w:val="16"/>
              </w:rPr>
              <w:t xml:space="preserve">Knowledge Curation &amp; Public Dissemination</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organize and share programme knowledge with internal and external audiences alike.</w:t>
            </w:r>
          </w:p>
        </w:tc>
        <w:tc>
          <w:tcPr>
            <w:tcW w:type="dxa" w:w="4212"/>
            <w:tcMar>
              <w:top w:type="dxa" w:w="70"/>
              <w:left w:type="dxa" w:w="90"/>
              <w:bottom w:type="dxa" w:w="70"/>
              <w:right w:type="dxa" w:w="90"/>
            </w:tcMar>
            <w:vAlign w:val="top"/>
          </w:tcPr>
          <w:p>
            <w:r>
              <w:rPr>
                <w:b w:val="false"/>
                <w:bCs w:val="false"/>
                <w:color w:val="000000"/>
                <w:sz w:val="16"/>
                <w:szCs w:val="16"/>
              </w:rPr>
              <w:t xml:space="preserve">D5</w:t>
            </w:r>
          </w:p>
        </w:tc>
      </w:tr>
      <w:tr>
        <w:tc>
          <w:tcPr>
            <w:tcW w:type="dxa" w:w="3931"/>
            <w:tcMar>
              <w:top w:type="dxa" w:w="70"/>
              <w:left w:type="dxa" w:w="90"/>
              <w:bottom w:type="dxa" w:w="70"/>
              <w:right w:type="dxa" w:w="90"/>
            </w:tcMar>
            <w:vAlign w:val="top"/>
          </w:tcPr>
          <w:p>
            <w:r>
              <w:rPr>
                <w:b/>
                <w:bCs/>
                <w:color w:val="000000"/>
                <w:sz w:val="16"/>
                <w:szCs w:val="16"/>
              </w:rPr>
              <w:t xml:space="preserve">Programme Performance Monitoring &amp; BI</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see, measure, and report programme progress in real or near-real time.</w:t>
            </w:r>
          </w:p>
        </w:tc>
        <w:tc>
          <w:tcPr>
            <w:tcW w:type="dxa" w:w="4212"/>
            <w:tcMar>
              <w:top w:type="dxa" w:w="70"/>
              <w:left w:type="dxa" w:w="90"/>
              <w:bottom w:type="dxa" w:w="70"/>
              <w:right w:type="dxa" w:w="90"/>
            </w:tcMar>
            <w:vAlign w:val="top"/>
          </w:tcPr>
          <w:p>
            <w:r>
              <w:rPr>
                <w:b w:val="false"/>
                <w:bCs w:val="false"/>
                <w:color w:val="000000"/>
                <w:sz w:val="16"/>
                <w:szCs w:val="16"/>
              </w:rPr>
              <w:t xml:space="preserve">D6</w:t>
            </w:r>
          </w:p>
        </w:tc>
      </w:tr>
      <w:tr>
        <w:tc>
          <w:tcPr>
            <w:tcW w:type="dxa" w:w="3931"/>
            <w:tcMar>
              <w:top w:type="dxa" w:w="70"/>
              <w:left w:type="dxa" w:w="90"/>
              <w:bottom w:type="dxa" w:w="70"/>
              <w:right w:type="dxa" w:w="90"/>
            </w:tcMar>
            <w:vAlign w:val="top"/>
          </w:tcPr>
          <w:p>
            <w:r>
              <w:rPr>
                <w:b/>
                <w:bCs/>
                <w:color w:val="000000"/>
                <w:sz w:val="16"/>
                <w:szCs w:val="16"/>
              </w:rPr>
              <w:t xml:space="preserve">Identity, Access &amp; Data Protection</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control who can see and do what, and to prove it after the fact.</w:t>
            </w:r>
          </w:p>
        </w:tc>
        <w:tc>
          <w:tcPr>
            <w:tcW w:type="dxa" w:w="4212"/>
            <w:tcMar>
              <w:top w:type="dxa" w:w="70"/>
              <w:left w:type="dxa" w:w="90"/>
              <w:bottom w:type="dxa" w:w="70"/>
              <w:right w:type="dxa" w:w="90"/>
            </w:tcMar>
            <w:vAlign w:val="top"/>
          </w:tcPr>
          <w:p>
            <w:r>
              <w:rPr>
                <w:b w:val="false"/>
                <w:bCs w:val="false"/>
                <w:color w:val="000000"/>
                <w:sz w:val="16"/>
                <w:szCs w:val="16"/>
              </w:rPr>
              <w:t xml:space="preserve">D7</w:t>
            </w:r>
          </w:p>
        </w:tc>
      </w:tr>
      <w:tr>
        <w:tc>
          <w:tcPr>
            <w:tcW w:type="dxa" w:w="3931"/>
            <w:tcMar>
              <w:top w:type="dxa" w:w="70"/>
              <w:left w:type="dxa" w:w="90"/>
              <w:bottom w:type="dxa" w:w="70"/>
              <w:right w:type="dxa" w:w="90"/>
            </w:tcMar>
            <w:vAlign w:val="top"/>
          </w:tcPr>
          <w:p>
            <w:r>
              <w:rPr>
                <w:b/>
                <w:bCs/>
                <w:color w:val="000000"/>
                <w:sz w:val="16"/>
                <w:szCs w:val="16"/>
              </w:rPr>
              <w:t xml:space="preserve">Multi-Stakeholder Engagement &amp; Change Management</w:t>
            </w:r>
          </w:p>
        </w:tc>
        <w:tc>
          <w:tcPr>
            <w:tcW w:type="dxa" w:w="5897"/>
            <w:tcMar>
              <w:top w:type="dxa" w:w="70"/>
              <w:left w:type="dxa" w:w="90"/>
              <w:bottom w:type="dxa" w:w="70"/>
              <w:right w:type="dxa" w:w="90"/>
            </w:tcMar>
            <w:vAlign w:val="top"/>
          </w:tcPr>
          <w:p>
            <w:r>
              <w:rPr>
                <w:b w:val="false"/>
                <w:bCs w:val="false"/>
                <w:color w:val="000000"/>
                <w:sz w:val="16"/>
                <w:szCs w:val="16"/>
              </w:rPr>
              <w:t xml:space="preserve">The ability to bring a federally diverse set of stakeholders onto shared systems and shared practice.</w:t>
            </w:r>
          </w:p>
        </w:tc>
        <w:tc>
          <w:tcPr>
            <w:tcW w:type="dxa" w:w="4212"/>
            <w:tcMar>
              <w:top w:type="dxa" w:w="70"/>
              <w:left w:type="dxa" w:w="90"/>
              <w:bottom w:type="dxa" w:w="70"/>
              <w:right w:type="dxa" w:w="90"/>
            </w:tcMar>
            <w:vAlign w:val="top"/>
          </w:tcPr>
          <w:p>
            <w:r>
              <w:rPr>
                <w:b w:val="false"/>
                <w:bCs w:val="false"/>
                <w:color w:val="000000"/>
                <w:sz w:val="16"/>
                <w:szCs w:val="16"/>
              </w:rPr>
              <w:t xml:space="preserve">D8</w:t>
            </w:r>
          </w:p>
        </w:tc>
      </w:tr>
      <w:tr>
        <w:tc>
          <w:tcPr>
            <w:tcW w:type="dxa" w:w="3931"/>
            <w:tcMar>
              <w:top w:type="dxa" w:w="70"/>
              <w:left w:type="dxa" w:w="90"/>
              <w:bottom w:type="dxa" w:w="70"/>
              <w:right w:type="dxa" w:w="90"/>
            </w:tcMar>
            <w:vAlign w:val="top"/>
          </w:tcPr>
          <w:p>
            <w:r>
              <w:rPr>
                <w:b/>
                <w:bCs/>
                <w:color w:val="000000"/>
                <w:sz w:val="16"/>
                <w:szCs w:val="16"/>
              </w:rPr>
              <w:t xml:space="preserve">Data &amp; Content Governance</w:t>
            </w:r>
          </w:p>
        </w:tc>
        <w:tc>
          <w:tcPr>
            <w:tcW w:type="dxa" w:w="5897"/>
            <w:tcMar>
              <w:top w:type="dxa" w:w="70"/>
              <w:left w:type="dxa" w:w="90"/>
              <w:bottom w:type="dxa" w:w="70"/>
              <w:right w:type="dxa" w:w="90"/>
            </w:tcMar>
            <w:vAlign w:val="top"/>
          </w:tcPr>
          <w:p>
            <w:r>
              <w:rPr>
                <w:b w:val="false"/>
                <w:bCs w:val="false"/>
                <w:color w:val="000000"/>
                <w:sz w:val="16"/>
                <w:szCs w:val="16"/>
              </w:rPr>
              <w:t xml:space="preserve">The cross-cutting ability to maintain one consistent taxonomy, ownership model, and data-quality standard across both systems.</w:t>
            </w:r>
          </w:p>
        </w:tc>
        <w:tc>
          <w:tcPr>
            <w:tcW w:type="dxa" w:w="4212"/>
            <w:tcMar>
              <w:top w:type="dxa" w:w="70"/>
              <w:left w:type="dxa" w:w="90"/>
              <w:bottom w:type="dxa" w:w="70"/>
              <w:right w:type="dxa" w:w="90"/>
            </w:tcMar>
            <w:vAlign w:val="top"/>
          </w:tcPr>
          <w:p>
            <w:r>
              <w:rPr>
                <w:b w:val="false"/>
                <w:bCs w:val="false"/>
                <w:color w:val="000000"/>
                <w:sz w:val="16"/>
                <w:szCs w:val="16"/>
              </w:rPr>
              <w:t xml:space="preserve">D1 (cross-cutting)</w:t>
            </w:r>
          </w:p>
        </w:tc>
      </w:tr>
    </w:tbl>
    <w:p>
      <w:pPr>
        <w:pStyle w:val="Heading1"/>
        <w:spacing w:after="130" w:before="300"/>
      </w:pPr>
      <w:r>
        <w:t xml:space="preserve">5. Business Processes</w:t>
      </w:r>
    </w:p>
    <w:p>
      <w:pPr>
        <w:spacing w:after="150" w:line="270"/>
      </w:pPr>
      <w:r>
        <w:t xml:space="preserve">Business Processes translate the capabilities above into specific, executable sequences of activity, each with a defined trigger, a set of steps, and an outcome. Eight processes are identified, each traceable to a specific TOR requirement already catalogued in the Procurement Intelligence Report's Requirements Traceability Matrix, so that Business Architecture in this blueprint and requirements engineering in that prior report remain a single, consistent body of work rather than two disconnected exercises.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4774"/>
        <w:gridCol w:w="2246"/>
        <w:gridCol w:w="1404"/>
      </w:tblGrid>
      <w:tr>
        <w:trPr>
          <w:tblHeader/>
        </w:trPr>
        <w:tc>
          <w:tcPr>
            <w:tcW w:type="dxa" w:w="2808"/>
            <w:shd w:fill="922B21" w:val="clear"/>
            <w:tcMar>
              <w:top w:type="dxa" w:w="70"/>
              <w:left w:type="dxa" w:w="90"/>
              <w:bottom w:type="dxa" w:w="70"/>
              <w:right w:type="dxa" w:w="90"/>
            </w:tcMar>
            <w:vAlign w:val="top"/>
          </w:tcPr>
          <w:p>
            <w:r>
              <w:rPr>
                <w:b/>
                <w:bCs/>
                <w:color w:val="FFFFFF"/>
                <w:sz w:val="16"/>
                <w:szCs w:val="16"/>
              </w:rPr>
              <w:t xml:space="preserve">Process</w:t>
            </w:r>
          </w:p>
        </w:tc>
        <w:tc>
          <w:tcPr>
            <w:tcW w:type="dxa" w:w="2808"/>
            <w:shd w:fill="922B21" w:val="clear"/>
            <w:tcMar>
              <w:top w:type="dxa" w:w="70"/>
              <w:left w:type="dxa" w:w="90"/>
              <w:bottom w:type="dxa" w:w="70"/>
              <w:right w:type="dxa" w:w="90"/>
            </w:tcMar>
            <w:vAlign w:val="top"/>
          </w:tcPr>
          <w:p>
            <w:r>
              <w:rPr>
                <w:b/>
                <w:bCs/>
                <w:color w:val="FFFFFF"/>
                <w:sz w:val="16"/>
                <w:szCs w:val="16"/>
              </w:rPr>
              <w:t xml:space="preserve">Trigger</w:t>
            </w:r>
          </w:p>
        </w:tc>
        <w:tc>
          <w:tcPr>
            <w:tcW w:type="dxa" w:w="4774"/>
            <w:shd w:fill="922B21" w:val="clear"/>
            <w:tcMar>
              <w:top w:type="dxa" w:w="70"/>
              <w:left w:type="dxa" w:w="90"/>
              <w:bottom w:type="dxa" w:w="70"/>
              <w:right w:type="dxa" w:w="90"/>
            </w:tcMar>
            <w:vAlign w:val="top"/>
          </w:tcPr>
          <w:p>
            <w:r>
              <w:rPr>
                <w:b/>
                <w:bCs/>
                <w:color w:val="FFFFFF"/>
                <w:sz w:val="16"/>
                <w:szCs w:val="16"/>
              </w:rPr>
              <w:t xml:space="preserve">Steps</w:t>
            </w:r>
          </w:p>
        </w:tc>
        <w:tc>
          <w:tcPr>
            <w:tcW w:type="dxa" w:w="2246"/>
            <w:shd w:fill="922B21" w:val="clear"/>
            <w:tcMar>
              <w:top w:type="dxa" w:w="70"/>
              <w:left w:type="dxa" w:w="90"/>
              <w:bottom w:type="dxa" w:w="70"/>
              <w:right w:type="dxa" w:w="90"/>
            </w:tcMar>
            <w:vAlign w:val="top"/>
          </w:tcPr>
          <w:p>
            <w:r>
              <w:rPr>
                <w:b/>
                <w:bCs/>
                <w:color w:val="FFFFFF"/>
                <w:sz w:val="16"/>
                <w:szCs w:val="16"/>
              </w:rPr>
              <w:t xml:space="preserve">Outcome</w:t>
            </w:r>
          </w:p>
        </w:tc>
        <w:tc>
          <w:tcPr>
            <w:tcW w:type="dxa" w:w="1404"/>
            <w:shd w:fill="922B21" w:val="clear"/>
            <w:tcMar>
              <w:top w:type="dxa" w:w="70"/>
              <w:left w:type="dxa" w:w="90"/>
              <w:bottom w:type="dxa" w:w="70"/>
              <w:right w:type="dxa" w:w="90"/>
            </w:tcMar>
            <w:vAlign w:val="top"/>
          </w:tcPr>
          <w:p>
            <w:r>
              <w:rPr>
                <w:b/>
                <w:bCs/>
                <w:color w:val="FFFFFF"/>
                <w:sz w:val="16"/>
                <w:szCs w:val="16"/>
              </w:rPr>
              <w:t xml:space="preserve">RTM Ref</w:t>
            </w:r>
          </w:p>
        </w:tc>
      </w:tr>
      <w:tr>
        <w:tc>
          <w:tcPr>
            <w:tcW w:type="dxa" w:w="2808"/>
            <w:tcMar>
              <w:top w:type="dxa" w:w="70"/>
              <w:left w:type="dxa" w:w="90"/>
              <w:bottom w:type="dxa" w:w="70"/>
              <w:right w:type="dxa" w:w="90"/>
            </w:tcMar>
            <w:vAlign w:val="top"/>
          </w:tcPr>
          <w:p>
            <w:r>
              <w:rPr>
                <w:b/>
                <w:bCs/>
                <w:color w:val="000000"/>
                <w:sz w:val="16"/>
                <w:szCs w:val="16"/>
              </w:rPr>
              <w:t xml:space="preserve">P1. Document Lifecycle Process</w:t>
            </w:r>
          </w:p>
        </w:tc>
        <w:tc>
          <w:tcPr>
            <w:tcW w:type="dxa" w:w="2808"/>
            <w:tcMar>
              <w:top w:type="dxa" w:w="70"/>
              <w:left w:type="dxa" w:w="90"/>
              <w:bottom w:type="dxa" w:w="70"/>
              <w:right w:type="dxa" w:w="90"/>
            </w:tcMar>
            <w:vAlign w:val="top"/>
          </w:tcPr>
          <w:p>
            <w:r>
              <w:rPr>
                <w:b w:val="false"/>
                <w:bCs w:val="false"/>
                <w:color w:val="000000"/>
                <w:sz w:val="16"/>
                <w:szCs w:val="16"/>
              </w:rPr>
              <w:t xml:space="preserve">A document is created or received</w:t>
            </w:r>
          </w:p>
        </w:tc>
        <w:tc>
          <w:tcPr>
            <w:tcW w:type="dxa" w:w="4774"/>
            <w:tcMar>
              <w:top w:type="dxa" w:w="70"/>
              <w:left w:type="dxa" w:w="90"/>
              <w:bottom w:type="dxa" w:w="70"/>
              <w:right w:type="dxa" w:w="90"/>
            </w:tcMar>
            <w:vAlign w:val="top"/>
          </w:tcPr>
          <w:p>
            <w:r>
              <w:rPr>
                <w:b w:val="false"/>
                <w:bCs w:val="false"/>
                <w:color w:val="000000"/>
                <w:sz w:val="16"/>
                <w:szCs w:val="16"/>
              </w:rPr>
              <w:t xml:space="preserve">Capture → Classify → Version → Review → Approve/Publish → Archive/Dispose</w:t>
            </w:r>
          </w:p>
        </w:tc>
        <w:tc>
          <w:tcPr>
            <w:tcW w:type="dxa" w:w="2246"/>
            <w:tcMar>
              <w:top w:type="dxa" w:w="70"/>
              <w:left w:type="dxa" w:w="90"/>
              <w:bottom w:type="dxa" w:w="70"/>
              <w:right w:type="dxa" w:w="90"/>
            </w:tcMar>
            <w:vAlign w:val="top"/>
          </w:tcPr>
          <w:p>
            <w:r>
              <w:rPr>
                <w:b w:val="false"/>
                <w:bCs w:val="false"/>
                <w:color w:val="000000"/>
                <w:sz w:val="16"/>
                <w:szCs w:val="16"/>
              </w:rPr>
              <w:t xml:space="preserve">A governed, findable, current document of record</w:t>
            </w:r>
          </w:p>
        </w:tc>
        <w:tc>
          <w:tcPr>
            <w:tcW w:type="dxa" w:w="1404"/>
            <w:tcMar>
              <w:top w:type="dxa" w:w="70"/>
              <w:left w:type="dxa" w:w="90"/>
              <w:bottom w:type="dxa" w:w="70"/>
              <w:right w:type="dxa" w:w="90"/>
            </w:tcMar>
            <w:vAlign w:val="top"/>
          </w:tcPr>
          <w:p>
            <w:r>
              <w:rPr>
                <w:b w:val="false"/>
                <w:bCs w:val="false"/>
                <w:color w:val="000000"/>
                <w:sz w:val="16"/>
                <w:szCs w:val="16"/>
              </w:rPr>
              <w:t xml:space="preserve">RTM: ESM-3A.2 series</w:t>
            </w:r>
          </w:p>
        </w:tc>
      </w:tr>
      <w:tr>
        <w:tc>
          <w:tcPr>
            <w:tcW w:type="dxa" w:w="2808"/>
            <w:tcMar>
              <w:top w:type="dxa" w:w="70"/>
              <w:left w:type="dxa" w:w="90"/>
              <w:bottom w:type="dxa" w:w="70"/>
              <w:right w:type="dxa" w:w="90"/>
            </w:tcMar>
            <w:vAlign w:val="top"/>
          </w:tcPr>
          <w:p>
            <w:r>
              <w:rPr>
                <w:b/>
                <w:bCs/>
                <w:color w:val="000000"/>
                <w:sz w:val="16"/>
                <w:szCs w:val="16"/>
              </w:rPr>
              <w:t xml:space="preserve">P2. Multi-Level Approval Process</w:t>
            </w:r>
          </w:p>
        </w:tc>
        <w:tc>
          <w:tcPr>
            <w:tcW w:type="dxa" w:w="2808"/>
            <w:tcMar>
              <w:top w:type="dxa" w:w="70"/>
              <w:left w:type="dxa" w:w="90"/>
              <w:bottom w:type="dxa" w:w="70"/>
              <w:right w:type="dxa" w:w="90"/>
            </w:tcMar>
            <w:vAlign w:val="top"/>
          </w:tcPr>
          <w:p>
            <w:r>
              <w:rPr>
                <w:b w:val="false"/>
                <w:bCs w:val="false"/>
                <w:color w:val="000000"/>
                <w:sz w:val="16"/>
                <w:szCs w:val="16"/>
              </w:rPr>
              <w:t xml:space="preserve">A plan, report, memo, or procurement document requires sign-off</w:t>
            </w:r>
          </w:p>
        </w:tc>
        <w:tc>
          <w:tcPr>
            <w:tcW w:type="dxa" w:w="4774"/>
            <w:tcMar>
              <w:top w:type="dxa" w:w="70"/>
              <w:left w:type="dxa" w:w="90"/>
              <w:bottom w:type="dxa" w:w="70"/>
              <w:right w:type="dxa" w:w="90"/>
            </w:tcMar>
            <w:vAlign w:val="top"/>
          </w:tcPr>
          <w:p>
            <w:r>
              <w:rPr>
                <w:b w:val="false"/>
                <w:bCs w:val="false"/>
                <w:color w:val="000000"/>
                <w:sz w:val="16"/>
                <w:szCs w:val="16"/>
              </w:rPr>
              <w:t xml:space="preserve">Submit → Route (state) → Route (regional) → Route (national) → Approve/Reject/Escalate → Notify</w:t>
            </w:r>
          </w:p>
        </w:tc>
        <w:tc>
          <w:tcPr>
            <w:tcW w:type="dxa" w:w="2246"/>
            <w:tcMar>
              <w:top w:type="dxa" w:w="70"/>
              <w:left w:type="dxa" w:w="90"/>
              <w:bottom w:type="dxa" w:w="70"/>
              <w:right w:type="dxa" w:w="90"/>
            </w:tcMar>
            <w:vAlign w:val="top"/>
          </w:tcPr>
          <w:p>
            <w:r>
              <w:rPr>
                <w:b w:val="false"/>
                <w:bCs w:val="false"/>
                <w:color w:val="000000"/>
                <w:sz w:val="16"/>
                <w:szCs w:val="16"/>
              </w:rPr>
              <w:t xml:space="preserve">A timely, auditable approval decision</w:t>
            </w:r>
          </w:p>
        </w:tc>
        <w:tc>
          <w:tcPr>
            <w:tcW w:type="dxa" w:w="1404"/>
            <w:tcMar>
              <w:top w:type="dxa" w:w="70"/>
              <w:left w:type="dxa" w:w="90"/>
              <w:bottom w:type="dxa" w:w="70"/>
              <w:right w:type="dxa" w:w="90"/>
            </w:tcMar>
            <w:vAlign w:val="top"/>
          </w:tcPr>
          <w:p>
            <w:r>
              <w:rPr>
                <w:b w:val="false"/>
                <w:bCs w:val="false"/>
                <w:color w:val="000000"/>
                <w:sz w:val="16"/>
                <w:szCs w:val="16"/>
              </w:rPr>
              <w:t xml:space="preserve">RTM: ESM-3A.3 series</w:t>
            </w:r>
          </w:p>
        </w:tc>
      </w:tr>
      <w:tr>
        <w:tc>
          <w:tcPr>
            <w:tcW w:type="dxa" w:w="2808"/>
            <w:tcMar>
              <w:top w:type="dxa" w:w="70"/>
              <w:left w:type="dxa" w:w="90"/>
              <w:bottom w:type="dxa" w:w="70"/>
              <w:right w:type="dxa" w:w="90"/>
            </w:tcMar>
            <w:vAlign w:val="top"/>
          </w:tcPr>
          <w:p>
            <w:r>
              <w:rPr>
                <w:b/>
                <w:bCs/>
                <w:color w:val="000000"/>
                <w:sz w:val="16"/>
                <w:szCs w:val="16"/>
              </w:rPr>
              <w:t xml:space="preserve">P3. Plan-to-Task Conversion Process</w:t>
            </w:r>
          </w:p>
        </w:tc>
        <w:tc>
          <w:tcPr>
            <w:tcW w:type="dxa" w:w="2808"/>
            <w:tcMar>
              <w:top w:type="dxa" w:w="70"/>
              <w:left w:type="dxa" w:w="90"/>
              <w:bottom w:type="dxa" w:w="70"/>
              <w:right w:type="dxa" w:w="90"/>
            </w:tcMar>
            <w:vAlign w:val="top"/>
          </w:tcPr>
          <w:p>
            <w:r>
              <w:rPr>
                <w:b w:val="false"/>
                <w:bCs w:val="false"/>
                <w:color w:val="000000"/>
                <w:sz w:val="16"/>
                <w:szCs w:val="16"/>
              </w:rPr>
              <w:t xml:space="preserve">A plan is approved</w:t>
            </w:r>
          </w:p>
        </w:tc>
        <w:tc>
          <w:tcPr>
            <w:tcW w:type="dxa" w:w="4774"/>
            <w:tcMar>
              <w:top w:type="dxa" w:w="70"/>
              <w:left w:type="dxa" w:w="90"/>
              <w:bottom w:type="dxa" w:w="70"/>
              <w:right w:type="dxa" w:w="90"/>
            </w:tcMar>
            <w:vAlign w:val="top"/>
          </w:tcPr>
          <w:p>
            <w:r>
              <w:rPr>
                <w:b w:val="false"/>
                <w:bCs w:val="false"/>
                <w:color w:val="000000"/>
                <w:sz w:val="16"/>
                <w:szCs w:val="16"/>
              </w:rPr>
              <w:t xml:space="preserve">Decompose → Assign → Schedule → Sequence dependencies → Track to completion</w:t>
            </w:r>
          </w:p>
        </w:tc>
        <w:tc>
          <w:tcPr>
            <w:tcW w:type="dxa" w:w="2246"/>
            <w:tcMar>
              <w:top w:type="dxa" w:w="70"/>
              <w:left w:type="dxa" w:w="90"/>
              <w:bottom w:type="dxa" w:w="70"/>
              <w:right w:type="dxa" w:w="90"/>
            </w:tcMar>
            <w:vAlign w:val="top"/>
          </w:tcPr>
          <w:p>
            <w:r>
              <w:rPr>
                <w:b w:val="false"/>
                <w:bCs w:val="false"/>
                <w:color w:val="000000"/>
                <w:sz w:val="16"/>
                <w:szCs w:val="16"/>
              </w:rPr>
              <w:t xml:space="preserve">An executable, monitored set of tasks</w:t>
            </w:r>
          </w:p>
        </w:tc>
        <w:tc>
          <w:tcPr>
            <w:tcW w:type="dxa" w:w="1404"/>
            <w:tcMar>
              <w:top w:type="dxa" w:w="70"/>
              <w:left w:type="dxa" w:w="90"/>
              <w:bottom w:type="dxa" w:w="70"/>
              <w:right w:type="dxa" w:w="90"/>
            </w:tcMar>
            <w:vAlign w:val="top"/>
          </w:tcPr>
          <w:p>
            <w:r>
              <w:rPr>
                <w:b w:val="false"/>
                <w:bCs w:val="false"/>
                <w:color w:val="000000"/>
                <w:sz w:val="16"/>
                <w:szCs w:val="16"/>
              </w:rPr>
              <w:t xml:space="preserve">RTM: ESM-3A.4 series</w:t>
            </w:r>
          </w:p>
        </w:tc>
      </w:tr>
      <w:tr>
        <w:tc>
          <w:tcPr>
            <w:tcW w:type="dxa" w:w="2808"/>
            <w:tcMar>
              <w:top w:type="dxa" w:w="70"/>
              <w:left w:type="dxa" w:w="90"/>
              <w:bottom w:type="dxa" w:w="70"/>
              <w:right w:type="dxa" w:w="90"/>
            </w:tcMar>
            <w:vAlign w:val="top"/>
          </w:tcPr>
          <w:p>
            <w:r>
              <w:rPr>
                <w:b/>
                <w:bCs/>
                <w:color w:val="000000"/>
                <w:sz w:val="16"/>
                <w:szCs w:val="16"/>
              </w:rPr>
              <w:t xml:space="preserve">P4. Knowledge Content Publishing Process</w:t>
            </w:r>
          </w:p>
        </w:tc>
        <w:tc>
          <w:tcPr>
            <w:tcW w:type="dxa" w:w="2808"/>
            <w:tcMar>
              <w:top w:type="dxa" w:w="70"/>
              <w:left w:type="dxa" w:w="90"/>
              <w:bottom w:type="dxa" w:w="70"/>
              <w:right w:type="dxa" w:w="90"/>
            </w:tcMar>
            <w:vAlign w:val="top"/>
          </w:tcPr>
          <w:p>
            <w:r>
              <w:rPr>
                <w:b w:val="false"/>
                <w:bCs w:val="false"/>
                <w:color w:val="000000"/>
                <w:sz w:val="16"/>
                <w:szCs w:val="16"/>
              </w:rPr>
              <w:t xml:space="preserve">A knowledge asset is ready for release</w:t>
            </w:r>
          </w:p>
        </w:tc>
        <w:tc>
          <w:tcPr>
            <w:tcW w:type="dxa" w:w="4774"/>
            <w:tcMar>
              <w:top w:type="dxa" w:w="70"/>
              <w:left w:type="dxa" w:w="90"/>
              <w:bottom w:type="dxa" w:w="70"/>
              <w:right w:type="dxa" w:w="90"/>
            </w:tcMar>
            <w:vAlign w:val="top"/>
          </w:tcPr>
          <w:p>
            <w:r>
              <w:rPr>
                <w:b w:val="false"/>
                <w:bCs w:val="false"/>
                <w:color w:val="000000"/>
                <w:sz w:val="16"/>
                <w:szCs w:val="16"/>
              </w:rPr>
              <w:t xml:space="preserve">Draft → Curate/Review → Tag (taxonomy) → Publish → Monitor usage</w:t>
            </w:r>
          </w:p>
        </w:tc>
        <w:tc>
          <w:tcPr>
            <w:tcW w:type="dxa" w:w="2246"/>
            <w:tcMar>
              <w:top w:type="dxa" w:w="70"/>
              <w:left w:type="dxa" w:w="90"/>
              <w:bottom w:type="dxa" w:w="70"/>
              <w:right w:type="dxa" w:w="90"/>
            </w:tcMar>
            <w:vAlign w:val="top"/>
          </w:tcPr>
          <w:p>
            <w:r>
              <w:rPr>
                <w:b w:val="false"/>
                <w:bCs w:val="false"/>
                <w:color w:val="000000"/>
                <w:sz w:val="16"/>
                <w:szCs w:val="16"/>
              </w:rPr>
              <w:t xml:space="preserve">A discoverable, quality-assured public knowledge asset</w:t>
            </w:r>
          </w:p>
        </w:tc>
        <w:tc>
          <w:tcPr>
            <w:tcW w:type="dxa" w:w="1404"/>
            <w:tcMar>
              <w:top w:type="dxa" w:w="70"/>
              <w:left w:type="dxa" w:w="90"/>
              <w:bottom w:type="dxa" w:w="70"/>
              <w:right w:type="dxa" w:w="90"/>
            </w:tcMar>
            <w:vAlign w:val="top"/>
          </w:tcPr>
          <w:p>
            <w:r>
              <w:rPr>
                <w:b w:val="false"/>
                <w:bCs w:val="false"/>
                <w:color w:val="000000"/>
                <w:sz w:val="16"/>
                <w:szCs w:val="16"/>
              </w:rPr>
              <w:t xml:space="preserve">RTM: CKR-3B.2/3B.3 series</w:t>
            </w:r>
          </w:p>
        </w:tc>
      </w:tr>
      <w:tr>
        <w:tc>
          <w:tcPr>
            <w:tcW w:type="dxa" w:w="2808"/>
            <w:tcMar>
              <w:top w:type="dxa" w:w="70"/>
              <w:left w:type="dxa" w:w="90"/>
              <w:bottom w:type="dxa" w:w="70"/>
              <w:right w:type="dxa" w:w="90"/>
            </w:tcMar>
            <w:vAlign w:val="top"/>
          </w:tcPr>
          <w:p>
            <w:r>
              <w:rPr>
                <w:b/>
                <w:bCs/>
                <w:color w:val="000000"/>
                <w:sz w:val="16"/>
                <w:szCs w:val="16"/>
              </w:rPr>
              <w:t xml:space="preserve">P5. Legacy Content Migration Process</w:t>
            </w:r>
          </w:p>
        </w:tc>
        <w:tc>
          <w:tcPr>
            <w:tcW w:type="dxa" w:w="2808"/>
            <w:tcMar>
              <w:top w:type="dxa" w:w="70"/>
              <w:left w:type="dxa" w:w="90"/>
              <w:bottom w:type="dxa" w:w="70"/>
              <w:right w:type="dxa" w:w="90"/>
            </w:tcMar>
            <w:vAlign w:val="top"/>
          </w:tcPr>
          <w:p>
            <w:r>
              <w:rPr>
                <w:b w:val="false"/>
                <w:bCs w:val="false"/>
                <w:color w:val="000000"/>
                <w:sz w:val="16"/>
                <w:szCs w:val="16"/>
              </w:rPr>
              <w:t xml:space="preserve">A batch of legacy content is scheduled for migration</w:t>
            </w:r>
          </w:p>
        </w:tc>
        <w:tc>
          <w:tcPr>
            <w:tcW w:type="dxa" w:w="4774"/>
            <w:tcMar>
              <w:top w:type="dxa" w:w="70"/>
              <w:left w:type="dxa" w:w="90"/>
              <w:bottom w:type="dxa" w:w="70"/>
              <w:right w:type="dxa" w:w="90"/>
            </w:tcMar>
            <w:vAlign w:val="top"/>
          </w:tcPr>
          <w:p>
            <w:r>
              <w:rPr>
                <w:b w:val="false"/>
                <w:bCs w:val="false"/>
                <w:color w:val="000000"/>
                <w:sz w:val="16"/>
                <w:szCs w:val="16"/>
              </w:rPr>
              <w:t xml:space="preserve">Audit → Cleanse → Classify → Migrate → Validate → Retire legacy copy</w:t>
            </w:r>
          </w:p>
        </w:tc>
        <w:tc>
          <w:tcPr>
            <w:tcW w:type="dxa" w:w="2246"/>
            <w:tcMar>
              <w:top w:type="dxa" w:w="70"/>
              <w:left w:type="dxa" w:w="90"/>
              <w:bottom w:type="dxa" w:w="70"/>
              <w:right w:type="dxa" w:w="90"/>
            </w:tcMar>
            <w:vAlign w:val="top"/>
          </w:tcPr>
          <w:p>
            <w:r>
              <w:rPr>
                <w:b w:val="false"/>
                <w:bCs w:val="false"/>
                <w:color w:val="000000"/>
                <w:sz w:val="16"/>
                <w:szCs w:val="16"/>
              </w:rPr>
              <w:t xml:space="preserve">Legacy content available as a trusted digital asset</w:t>
            </w:r>
          </w:p>
        </w:tc>
        <w:tc>
          <w:tcPr>
            <w:tcW w:type="dxa" w:w="1404"/>
            <w:tcMar>
              <w:top w:type="dxa" w:w="70"/>
              <w:left w:type="dxa" w:w="90"/>
              <w:bottom w:type="dxa" w:w="70"/>
              <w:right w:type="dxa" w:w="90"/>
            </w:tcMar>
            <w:vAlign w:val="top"/>
          </w:tcPr>
          <w:p>
            <w:r>
              <w:rPr>
                <w:b w:val="false"/>
                <w:bCs w:val="false"/>
                <w:color w:val="000000"/>
                <w:sz w:val="16"/>
                <w:szCs w:val="16"/>
              </w:rPr>
              <w:t xml:space="preserve">RTM: ESM-3A.2-06, CKR-3B.6 series</w:t>
            </w:r>
          </w:p>
        </w:tc>
      </w:tr>
      <w:tr>
        <w:tc>
          <w:tcPr>
            <w:tcW w:type="dxa" w:w="2808"/>
            <w:tcMar>
              <w:top w:type="dxa" w:w="70"/>
              <w:left w:type="dxa" w:w="90"/>
              <w:bottom w:type="dxa" w:w="70"/>
              <w:right w:type="dxa" w:w="90"/>
            </w:tcMar>
            <w:vAlign w:val="top"/>
          </w:tcPr>
          <w:p>
            <w:r>
              <w:rPr>
                <w:b/>
                <w:bCs/>
                <w:color w:val="000000"/>
                <w:sz w:val="16"/>
                <w:szCs w:val="16"/>
              </w:rPr>
              <w:t xml:space="preserve">P6. Reporting &amp; Dashboard Refresh Process</w:t>
            </w:r>
          </w:p>
        </w:tc>
        <w:tc>
          <w:tcPr>
            <w:tcW w:type="dxa" w:w="2808"/>
            <w:tcMar>
              <w:top w:type="dxa" w:w="70"/>
              <w:left w:type="dxa" w:w="90"/>
              <w:bottom w:type="dxa" w:w="70"/>
              <w:right w:type="dxa" w:w="90"/>
            </w:tcMar>
            <w:vAlign w:val="top"/>
          </w:tcPr>
          <w:p>
            <w:r>
              <w:rPr>
                <w:b w:val="false"/>
                <w:bCs w:val="false"/>
                <w:color w:val="000000"/>
                <w:sz w:val="16"/>
                <w:szCs w:val="16"/>
              </w:rPr>
              <w:t xml:space="preserve">A reporting cycle or data update occurs</w:t>
            </w:r>
          </w:p>
        </w:tc>
        <w:tc>
          <w:tcPr>
            <w:tcW w:type="dxa" w:w="4774"/>
            <w:tcMar>
              <w:top w:type="dxa" w:w="70"/>
              <w:left w:type="dxa" w:w="90"/>
              <w:bottom w:type="dxa" w:w="70"/>
              <w:right w:type="dxa" w:w="90"/>
            </w:tcMar>
            <w:vAlign w:val="top"/>
          </w:tcPr>
          <w:p>
            <w:r>
              <w:rPr>
                <w:b w:val="false"/>
                <w:bCs w:val="false"/>
                <w:color w:val="000000"/>
                <w:sz w:val="16"/>
                <w:szCs w:val="16"/>
              </w:rPr>
              <w:t xml:space="preserve">Capture data → Aggregate → Refresh dashboard → Generate report → Distribute</w:t>
            </w:r>
          </w:p>
        </w:tc>
        <w:tc>
          <w:tcPr>
            <w:tcW w:type="dxa" w:w="2246"/>
            <w:tcMar>
              <w:top w:type="dxa" w:w="70"/>
              <w:left w:type="dxa" w:w="90"/>
              <w:bottom w:type="dxa" w:w="70"/>
              <w:right w:type="dxa" w:w="90"/>
            </w:tcMar>
            <w:vAlign w:val="top"/>
          </w:tcPr>
          <w:p>
            <w:r>
              <w:rPr>
                <w:b w:val="false"/>
                <w:bCs w:val="false"/>
                <w:color w:val="000000"/>
                <w:sz w:val="16"/>
                <w:szCs w:val="16"/>
              </w:rPr>
              <w:t xml:space="preserve">Current, decision-ready performance information</w:t>
            </w:r>
          </w:p>
        </w:tc>
        <w:tc>
          <w:tcPr>
            <w:tcW w:type="dxa" w:w="1404"/>
            <w:tcMar>
              <w:top w:type="dxa" w:w="70"/>
              <w:left w:type="dxa" w:w="90"/>
              <w:bottom w:type="dxa" w:w="70"/>
              <w:right w:type="dxa" w:w="90"/>
            </w:tcMar>
            <w:vAlign w:val="top"/>
          </w:tcPr>
          <w:p>
            <w:r>
              <w:rPr>
                <w:b w:val="false"/>
                <w:bCs w:val="false"/>
                <w:color w:val="000000"/>
                <w:sz w:val="16"/>
                <w:szCs w:val="16"/>
              </w:rPr>
              <w:t xml:space="preserve">RTM: ESM-3A.6 series</w:t>
            </w:r>
          </w:p>
        </w:tc>
      </w:tr>
      <w:tr>
        <w:tc>
          <w:tcPr>
            <w:tcW w:type="dxa" w:w="2808"/>
            <w:tcMar>
              <w:top w:type="dxa" w:w="70"/>
              <w:left w:type="dxa" w:w="90"/>
              <w:bottom w:type="dxa" w:w="70"/>
              <w:right w:type="dxa" w:w="90"/>
            </w:tcMar>
            <w:vAlign w:val="top"/>
          </w:tcPr>
          <w:p>
            <w:r>
              <w:rPr>
                <w:b/>
                <w:bCs/>
                <w:color w:val="000000"/>
                <w:sz w:val="16"/>
                <w:szCs w:val="16"/>
              </w:rPr>
              <w:t xml:space="preserve">P7. User Onboarding &amp; Access Provisioning Process</w:t>
            </w:r>
          </w:p>
        </w:tc>
        <w:tc>
          <w:tcPr>
            <w:tcW w:type="dxa" w:w="2808"/>
            <w:tcMar>
              <w:top w:type="dxa" w:w="70"/>
              <w:left w:type="dxa" w:w="90"/>
              <w:bottom w:type="dxa" w:w="70"/>
              <w:right w:type="dxa" w:w="90"/>
            </w:tcMar>
            <w:vAlign w:val="top"/>
          </w:tcPr>
          <w:p>
            <w:r>
              <w:rPr>
                <w:b w:val="false"/>
                <w:bCs w:val="false"/>
                <w:color w:val="000000"/>
                <w:sz w:val="16"/>
                <w:szCs w:val="16"/>
              </w:rPr>
              <w:t xml:space="preserve">A new user requires system access</w:t>
            </w:r>
          </w:p>
        </w:tc>
        <w:tc>
          <w:tcPr>
            <w:tcW w:type="dxa" w:w="4774"/>
            <w:tcMar>
              <w:top w:type="dxa" w:w="70"/>
              <w:left w:type="dxa" w:w="90"/>
              <w:bottom w:type="dxa" w:w="70"/>
              <w:right w:type="dxa" w:w="90"/>
            </w:tcMar>
            <w:vAlign w:val="top"/>
          </w:tcPr>
          <w:p>
            <w:r>
              <w:rPr>
                <w:b w:val="false"/>
                <w:bCs w:val="false"/>
                <w:color w:val="000000"/>
                <w:sz w:val="16"/>
                <w:szCs w:val="16"/>
              </w:rPr>
              <w:t xml:space="preserve">Request → Verify role → Provision RBAC → Enable MFA → Confirm access</w:t>
            </w:r>
          </w:p>
        </w:tc>
        <w:tc>
          <w:tcPr>
            <w:tcW w:type="dxa" w:w="2246"/>
            <w:tcMar>
              <w:top w:type="dxa" w:w="70"/>
              <w:left w:type="dxa" w:w="90"/>
              <w:bottom w:type="dxa" w:w="70"/>
              <w:right w:type="dxa" w:w="90"/>
            </w:tcMar>
            <w:vAlign w:val="top"/>
          </w:tcPr>
          <w:p>
            <w:r>
              <w:rPr>
                <w:b w:val="false"/>
                <w:bCs w:val="false"/>
                <w:color w:val="000000"/>
                <w:sz w:val="16"/>
                <w:szCs w:val="16"/>
              </w:rPr>
              <w:t xml:space="preserve">A correctly scoped, secure system user</w:t>
            </w:r>
          </w:p>
        </w:tc>
        <w:tc>
          <w:tcPr>
            <w:tcW w:type="dxa" w:w="1404"/>
            <w:tcMar>
              <w:top w:type="dxa" w:w="70"/>
              <w:left w:type="dxa" w:w="90"/>
              <w:bottom w:type="dxa" w:w="70"/>
              <w:right w:type="dxa" w:w="90"/>
            </w:tcMar>
            <w:vAlign w:val="top"/>
          </w:tcPr>
          <w:p>
            <w:r>
              <w:rPr>
                <w:b w:val="false"/>
                <w:bCs w:val="false"/>
                <w:color w:val="000000"/>
                <w:sz w:val="16"/>
                <w:szCs w:val="16"/>
              </w:rPr>
              <w:t xml:space="preserve">RTM: ESM-3A.5 series</w:t>
            </w:r>
          </w:p>
        </w:tc>
      </w:tr>
      <w:tr>
        <w:tc>
          <w:tcPr>
            <w:tcW w:type="dxa" w:w="2808"/>
            <w:tcMar>
              <w:top w:type="dxa" w:w="70"/>
              <w:left w:type="dxa" w:w="90"/>
              <w:bottom w:type="dxa" w:w="70"/>
              <w:right w:type="dxa" w:w="90"/>
            </w:tcMar>
            <w:vAlign w:val="top"/>
          </w:tcPr>
          <w:p>
            <w:r>
              <w:rPr>
                <w:b/>
                <w:bCs/>
                <w:color w:val="000000"/>
                <w:sz w:val="16"/>
                <w:szCs w:val="16"/>
              </w:rPr>
              <w:t xml:space="preserve">P8. Incident &amp; Escalation Process</w:t>
            </w:r>
          </w:p>
        </w:tc>
        <w:tc>
          <w:tcPr>
            <w:tcW w:type="dxa" w:w="2808"/>
            <w:tcMar>
              <w:top w:type="dxa" w:w="70"/>
              <w:left w:type="dxa" w:w="90"/>
              <w:bottom w:type="dxa" w:w="70"/>
              <w:right w:type="dxa" w:w="90"/>
            </w:tcMar>
            <w:vAlign w:val="top"/>
          </w:tcPr>
          <w:p>
            <w:r>
              <w:rPr>
                <w:b w:val="false"/>
                <w:bCs w:val="false"/>
                <w:color w:val="000000"/>
                <w:sz w:val="16"/>
                <w:szCs w:val="16"/>
              </w:rPr>
              <w:t xml:space="preserve">An approval stalls or a security/operational incident occurs</w:t>
            </w:r>
          </w:p>
        </w:tc>
        <w:tc>
          <w:tcPr>
            <w:tcW w:type="dxa" w:w="4774"/>
            <w:tcMar>
              <w:top w:type="dxa" w:w="70"/>
              <w:left w:type="dxa" w:w="90"/>
              <w:bottom w:type="dxa" w:w="70"/>
              <w:right w:type="dxa" w:w="90"/>
            </w:tcMar>
            <w:vAlign w:val="top"/>
          </w:tcPr>
          <w:p>
            <w:r>
              <w:rPr>
                <w:b w:val="false"/>
                <w:bCs w:val="false"/>
                <w:color w:val="000000"/>
                <w:sz w:val="16"/>
                <w:szCs w:val="16"/>
              </w:rPr>
              <w:t xml:space="preserve">Detect → Notify → Escalate → Resolve → Log → Review</w:t>
            </w:r>
          </w:p>
        </w:tc>
        <w:tc>
          <w:tcPr>
            <w:tcW w:type="dxa" w:w="2246"/>
            <w:tcMar>
              <w:top w:type="dxa" w:w="70"/>
              <w:left w:type="dxa" w:w="90"/>
              <w:bottom w:type="dxa" w:w="70"/>
              <w:right w:type="dxa" w:w="90"/>
            </w:tcMar>
            <w:vAlign w:val="top"/>
          </w:tcPr>
          <w:p>
            <w:r>
              <w:rPr>
                <w:b w:val="false"/>
                <w:bCs w:val="false"/>
                <w:color w:val="000000"/>
                <w:sz w:val="16"/>
                <w:szCs w:val="16"/>
              </w:rPr>
              <w:t xml:space="preserve">A resolved issue with an auditable record</w:t>
            </w:r>
          </w:p>
        </w:tc>
        <w:tc>
          <w:tcPr>
            <w:tcW w:type="dxa" w:w="1404"/>
            <w:tcMar>
              <w:top w:type="dxa" w:w="70"/>
              <w:left w:type="dxa" w:w="90"/>
              <w:bottom w:type="dxa" w:w="70"/>
              <w:right w:type="dxa" w:w="90"/>
            </w:tcMar>
            <w:vAlign w:val="top"/>
          </w:tcPr>
          <w:p>
            <w:r>
              <w:rPr>
                <w:b w:val="false"/>
                <w:bCs w:val="false"/>
                <w:color w:val="000000"/>
                <w:sz w:val="16"/>
                <w:szCs w:val="16"/>
              </w:rPr>
              <w:t xml:space="preserve">RTM: ESM-3A.3-04, RISK-12 series</w:t>
            </w:r>
          </w:p>
        </w:tc>
      </w:tr>
    </w:tbl>
    <w:p>
      <w:pPr>
        <w:pStyle w:val="Heading1"/>
        <w:spacing w:after="130" w:before="300"/>
      </w:pPr>
      <w:r>
        <w:t xml:space="preserve">6. Capability Map</w:t>
      </w:r>
    </w:p>
    <w:p>
      <w:pPr>
        <w:spacing w:after="150" w:line="270"/>
      </w:pPr>
      <w:r>
        <w:t xml:space="preserve">The Capability Map organizes the eight Level 1 capabilities identified above into their constituent Level 2 sub-capabilities, producing the hierarchical view a TOGAF-disciplined Architecture Review Board would expect to see before approving any subsequent Application Architecture. This map is the direct input to the Business Capability Heat Map later in this part, which overlays maturity and strategic-importance ratings onto the same structure.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493"/>
        <w:gridCol w:w="9547"/>
      </w:tblGrid>
      <w:tr>
        <w:trPr>
          <w:tblHeader/>
        </w:trPr>
        <w:tc>
          <w:tcPr>
            <w:tcW w:type="dxa" w:w="4493"/>
            <w:shd w:fill="6E2C00" w:val="clear"/>
            <w:tcMar>
              <w:top w:type="dxa" w:w="70"/>
              <w:left w:type="dxa" w:w="90"/>
              <w:bottom w:type="dxa" w:w="70"/>
              <w:right w:type="dxa" w:w="90"/>
            </w:tcMar>
            <w:vAlign w:val="top"/>
          </w:tcPr>
          <w:p>
            <w:r>
              <w:rPr>
                <w:b/>
                <w:bCs/>
                <w:color w:val="FFFFFF"/>
                <w:sz w:val="16"/>
                <w:szCs w:val="16"/>
              </w:rPr>
              <w:t xml:space="preserve">Level 1 Capability</w:t>
            </w:r>
          </w:p>
        </w:tc>
        <w:tc>
          <w:tcPr>
            <w:tcW w:type="dxa" w:w="9547"/>
            <w:shd w:fill="6E2C00" w:val="clear"/>
            <w:tcMar>
              <w:top w:type="dxa" w:w="70"/>
              <w:left w:type="dxa" w:w="90"/>
              <w:bottom w:type="dxa" w:w="70"/>
              <w:right w:type="dxa" w:w="90"/>
            </w:tcMar>
            <w:vAlign w:val="top"/>
          </w:tcPr>
          <w:p>
            <w:r>
              <w:rPr>
                <w:b/>
                <w:bCs/>
                <w:color w:val="FFFFFF"/>
                <w:sz w:val="16"/>
                <w:szCs w:val="16"/>
              </w:rPr>
              <w:t xml:space="preserve">Level 2 Sub-Capabilities</w:t>
            </w:r>
          </w:p>
        </w:tc>
      </w:tr>
      <w:tr>
        <w:tc>
          <w:tcPr>
            <w:tcW w:type="dxa" w:w="4493"/>
            <w:tcMar>
              <w:top w:type="dxa" w:w="70"/>
              <w:left w:type="dxa" w:w="90"/>
              <w:bottom w:type="dxa" w:w="70"/>
              <w:right w:type="dxa" w:w="90"/>
            </w:tcMar>
            <w:vAlign w:val="top"/>
          </w:tcPr>
          <w:p>
            <w:r>
              <w:rPr>
                <w:b/>
                <w:bCs/>
                <w:color w:val="000000"/>
                <w:sz w:val="16"/>
                <w:szCs w:val="16"/>
              </w:rPr>
              <w:t xml:space="preserve">Centralized Document Management</w:t>
            </w:r>
          </w:p>
        </w:tc>
        <w:tc>
          <w:tcPr>
            <w:tcW w:type="dxa" w:w="9547"/>
            <w:tcMar>
              <w:top w:type="dxa" w:w="70"/>
              <w:left w:type="dxa" w:w="90"/>
              <w:bottom w:type="dxa" w:w="70"/>
              <w:right w:type="dxa" w:w="90"/>
            </w:tcMar>
            <w:vAlign w:val="top"/>
          </w:tcPr>
          <w:p>
            <w:r>
              <w:rPr>
                <w:b w:val="false"/>
                <w:bCs w:val="false"/>
                <w:color w:val="000000"/>
                <w:sz w:val="16"/>
                <w:szCs w:val="16"/>
              </w:rPr>
              <w:t xml:space="preserve">Document Capture &amp; Intake; Classification &amp; Tagging; Version Control; Lifecycle &amp; Retention; Legacy Migration</w:t>
            </w:r>
          </w:p>
        </w:tc>
      </w:tr>
      <w:tr>
        <w:tc>
          <w:tcPr>
            <w:tcW w:type="dxa" w:w="4493"/>
            <w:tcMar>
              <w:top w:type="dxa" w:w="70"/>
              <w:left w:type="dxa" w:w="90"/>
              <w:bottom w:type="dxa" w:w="70"/>
              <w:right w:type="dxa" w:w="90"/>
            </w:tcMar>
            <w:vAlign w:val="top"/>
          </w:tcPr>
          <w:p>
            <w:r>
              <w:rPr>
                <w:b/>
                <w:bCs/>
                <w:color w:val="000000"/>
                <w:sz w:val="16"/>
                <w:szCs w:val="16"/>
              </w:rPr>
              <w:t xml:space="preserve">Workflow Automation &amp; Multi-Tier Approval</w:t>
            </w:r>
          </w:p>
        </w:tc>
        <w:tc>
          <w:tcPr>
            <w:tcW w:type="dxa" w:w="9547"/>
            <w:tcMar>
              <w:top w:type="dxa" w:w="70"/>
              <w:left w:type="dxa" w:w="90"/>
              <w:bottom w:type="dxa" w:w="70"/>
              <w:right w:type="dxa" w:w="90"/>
            </w:tcMar>
            <w:vAlign w:val="top"/>
          </w:tcPr>
          <w:p>
            <w:r>
              <w:rPr>
                <w:b w:val="false"/>
                <w:bCs w:val="false"/>
                <w:color w:val="000000"/>
                <w:sz w:val="16"/>
                <w:szCs w:val="16"/>
              </w:rPr>
              <w:t xml:space="preserve">Workflow Configuration; Approval Routing; Escalation Management; Notifications &amp; Reminders</w:t>
            </w:r>
          </w:p>
        </w:tc>
      </w:tr>
      <w:tr>
        <w:tc>
          <w:tcPr>
            <w:tcW w:type="dxa" w:w="4493"/>
            <w:tcMar>
              <w:top w:type="dxa" w:w="70"/>
              <w:left w:type="dxa" w:w="90"/>
              <w:bottom w:type="dxa" w:w="70"/>
              <w:right w:type="dxa" w:w="90"/>
            </w:tcMar>
            <w:vAlign w:val="top"/>
          </w:tcPr>
          <w:p>
            <w:r>
              <w:rPr>
                <w:b/>
                <w:bCs/>
                <w:color w:val="000000"/>
                <w:sz w:val="16"/>
                <w:szCs w:val="16"/>
              </w:rPr>
              <w:t xml:space="preserve">Project &amp; Task Execution Tracking</w:t>
            </w:r>
          </w:p>
        </w:tc>
        <w:tc>
          <w:tcPr>
            <w:tcW w:type="dxa" w:w="9547"/>
            <w:tcMar>
              <w:top w:type="dxa" w:w="70"/>
              <w:left w:type="dxa" w:w="90"/>
              <w:bottom w:type="dxa" w:w="70"/>
              <w:right w:type="dxa" w:w="90"/>
            </w:tcMar>
            <w:vAlign w:val="top"/>
          </w:tcPr>
          <w:p>
            <w:r>
              <w:rPr>
                <w:b w:val="false"/>
                <w:bCs w:val="false"/>
                <w:color w:val="000000"/>
                <w:sz w:val="16"/>
                <w:szCs w:val="16"/>
              </w:rPr>
              <w:t xml:space="preserve">Plan-to-Task Conversion; Milestone Tracking; Dependency Mapping; Progress Monitoring</w:t>
            </w:r>
          </w:p>
        </w:tc>
      </w:tr>
      <w:tr>
        <w:tc>
          <w:tcPr>
            <w:tcW w:type="dxa" w:w="4493"/>
            <w:tcMar>
              <w:top w:type="dxa" w:w="70"/>
              <w:left w:type="dxa" w:w="90"/>
              <w:bottom w:type="dxa" w:w="70"/>
              <w:right w:type="dxa" w:w="90"/>
            </w:tcMar>
            <w:vAlign w:val="top"/>
          </w:tcPr>
          <w:p>
            <w:r>
              <w:rPr>
                <w:b/>
                <w:bCs/>
                <w:color w:val="000000"/>
                <w:sz w:val="16"/>
                <w:szCs w:val="16"/>
              </w:rPr>
              <w:t xml:space="preserve">Knowledge Curation &amp; Public Dissemination</w:t>
            </w:r>
          </w:p>
        </w:tc>
        <w:tc>
          <w:tcPr>
            <w:tcW w:type="dxa" w:w="9547"/>
            <w:tcMar>
              <w:top w:type="dxa" w:w="70"/>
              <w:left w:type="dxa" w:w="90"/>
              <w:bottom w:type="dxa" w:w="70"/>
              <w:right w:type="dxa" w:w="90"/>
            </w:tcMar>
            <w:vAlign w:val="top"/>
          </w:tcPr>
          <w:p>
            <w:r>
              <w:rPr>
                <w:b w:val="false"/>
                <w:bCs w:val="false"/>
                <w:color w:val="000000"/>
                <w:sz w:val="16"/>
                <w:szCs w:val="16"/>
              </w:rPr>
              <w:t xml:space="preserve">Content Curation; Taxonomy Management; Publishing; Search &amp; Discovery; Usage Analytics</w:t>
            </w:r>
          </w:p>
        </w:tc>
      </w:tr>
      <w:tr>
        <w:tc>
          <w:tcPr>
            <w:tcW w:type="dxa" w:w="4493"/>
            <w:tcMar>
              <w:top w:type="dxa" w:w="70"/>
              <w:left w:type="dxa" w:w="90"/>
              <w:bottom w:type="dxa" w:w="70"/>
              <w:right w:type="dxa" w:w="90"/>
            </w:tcMar>
            <w:vAlign w:val="top"/>
          </w:tcPr>
          <w:p>
            <w:r>
              <w:rPr>
                <w:b/>
                <w:bCs/>
                <w:color w:val="000000"/>
                <w:sz w:val="16"/>
                <w:szCs w:val="16"/>
              </w:rPr>
              <w:t xml:space="preserve">Programme Performance Monitoring &amp; BI</w:t>
            </w:r>
          </w:p>
        </w:tc>
        <w:tc>
          <w:tcPr>
            <w:tcW w:type="dxa" w:w="9547"/>
            <w:tcMar>
              <w:top w:type="dxa" w:w="70"/>
              <w:left w:type="dxa" w:w="90"/>
              <w:bottom w:type="dxa" w:w="70"/>
              <w:right w:type="dxa" w:w="90"/>
            </w:tcMar>
            <w:vAlign w:val="top"/>
          </w:tcPr>
          <w:p>
            <w:r>
              <w:rPr>
                <w:b w:val="false"/>
                <w:bCs w:val="false"/>
                <w:color w:val="000000"/>
                <w:sz w:val="16"/>
                <w:szCs w:val="16"/>
              </w:rPr>
              <w:t xml:space="preserve">Performance Monitoring; Dashboard Management (3-tier); Custom Reporting; Data Export</w:t>
            </w:r>
          </w:p>
        </w:tc>
      </w:tr>
      <w:tr>
        <w:tc>
          <w:tcPr>
            <w:tcW w:type="dxa" w:w="4493"/>
            <w:tcMar>
              <w:top w:type="dxa" w:w="70"/>
              <w:left w:type="dxa" w:w="90"/>
              <w:bottom w:type="dxa" w:w="70"/>
              <w:right w:type="dxa" w:w="90"/>
            </w:tcMar>
            <w:vAlign w:val="top"/>
          </w:tcPr>
          <w:p>
            <w:r>
              <w:rPr>
                <w:b/>
                <w:bCs/>
                <w:color w:val="000000"/>
                <w:sz w:val="16"/>
                <w:szCs w:val="16"/>
              </w:rPr>
              <w:t xml:space="preserve">Identity, Access &amp; Data Protection</w:t>
            </w:r>
          </w:p>
        </w:tc>
        <w:tc>
          <w:tcPr>
            <w:tcW w:type="dxa" w:w="9547"/>
            <w:tcMar>
              <w:top w:type="dxa" w:w="70"/>
              <w:left w:type="dxa" w:w="90"/>
              <w:bottom w:type="dxa" w:w="70"/>
              <w:right w:type="dxa" w:w="90"/>
            </w:tcMar>
            <w:vAlign w:val="top"/>
          </w:tcPr>
          <w:p>
            <w:r>
              <w:rPr>
                <w:b w:val="false"/>
                <w:bCs w:val="false"/>
                <w:color w:val="000000"/>
                <w:sz w:val="16"/>
                <w:szCs w:val="16"/>
              </w:rPr>
              <w:t xml:space="preserve">Identity &amp; Access Management; Encryption &amp; Secure Access; Audit Logging; Compliance Monitoring</w:t>
            </w:r>
          </w:p>
        </w:tc>
      </w:tr>
      <w:tr>
        <w:tc>
          <w:tcPr>
            <w:tcW w:type="dxa" w:w="4493"/>
            <w:tcMar>
              <w:top w:type="dxa" w:w="70"/>
              <w:left w:type="dxa" w:w="90"/>
              <w:bottom w:type="dxa" w:w="70"/>
              <w:right w:type="dxa" w:w="90"/>
            </w:tcMar>
            <w:vAlign w:val="top"/>
          </w:tcPr>
          <w:p>
            <w:r>
              <w:rPr>
                <w:b/>
                <w:bCs/>
                <w:color w:val="000000"/>
                <w:sz w:val="16"/>
                <w:szCs w:val="16"/>
              </w:rPr>
              <w:t xml:space="preserve">Multi-Stakeholder Engagement &amp; Change Management</w:t>
            </w:r>
          </w:p>
        </w:tc>
        <w:tc>
          <w:tcPr>
            <w:tcW w:type="dxa" w:w="9547"/>
            <w:tcMar>
              <w:top w:type="dxa" w:w="70"/>
              <w:left w:type="dxa" w:w="90"/>
              <w:bottom w:type="dxa" w:w="70"/>
              <w:right w:type="dxa" w:w="90"/>
            </w:tcMar>
            <w:vAlign w:val="top"/>
          </w:tcPr>
          <w:p>
            <w:r>
              <w:rPr>
                <w:b w:val="false"/>
                <w:bCs w:val="false"/>
                <w:color w:val="000000"/>
                <w:sz w:val="16"/>
                <w:szCs w:val="16"/>
              </w:rPr>
              <w:t xml:space="preserve">Stakeholder Consultation; Training &amp; Capacity Building; Adoption/Change Management; Communications &amp; Outreach</w:t>
            </w:r>
          </w:p>
        </w:tc>
      </w:tr>
      <w:tr>
        <w:tc>
          <w:tcPr>
            <w:tcW w:type="dxa" w:w="4493"/>
            <w:tcMar>
              <w:top w:type="dxa" w:w="70"/>
              <w:left w:type="dxa" w:w="90"/>
              <w:bottom w:type="dxa" w:w="70"/>
              <w:right w:type="dxa" w:w="90"/>
            </w:tcMar>
            <w:vAlign w:val="top"/>
          </w:tcPr>
          <w:p>
            <w:r>
              <w:rPr>
                <w:b/>
                <w:bCs/>
                <w:color w:val="000000"/>
                <w:sz w:val="16"/>
                <w:szCs w:val="16"/>
              </w:rPr>
              <w:t xml:space="preserve">Data &amp; Content Governance</w:t>
            </w:r>
          </w:p>
        </w:tc>
        <w:tc>
          <w:tcPr>
            <w:tcW w:type="dxa" w:w="9547"/>
            <w:tcMar>
              <w:top w:type="dxa" w:w="70"/>
              <w:left w:type="dxa" w:w="90"/>
              <w:bottom w:type="dxa" w:w="70"/>
              <w:right w:type="dxa" w:w="90"/>
            </w:tcMar>
            <w:vAlign w:val="top"/>
          </w:tcPr>
          <w:p>
            <w:r>
              <w:rPr>
                <w:b w:val="false"/>
                <w:bCs w:val="false"/>
                <w:color w:val="000000"/>
                <w:sz w:val="16"/>
                <w:szCs w:val="16"/>
              </w:rPr>
              <w:t xml:space="preserve">Taxonomy &amp; Metadata Stewardship; Data Quality Management; Data Ownership &amp; Classification; Donor-Alignment Review</w:t>
            </w:r>
          </w:p>
        </w:tc>
      </w:tr>
    </w:tbl>
    <w:p>
      <w:pPr>
        <w:pStyle w:val="Heading1"/>
        <w:spacing w:after="130" w:before="300"/>
      </w:pPr>
      <w:r>
        <w:t xml:space="preserve">7. Value Streams</w:t>
      </w:r>
    </w:p>
    <w:p>
      <w:pPr>
        <w:spacing w:after="150" w:line="270"/>
      </w:pPr>
      <w:r>
        <w:t xml:space="preserve">Value Streams, in the Business Architecture Guild's sense, describe the end-to-end sequence of activity that begins when a stakeholder has a need and ends when that stakeholder has received value — a different and complementary lens to Business Processes, which describe internal execution steps rather than the stakeholder's own experience of value received. Four value streams capture the highest-consequence stakeholder journeys this programme's systems must support.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370"/>
        <w:gridCol w:w="3370"/>
        <w:gridCol w:w="4493"/>
        <w:gridCol w:w="2808"/>
      </w:tblGrid>
      <w:tr>
        <w:trPr>
          <w:tblHeader/>
        </w:trPr>
        <w:tc>
          <w:tcPr>
            <w:tcW w:type="dxa" w:w="3370"/>
            <w:shd w:fill="1F3864" w:val="clear"/>
            <w:tcMar>
              <w:top w:type="dxa" w:w="70"/>
              <w:left w:type="dxa" w:w="90"/>
              <w:bottom w:type="dxa" w:w="70"/>
              <w:right w:type="dxa" w:w="90"/>
            </w:tcMar>
            <w:vAlign w:val="top"/>
          </w:tcPr>
          <w:p>
            <w:r>
              <w:rPr>
                <w:b/>
                <w:bCs/>
                <w:color w:val="FFFFFF"/>
                <w:sz w:val="16"/>
                <w:szCs w:val="16"/>
              </w:rPr>
              <w:t xml:space="preserve">Value Stream</w:t>
            </w:r>
          </w:p>
        </w:tc>
        <w:tc>
          <w:tcPr>
            <w:tcW w:type="dxa" w:w="3370"/>
            <w:shd w:fill="1F3864" w:val="clear"/>
            <w:tcMar>
              <w:top w:type="dxa" w:w="70"/>
              <w:left w:type="dxa" w:w="90"/>
              <w:bottom w:type="dxa" w:w="70"/>
              <w:right w:type="dxa" w:w="90"/>
            </w:tcMar>
            <w:vAlign w:val="top"/>
          </w:tcPr>
          <w:p>
            <w:r>
              <w:rPr>
                <w:b/>
                <w:bCs/>
                <w:color w:val="FFFFFF"/>
                <w:sz w:val="16"/>
                <w:szCs w:val="16"/>
              </w:rPr>
              <w:t xml:space="preserve">Trigger (Stakeholder Need)</w:t>
            </w:r>
          </w:p>
        </w:tc>
        <w:tc>
          <w:tcPr>
            <w:tcW w:type="dxa" w:w="4493"/>
            <w:shd w:fill="1F3864" w:val="clear"/>
            <w:tcMar>
              <w:top w:type="dxa" w:w="70"/>
              <w:left w:type="dxa" w:w="90"/>
              <w:bottom w:type="dxa" w:w="70"/>
              <w:right w:type="dxa" w:w="90"/>
            </w:tcMar>
            <w:vAlign w:val="top"/>
          </w:tcPr>
          <w:p>
            <w:r>
              <w:rPr>
                <w:b/>
                <w:bCs/>
                <w:color w:val="FFFFFF"/>
                <w:sz w:val="16"/>
                <w:szCs w:val="16"/>
              </w:rPr>
              <w:t xml:space="preserve">Stages</w:t>
            </w:r>
          </w:p>
        </w:tc>
        <w:tc>
          <w:tcPr>
            <w:tcW w:type="dxa" w:w="2808"/>
            <w:shd w:fill="1F3864" w:val="clear"/>
            <w:tcMar>
              <w:top w:type="dxa" w:w="70"/>
              <w:left w:type="dxa" w:w="90"/>
              <w:bottom w:type="dxa" w:w="70"/>
              <w:right w:type="dxa" w:w="90"/>
            </w:tcMar>
            <w:vAlign w:val="top"/>
          </w:tcPr>
          <w:p>
            <w:r>
              <w:rPr>
                <w:b/>
                <w:bCs/>
                <w:color w:val="FFFFFF"/>
                <w:sz w:val="16"/>
                <w:szCs w:val="16"/>
              </w:rPr>
              <w:t xml:space="preserve">Value Delivered</w:t>
            </w:r>
          </w:p>
        </w:tc>
      </w:tr>
      <w:tr>
        <w:tc>
          <w:tcPr>
            <w:tcW w:type="dxa" w:w="3370"/>
            <w:tcMar>
              <w:top w:type="dxa" w:w="70"/>
              <w:left w:type="dxa" w:w="90"/>
              <w:bottom w:type="dxa" w:w="70"/>
              <w:right w:type="dxa" w:w="90"/>
            </w:tcMar>
            <w:vAlign w:val="top"/>
          </w:tcPr>
          <w:p>
            <w:r>
              <w:rPr>
                <w:b/>
                <w:bCs/>
                <w:color w:val="000000"/>
                <w:sz w:val="16"/>
                <w:szCs w:val="16"/>
              </w:rPr>
              <w:t xml:space="preserve">From Field Activity to Approved Work Plan</w:t>
            </w:r>
          </w:p>
        </w:tc>
        <w:tc>
          <w:tcPr>
            <w:tcW w:type="dxa" w:w="3370"/>
            <w:tcMar>
              <w:top w:type="dxa" w:w="70"/>
              <w:left w:type="dxa" w:w="90"/>
              <w:bottom w:type="dxa" w:w="70"/>
              <w:right w:type="dxa" w:w="90"/>
            </w:tcMar>
            <w:vAlign w:val="top"/>
          </w:tcPr>
          <w:p>
            <w:r>
              <w:rPr>
                <w:b w:val="false"/>
                <w:bCs w:val="false"/>
                <w:color w:val="000000"/>
                <w:sz w:val="16"/>
                <w:szCs w:val="16"/>
              </w:rPr>
              <w:t xml:space="preserve">A state team has an activity or plan requiring formal sign-off</w:t>
            </w:r>
          </w:p>
        </w:tc>
        <w:tc>
          <w:tcPr>
            <w:tcW w:type="dxa" w:w="4493"/>
            <w:tcMar>
              <w:top w:type="dxa" w:w="70"/>
              <w:left w:type="dxa" w:w="90"/>
              <w:bottom w:type="dxa" w:w="70"/>
              <w:right w:type="dxa" w:w="90"/>
            </w:tcMar>
            <w:vAlign w:val="top"/>
          </w:tcPr>
          <w:p>
            <w:r>
              <w:rPr>
                <w:b w:val="false"/>
                <w:bCs w:val="false"/>
                <w:color w:val="000000"/>
                <w:sz w:val="16"/>
                <w:szCs w:val="16"/>
              </w:rPr>
              <w:t xml:space="preserve">Draft → Submit → Multi-tier Review → Approve/Reject → Notify → Convert to Tasks</w:t>
            </w:r>
          </w:p>
        </w:tc>
        <w:tc>
          <w:tcPr>
            <w:tcW w:type="dxa" w:w="2808"/>
            <w:tcMar>
              <w:top w:type="dxa" w:w="70"/>
              <w:left w:type="dxa" w:w="90"/>
              <w:bottom w:type="dxa" w:w="70"/>
              <w:right w:type="dxa" w:w="90"/>
            </w:tcMar>
            <w:vAlign w:val="top"/>
          </w:tcPr>
          <w:p>
            <w:r>
              <w:rPr>
                <w:b w:val="false"/>
                <w:bCs w:val="false"/>
                <w:color w:val="000000"/>
                <w:sz w:val="16"/>
                <w:szCs w:val="16"/>
              </w:rPr>
              <w:t xml:space="preserve">An approved, actionable, fully traceable work plan</w:t>
            </w:r>
          </w:p>
        </w:tc>
      </w:tr>
      <w:tr>
        <w:tc>
          <w:tcPr>
            <w:tcW w:type="dxa" w:w="3370"/>
            <w:tcMar>
              <w:top w:type="dxa" w:w="70"/>
              <w:left w:type="dxa" w:w="90"/>
              <w:bottom w:type="dxa" w:w="70"/>
              <w:right w:type="dxa" w:w="90"/>
            </w:tcMar>
            <w:vAlign w:val="top"/>
          </w:tcPr>
          <w:p>
            <w:r>
              <w:rPr>
                <w:b/>
                <w:bCs/>
                <w:color w:val="000000"/>
                <w:sz w:val="16"/>
                <w:szCs w:val="16"/>
              </w:rPr>
              <w:t xml:space="preserve">From Knowledge Creation to Public Access</w:t>
            </w:r>
          </w:p>
        </w:tc>
        <w:tc>
          <w:tcPr>
            <w:tcW w:type="dxa" w:w="3370"/>
            <w:tcMar>
              <w:top w:type="dxa" w:w="70"/>
              <w:left w:type="dxa" w:w="90"/>
              <w:bottom w:type="dxa" w:w="70"/>
              <w:right w:type="dxa" w:w="90"/>
            </w:tcMar>
            <w:vAlign w:val="top"/>
          </w:tcPr>
          <w:p>
            <w:r>
              <w:rPr>
                <w:b w:val="false"/>
                <w:bCs w:val="false"/>
                <w:color w:val="000000"/>
                <w:sz w:val="16"/>
                <w:szCs w:val="16"/>
              </w:rPr>
              <w:t xml:space="preserve">A knowledge product (report, case study, tool) is created</w:t>
            </w:r>
          </w:p>
        </w:tc>
        <w:tc>
          <w:tcPr>
            <w:tcW w:type="dxa" w:w="4493"/>
            <w:tcMar>
              <w:top w:type="dxa" w:w="70"/>
              <w:left w:type="dxa" w:w="90"/>
              <w:bottom w:type="dxa" w:w="70"/>
              <w:right w:type="dxa" w:w="90"/>
            </w:tcMar>
            <w:vAlign w:val="top"/>
          </w:tcPr>
          <w:p>
            <w:r>
              <w:rPr>
                <w:b w:val="false"/>
                <w:bCs w:val="false"/>
                <w:color w:val="000000"/>
                <w:sz w:val="16"/>
                <w:szCs w:val="16"/>
              </w:rPr>
              <w:t xml:space="preserve">Create → Classify → Curate → Publish → Discover → Consume</w:t>
            </w:r>
          </w:p>
        </w:tc>
        <w:tc>
          <w:tcPr>
            <w:tcW w:type="dxa" w:w="2808"/>
            <w:tcMar>
              <w:top w:type="dxa" w:w="70"/>
              <w:left w:type="dxa" w:w="90"/>
              <w:bottom w:type="dxa" w:w="70"/>
              <w:right w:type="dxa" w:w="90"/>
            </w:tcMar>
            <w:vAlign w:val="top"/>
          </w:tcPr>
          <w:p>
            <w:r>
              <w:rPr>
                <w:b w:val="false"/>
                <w:bCs w:val="false"/>
                <w:color w:val="000000"/>
                <w:sz w:val="16"/>
                <w:szCs w:val="16"/>
              </w:rPr>
              <w:t xml:space="preserve">Stakeholders and the public gain trustworthy access to programme learning</w:t>
            </w:r>
          </w:p>
        </w:tc>
      </w:tr>
      <w:tr>
        <w:tc>
          <w:tcPr>
            <w:tcW w:type="dxa" w:w="3370"/>
            <w:tcMar>
              <w:top w:type="dxa" w:w="70"/>
              <w:left w:type="dxa" w:w="90"/>
              <w:bottom w:type="dxa" w:w="70"/>
              <w:right w:type="dxa" w:w="90"/>
            </w:tcMar>
            <w:vAlign w:val="top"/>
          </w:tcPr>
          <w:p>
            <w:r>
              <w:rPr>
                <w:b/>
                <w:bCs/>
                <w:color w:val="000000"/>
                <w:sz w:val="16"/>
                <w:szCs w:val="16"/>
              </w:rPr>
              <w:t xml:space="preserve">From Legacy Document to Trusted Digital Asset</w:t>
            </w:r>
          </w:p>
        </w:tc>
        <w:tc>
          <w:tcPr>
            <w:tcW w:type="dxa" w:w="3370"/>
            <w:tcMar>
              <w:top w:type="dxa" w:w="70"/>
              <w:left w:type="dxa" w:w="90"/>
              <w:bottom w:type="dxa" w:w="70"/>
              <w:right w:type="dxa" w:w="90"/>
            </w:tcMar>
            <w:vAlign w:val="top"/>
          </w:tcPr>
          <w:p>
            <w:r>
              <w:rPr>
                <w:b w:val="false"/>
                <w:bCs w:val="false"/>
                <w:color w:val="000000"/>
                <w:sz w:val="16"/>
                <w:szCs w:val="16"/>
              </w:rPr>
              <w:t xml:space="preserve">Legacy content is identified for migration</w:t>
            </w:r>
          </w:p>
        </w:tc>
        <w:tc>
          <w:tcPr>
            <w:tcW w:type="dxa" w:w="4493"/>
            <w:tcMar>
              <w:top w:type="dxa" w:w="70"/>
              <w:left w:type="dxa" w:w="90"/>
              <w:bottom w:type="dxa" w:w="70"/>
              <w:right w:type="dxa" w:w="90"/>
            </w:tcMar>
            <w:vAlign w:val="top"/>
          </w:tcPr>
          <w:p>
            <w:r>
              <w:rPr>
                <w:b w:val="false"/>
                <w:bCs w:val="false"/>
                <w:color w:val="000000"/>
                <w:sz w:val="16"/>
                <w:szCs w:val="16"/>
              </w:rPr>
              <w:t xml:space="preserve">Audit → Cleanse → Classify → Migrate → Validate → Retire Legacy Copy</w:t>
            </w:r>
          </w:p>
        </w:tc>
        <w:tc>
          <w:tcPr>
            <w:tcW w:type="dxa" w:w="2808"/>
            <w:tcMar>
              <w:top w:type="dxa" w:w="70"/>
              <w:left w:type="dxa" w:w="90"/>
              <w:bottom w:type="dxa" w:w="70"/>
              <w:right w:type="dxa" w:w="90"/>
            </w:tcMar>
            <w:vAlign w:val="top"/>
          </w:tcPr>
          <w:p>
            <w:r>
              <w:rPr>
                <w:b w:val="false"/>
                <w:bCs w:val="false"/>
                <w:color w:val="000000"/>
                <w:sz w:val="16"/>
                <w:szCs w:val="16"/>
              </w:rPr>
              <w:t xml:space="preserve">A reliable, findable digital record replacing fragmented legacy files</w:t>
            </w:r>
          </w:p>
        </w:tc>
      </w:tr>
      <w:tr>
        <w:tc>
          <w:tcPr>
            <w:tcW w:type="dxa" w:w="3370"/>
            <w:tcMar>
              <w:top w:type="dxa" w:w="70"/>
              <w:left w:type="dxa" w:w="90"/>
              <w:bottom w:type="dxa" w:w="70"/>
              <w:right w:type="dxa" w:w="90"/>
            </w:tcMar>
            <w:vAlign w:val="top"/>
          </w:tcPr>
          <w:p>
            <w:r>
              <w:rPr>
                <w:b/>
                <w:bCs/>
                <w:color w:val="000000"/>
                <w:sz w:val="16"/>
                <w:szCs w:val="16"/>
              </w:rPr>
              <w:t xml:space="preserve">From Programme Activity to Donor Assurance</w:t>
            </w:r>
          </w:p>
        </w:tc>
        <w:tc>
          <w:tcPr>
            <w:tcW w:type="dxa" w:w="3370"/>
            <w:tcMar>
              <w:top w:type="dxa" w:w="70"/>
              <w:left w:type="dxa" w:w="90"/>
              <w:bottom w:type="dxa" w:w="70"/>
              <w:right w:type="dxa" w:w="90"/>
            </w:tcMar>
            <w:vAlign w:val="top"/>
          </w:tcPr>
          <w:p>
            <w:r>
              <w:rPr>
                <w:b w:val="false"/>
                <w:bCs w:val="false"/>
                <w:color w:val="000000"/>
                <w:sz w:val="16"/>
                <w:szCs w:val="16"/>
              </w:rPr>
              <w:t xml:space="preserve">A reporting cycle or supervision mission approaches</w:t>
            </w:r>
          </w:p>
        </w:tc>
        <w:tc>
          <w:tcPr>
            <w:tcW w:type="dxa" w:w="4493"/>
            <w:tcMar>
              <w:top w:type="dxa" w:w="70"/>
              <w:left w:type="dxa" w:w="90"/>
              <w:bottom w:type="dxa" w:w="70"/>
              <w:right w:type="dxa" w:w="90"/>
            </w:tcMar>
            <w:vAlign w:val="top"/>
          </w:tcPr>
          <w:p>
            <w:r>
              <w:rPr>
                <w:b w:val="false"/>
                <w:bCs w:val="false"/>
                <w:color w:val="000000"/>
                <w:sz w:val="16"/>
                <w:szCs w:val="16"/>
              </w:rPr>
              <w:t xml:space="preserve">Capture → Aggregate → Generate Dashboard → Compile Report → Submit to Donors</w:t>
            </w:r>
          </w:p>
        </w:tc>
        <w:tc>
          <w:tcPr>
            <w:tcW w:type="dxa" w:w="2808"/>
            <w:tcMar>
              <w:top w:type="dxa" w:w="70"/>
              <w:left w:type="dxa" w:w="90"/>
              <w:bottom w:type="dxa" w:w="70"/>
              <w:right w:type="dxa" w:w="90"/>
            </w:tcMar>
            <w:vAlign w:val="top"/>
          </w:tcPr>
          <w:p>
            <w:r>
              <w:rPr>
                <w:b w:val="false"/>
                <w:bCs w:val="false"/>
                <w:color w:val="000000"/>
                <w:sz w:val="16"/>
                <w:szCs w:val="16"/>
              </w:rPr>
              <w:t xml:space="preserve">Timely, evidence-based fiduciary assurance to AfDB, IFAD, and IsDB</w:t>
            </w:r>
          </w:p>
        </w:tc>
      </w:tr>
    </w:tbl>
    <w:p>
      <w:pPr>
        <w:pStyle w:val="Heading1"/>
        <w:spacing w:after="130" w:before="300"/>
      </w:pPr>
      <w:r>
        <w:t xml:space="preserve">8. Organisation Model</w:t>
      </w:r>
    </w:p>
    <w:p>
      <w:pPr>
        <w:spacing w:after="150" w:line="270"/>
      </w:pPr>
      <w:r>
        <w:t xml:space="preserve">The Organisation Model inventories every organizational entity with a defined role in relation to ESM and CKR, deliberately extending beyond SAPZ's own internal structure to include the co-financing institutions and external stakeholder groups the TOR names, since a Business Architecture that stops at the client's own org chart will miss exactly the tri-institutional and multi-stakeholder dynamics the Procurement Intelligence Report identified as a central, if under-documented, feature of this specific engagement.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650"/>
        <w:gridCol w:w="3089"/>
        <w:gridCol w:w="3650"/>
        <w:gridCol w:w="3650"/>
      </w:tblGrid>
      <w:tr>
        <w:trPr>
          <w:tblHeader/>
        </w:trPr>
        <w:tc>
          <w:tcPr>
            <w:tcW w:type="dxa" w:w="3650"/>
            <w:shd w:fill="0B5345" w:val="clear"/>
            <w:tcMar>
              <w:top w:type="dxa" w:w="70"/>
              <w:left w:type="dxa" w:w="90"/>
              <w:bottom w:type="dxa" w:w="70"/>
              <w:right w:type="dxa" w:w="90"/>
            </w:tcMar>
            <w:vAlign w:val="top"/>
          </w:tcPr>
          <w:p>
            <w:r>
              <w:rPr>
                <w:b/>
                <w:bCs/>
                <w:color w:val="FFFFFF"/>
                <w:sz w:val="16"/>
                <w:szCs w:val="16"/>
              </w:rPr>
              <w:t xml:space="preserve">Entity</w:t>
            </w:r>
          </w:p>
        </w:tc>
        <w:tc>
          <w:tcPr>
            <w:tcW w:type="dxa" w:w="3089"/>
            <w:shd w:fill="0B5345" w:val="clear"/>
            <w:tcMar>
              <w:top w:type="dxa" w:w="70"/>
              <w:left w:type="dxa" w:w="90"/>
              <w:bottom w:type="dxa" w:w="70"/>
              <w:right w:type="dxa" w:w="90"/>
            </w:tcMar>
            <w:vAlign w:val="top"/>
          </w:tcPr>
          <w:p>
            <w:r>
              <w:rPr>
                <w:b/>
                <w:bCs/>
                <w:color w:val="FFFFFF"/>
                <w:sz w:val="16"/>
                <w:szCs w:val="16"/>
              </w:rPr>
              <w:t xml:space="preserve">Type</w:t>
            </w:r>
          </w:p>
        </w:tc>
        <w:tc>
          <w:tcPr>
            <w:tcW w:type="dxa" w:w="3650"/>
            <w:shd w:fill="0B5345" w:val="clear"/>
            <w:tcMar>
              <w:top w:type="dxa" w:w="70"/>
              <w:left w:type="dxa" w:w="90"/>
              <w:bottom w:type="dxa" w:w="70"/>
              <w:right w:type="dxa" w:w="90"/>
            </w:tcMar>
            <w:vAlign w:val="top"/>
          </w:tcPr>
          <w:p>
            <w:r>
              <w:rPr>
                <w:b/>
                <w:bCs/>
                <w:color w:val="FFFFFF"/>
                <w:sz w:val="16"/>
                <w:szCs w:val="16"/>
              </w:rPr>
              <w:t xml:space="preserve">Role</w:t>
            </w:r>
          </w:p>
        </w:tc>
        <w:tc>
          <w:tcPr>
            <w:tcW w:type="dxa" w:w="3650"/>
            <w:shd w:fill="0B5345" w:val="clear"/>
            <w:tcMar>
              <w:top w:type="dxa" w:w="70"/>
              <w:left w:type="dxa" w:w="90"/>
              <w:bottom w:type="dxa" w:w="70"/>
              <w:right w:type="dxa" w:w="90"/>
            </w:tcMar>
            <w:vAlign w:val="top"/>
          </w:tcPr>
          <w:p>
            <w:r>
              <w:rPr>
                <w:b/>
                <w:bCs/>
                <w:color w:val="FFFFFF"/>
                <w:sz w:val="16"/>
                <w:szCs w:val="16"/>
              </w:rPr>
              <w:t xml:space="preserve">Relationship to ESM/CKR</w:t>
            </w:r>
          </w:p>
        </w:tc>
      </w:tr>
      <w:tr>
        <w:tc>
          <w:tcPr>
            <w:tcW w:type="dxa" w:w="3650"/>
            <w:tcMar>
              <w:top w:type="dxa" w:w="70"/>
              <w:left w:type="dxa" w:w="90"/>
              <w:bottom w:type="dxa" w:w="70"/>
              <w:right w:type="dxa" w:w="90"/>
            </w:tcMar>
            <w:vAlign w:val="top"/>
          </w:tcPr>
          <w:p>
            <w:r>
              <w:rPr>
                <w:b/>
                <w:bCs/>
                <w:color w:val="000000"/>
                <w:sz w:val="16"/>
                <w:szCs w:val="16"/>
              </w:rPr>
              <w:t xml:space="preserve">National Programme Coordination Office (NPCO)</w:t>
            </w:r>
          </w:p>
        </w:tc>
        <w:tc>
          <w:tcPr>
            <w:tcW w:type="dxa" w:w="3089"/>
            <w:tcMar>
              <w:top w:type="dxa" w:w="70"/>
              <w:left w:type="dxa" w:w="90"/>
              <w:bottom w:type="dxa" w:w="70"/>
              <w:right w:type="dxa" w:w="90"/>
            </w:tcMar>
            <w:vAlign w:val="top"/>
          </w:tcPr>
          <w:p>
            <w:r>
              <w:rPr>
                <w:b w:val="false"/>
                <w:bCs w:val="false"/>
                <w:color w:val="000000"/>
                <w:sz w:val="16"/>
                <w:szCs w:val="16"/>
              </w:rPr>
              <w:t xml:space="preserve">Federal programme office</w:t>
            </w:r>
          </w:p>
        </w:tc>
        <w:tc>
          <w:tcPr>
            <w:tcW w:type="dxa" w:w="3650"/>
            <w:tcMar>
              <w:top w:type="dxa" w:w="70"/>
              <w:left w:type="dxa" w:w="90"/>
              <w:bottom w:type="dxa" w:w="70"/>
              <w:right w:type="dxa" w:w="90"/>
            </w:tcMar>
            <w:vAlign w:val="top"/>
          </w:tcPr>
          <w:p>
            <w:r>
              <w:rPr>
                <w:b w:val="false"/>
                <w:bCs w:val="false"/>
                <w:color w:val="000000"/>
                <w:sz w:val="16"/>
                <w:szCs w:val="16"/>
              </w:rPr>
              <w:t xml:space="preserve">Programme owner; ultimate business accountability</w:t>
            </w:r>
          </w:p>
        </w:tc>
        <w:tc>
          <w:tcPr>
            <w:tcW w:type="dxa" w:w="3650"/>
            <w:tcMar>
              <w:top w:type="dxa" w:w="70"/>
              <w:left w:type="dxa" w:w="90"/>
              <w:bottom w:type="dxa" w:w="70"/>
              <w:right w:type="dxa" w:w="90"/>
            </w:tcMar>
            <w:vAlign w:val="top"/>
          </w:tcPr>
          <w:p>
            <w:r>
              <w:rPr>
                <w:b w:val="false"/>
                <w:bCs w:val="false"/>
                <w:color w:val="000000"/>
                <w:sz w:val="16"/>
                <w:szCs w:val="16"/>
              </w:rPr>
              <w:t xml:space="preserve">Accountable for both ESM and CKR outcomes</w:t>
            </w:r>
          </w:p>
        </w:tc>
      </w:tr>
      <w:tr>
        <w:tc>
          <w:tcPr>
            <w:tcW w:type="dxa" w:w="3650"/>
            <w:tcMar>
              <w:top w:type="dxa" w:w="70"/>
              <w:left w:type="dxa" w:w="90"/>
              <w:bottom w:type="dxa" w:w="70"/>
              <w:right w:type="dxa" w:w="90"/>
            </w:tcMar>
            <w:vAlign w:val="top"/>
          </w:tcPr>
          <w:p>
            <w:r>
              <w:rPr>
                <w:b/>
                <w:bCs/>
                <w:color w:val="000000"/>
                <w:sz w:val="16"/>
                <w:szCs w:val="16"/>
              </w:rPr>
              <w:t xml:space="preserve">National Programme Coordinator</w:t>
            </w:r>
          </w:p>
        </w:tc>
        <w:tc>
          <w:tcPr>
            <w:tcW w:type="dxa" w:w="3089"/>
            <w:tcMar>
              <w:top w:type="dxa" w:w="70"/>
              <w:left w:type="dxa" w:w="90"/>
              <w:bottom w:type="dxa" w:w="70"/>
              <w:right w:type="dxa" w:w="90"/>
            </w:tcMar>
            <w:vAlign w:val="top"/>
          </w:tcPr>
          <w:p>
            <w:r>
              <w:rPr>
                <w:b w:val="false"/>
                <w:bCs w:val="false"/>
                <w:color w:val="000000"/>
                <w:sz w:val="16"/>
                <w:szCs w:val="16"/>
              </w:rPr>
              <w:t xml:space="preserve">Individual role</w:t>
            </w:r>
          </w:p>
        </w:tc>
        <w:tc>
          <w:tcPr>
            <w:tcW w:type="dxa" w:w="3650"/>
            <w:tcMar>
              <w:top w:type="dxa" w:w="70"/>
              <w:left w:type="dxa" w:w="90"/>
              <w:bottom w:type="dxa" w:w="70"/>
              <w:right w:type="dxa" w:w="90"/>
            </w:tcMar>
            <w:vAlign w:val="top"/>
          </w:tcPr>
          <w:p>
            <w:r>
              <w:rPr>
                <w:b w:val="false"/>
                <w:bCs w:val="false"/>
                <w:color w:val="000000"/>
                <w:sz w:val="16"/>
                <w:szCs w:val="16"/>
              </w:rPr>
              <w:t xml:space="preserve">Final decision authority; primary consultant reporting line</w:t>
            </w:r>
          </w:p>
        </w:tc>
        <w:tc>
          <w:tcPr>
            <w:tcW w:type="dxa" w:w="3650"/>
            <w:tcMar>
              <w:top w:type="dxa" w:w="70"/>
              <w:left w:type="dxa" w:w="90"/>
              <w:bottom w:type="dxa" w:w="70"/>
              <w:right w:type="dxa" w:w="90"/>
            </w:tcMar>
            <w:vAlign w:val="top"/>
          </w:tcPr>
          <w:p>
            <w:r>
              <w:rPr>
                <w:b w:val="false"/>
                <w:bCs w:val="false"/>
                <w:color w:val="000000"/>
                <w:sz w:val="16"/>
                <w:szCs w:val="16"/>
              </w:rPr>
              <w:t xml:space="preserve">Accountable for Steering Committee decisions</w:t>
            </w:r>
          </w:p>
        </w:tc>
      </w:tr>
      <w:tr>
        <w:tc>
          <w:tcPr>
            <w:tcW w:type="dxa" w:w="3650"/>
            <w:tcMar>
              <w:top w:type="dxa" w:w="70"/>
              <w:left w:type="dxa" w:w="90"/>
              <w:bottom w:type="dxa" w:w="70"/>
              <w:right w:type="dxa" w:w="90"/>
            </w:tcMar>
            <w:vAlign w:val="top"/>
          </w:tcPr>
          <w:p>
            <w:r>
              <w:rPr>
                <w:b/>
                <w:bCs/>
                <w:color w:val="000000"/>
                <w:sz w:val="16"/>
                <w:szCs w:val="16"/>
              </w:rPr>
              <w:t xml:space="preserve">KMC (Knowledge Management Consultant/Coordinator)</w:t>
            </w:r>
          </w:p>
        </w:tc>
        <w:tc>
          <w:tcPr>
            <w:tcW w:type="dxa" w:w="3089"/>
            <w:tcMar>
              <w:top w:type="dxa" w:w="70"/>
              <w:left w:type="dxa" w:w="90"/>
              <w:bottom w:type="dxa" w:w="70"/>
              <w:right w:type="dxa" w:w="90"/>
            </w:tcMar>
            <w:vAlign w:val="top"/>
          </w:tcPr>
          <w:p>
            <w:r>
              <w:rPr>
                <w:b w:val="false"/>
                <w:bCs w:val="false"/>
                <w:color w:val="000000"/>
                <w:sz w:val="16"/>
                <w:szCs w:val="16"/>
              </w:rPr>
              <w:t xml:space="preserve">Technical lead counterpart</w:t>
            </w:r>
          </w:p>
        </w:tc>
        <w:tc>
          <w:tcPr>
            <w:tcW w:type="dxa" w:w="3650"/>
            <w:tcMar>
              <w:top w:type="dxa" w:w="70"/>
              <w:left w:type="dxa" w:w="90"/>
              <w:bottom w:type="dxa" w:w="70"/>
              <w:right w:type="dxa" w:w="90"/>
            </w:tcMar>
            <w:vAlign w:val="top"/>
          </w:tcPr>
          <w:p>
            <w:r>
              <w:rPr>
                <w:b w:val="false"/>
                <w:bCs w:val="false"/>
                <w:color w:val="000000"/>
                <w:sz w:val="16"/>
                <w:szCs w:val="16"/>
              </w:rPr>
              <w:t xml:space="preserve">Day-to-day technical co-lead for the assignment</w:t>
            </w:r>
          </w:p>
        </w:tc>
        <w:tc>
          <w:tcPr>
            <w:tcW w:type="dxa" w:w="3650"/>
            <w:tcMar>
              <w:top w:type="dxa" w:w="70"/>
              <w:left w:type="dxa" w:w="90"/>
              <w:bottom w:type="dxa" w:w="70"/>
              <w:right w:type="dxa" w:w="90"/>
            </w:tcMar>
            <w:vAlign w:val="top"/>
          </w:tcPr>
          <w:p>
            <w:r>
              <w:rPr>
                <w:b w:val="false"/>
                <w:bCs w:val="false"/>
                <w:color w:val="000000"/>
                <w:sz w:val="16"/>
                <w:szCs w:val="16"/>
              </w:rPr>
              <w:t xml:space="preserve">Co-owns governance charter and content decisions</w:t>
            </w:r>
          </w:p>
        </w:tc>
      </w:tr>
      <w:tr>
        <w:tc>
          <w:tcPr>
            <w:tcW w:type="dxa" w:w="3650"/>
            <w:tcMar>
              <w:top w:type="dxa" w:w="70"/>
              <w:left w:type="dxa" w:w="90"/>
              <w:bottom w:type="dxa" w:w="70"/>
              <w:right w:type="dxa" w:w="90"/>
            </w:tcMar>
            <w:vAlign w:val="top"/>
          </w:tcPr>
          <w:p>
            <w:r>
              <w:rPr>
                <w:b/>
                <w:bCs/>
                <w:color w:val="000000"/>
                <w:sz w:val="16"/>
                <w:szCs w:val="16"/>
              </w:rPr>
              <w:t xml:space="preserve">Consultant (this engagement)</w:t>
            </w:r>
          </w:p>
        </w:tc>
        <w:tc>
          <w:tcPr>
            <w:tcW w:type="dxa" w:w="3089"/>
            <w:tcMar>
              <w:top w:type="dxa" w:w="70"/>
              <w:left w:type="dxa" w:w="90"/>
              <w:bottom w:type="dxa" w:w="70"/>
              <w:right w:type="dxa" w:w="90"/>
            </w:tcMar>
            <w:vAlign w:val="top"/>
          </w:tcPr>
          <w:p>
            <w:r>
              <w:rPr>
                <w:b w:val="false"/>
                <w:bCs w:val="false"/>
                <w:color w:val="000000"/>
                <w:sz w:val="16"/>
                <w:szCs w:val="16"/>
              </w:rPr>
              <w:t xml:space="preserve">External individual</w:t>
            </w:r>
          </w:p>
        </w:tc>
        <w:tc>
          <w:tcPr>
            <w:tcW w:type="dxa" w:w="3650"/>
            <w:tcMar>
              <w:top w:type="dxa" w:w="70"/>
              <w:left w:type="dxa" w:w="90"/>
              <w:bottom w:type="dxa" w:w="70"/>
              <w:right w:type="dxa" w:w="90"/>
            </w:tcMar>
            <w:vAlign w:val="top"/>
          </w:tcPr>
          <w:p>
            <w:r>
              <w:rPr>
                <w:b w:val="false"/>
                <w:bCs w:val="false"/>
                <w:color w:val="000000"/>
                <w:sz w:val="16"/>
                <w:szCs w:val="16"/>
              </w:rPr>
              <w:t xml:space="preserve">Responsible for design, build, and deployment of ESM/CKR</w:t>
            </w:r>
          </w:p>
        </w:tc>
        <w:tc>
          <w:tcPr>
            <w:tcW w:type="dxa" w:w="3650"/>
            <w:tcMar>
              <w:top w:type="dxa" w:w="70"/>
              <w:left w:type="dxa" w:w="90"/>
              <w:bottom w:type="dxa" w:w="70"/>
              <w:right w:type="dxa" w:w="90"/>
            </w:tcMar>
            <w:vAlign w:val="top"/>
          </w:tcPr>
          <w:p>
            <w:r>
              <w:rPr>
                <w:b w:val="false"/>
                <w:bCs w:val="false"/>
                <w:color w:val="000000"/>
                <w:sz w:val="16"/>
                <w:szCs w:val="16"/>
              </w:rPr>
              <w:t xml:space="preserve">Responsible party across all delivery processes</w:t>
            </w:r>
          </w:p>
        </w:tc>
      </w:tr>
      <w:tr>
        <w:tc>
          <w:tcPr>
            <w:tcW w:type="dxa" w:w="3650"/>
            <w:tcMar>
              <w:top w:type="dxa" w:w="70"/>
              <w:left w:type="dxa" w:w="90"/>
              <w:bottom w:type="dxa" w:w="70"/>
              <w:right w:type="dxa" w:w="90"/>
            </w:tcMar>
            <w:vAlign w:val="top"/>
          </w:tcPr>
          <w:p>
            <w:r>
              <w:rPr>
                <w:b/>
                <w:bCs/>
                <w:color w:val="000000"/>
                <w:sz w:val="16"/>
                <w:szCs w:val="16"/>
              </w:rPr>
              <w:t xml:space="preserve">KM &amp; ICT Units</w:t>
            </w:r>
          </w:p>
        </w:tc>
        <w:tc>
          <w:tcPr>
            <w:tcW w:type="dxa" w:w="3089"/>
            <w:tcMar>
              <w:top w:type="dxa" w:w="70"/>
              <w:left w:type="dxa" w:w="90"/>
              <w:bottom w:type="dxa" w:w="70"/>
              <w:right w:type="dxa" w:w="90"/>
            </w:tcMar>
            <w:vAlign w:val="top"/>
          </w:tcPr>
          <w:p>
            <w:r>
              <w:rPr>
                <w:b w:val="false"/>
                <w:bCs w:val="false"/>
                <w:color w:val="000000"/>
                <w:sz w:val="16"/>
                <w:szCs w:val="16"/>
              </w:rPr>
              <w:t xml:space="preserve">Internal SAPZ units</w:t>
            </w:r>
          </w:p>
        </w:tc>
        <w:tc>
          <w:tcPr>
            <w:tcW w:type="dxa" w:w="3650"/>
            <w:tcMar>
              <w:top w:type="dxa" w:w="70"/>
              <w:left w:type="dxa" w:w="90"/>
              <w:bottom w:type="dxa" w:w="70"/>
              <w:right w:type="dxa" w:w="90"/>
            </w:tcMar>
            <w:vAlign w:val="top"/>
          </w:tcPr>
          <w:p>
            <w:r>
              <w:rPr>
                <w:b w:val="false"/>
                <w:bCs w:val="false"/>
                <w:color w:val="000000"/>
                <w:sz w:val="16"/>
                <w:szCs w:val="16"/>
              </w:rPr>
              <w:t xml:space="preserve">Operational owner of systems post-handover</w:t>
            </w:r>
          </w:p>
        </w:tc>
        <w:tc>
          <w:tcPr>
            <w:tcW w:type="dxa" w:w="3650"/>
            <w:tcMar>
              <w:top w:type="dxa" w:w="70"/>
              <w:left w:type="dxa" w:w="90"/>
              <w:bottom w:type="dxa" w:w="70"/>
              <w:right w:type="dxa" w:w="90"/>
            </w:tcMar>
            <w:vAlign w:val="top"/>
          </w:tcPr>
          <w:p>
            <w:r>
              <w:rPr>
                <w:b w:val="false"/>
                <w:bCs w:val="false"/>
                <w:color w:val="000000"/>
                <w:sz w:val="16"/>
                <w:szCs w:val="16"/>
              </w:rPr>
              <w:t xml:space="preserve">Consulted during build; Accountable after handover</w:t>
            </w:r>
          </w:p>
        </w:tc>
      </w:tr>
      <w:tr>
        <w:tc>
          <w:tcPr>
            <w:tcW w:type="dxa" w:w="3650"/>
            <w:tcMar>
              <w:top w:type="dxa" w:w="70"/>
              <w:left w:type="dxa" w:w="90"/>
              <w:bottom w:type="dxa" w:w="70"/>
              <w:right w:type="dxa" w:w="90"/>
            </w:tcMar>
            <w:vAlign w:val="top"/>
          </w:tcPr>
          <w:p>
            <w:r>
              <w:rPr>
                <w:b/>
                <w:bCs/>
                <w:color w:val="000000"/>
                <w:sz w:val="16"/>
                <w:szCs w:val="16"/>
              </w:rPr>
              <w:t xml:space="preserve">Seven State Implementation Teams + FCT</w:t>
            </w:r>
          </w:p>
        </w:tc>
        <w:tc>
          <w:tcPr>
            <w:tcW w:type="dxa" w:w="3089"/>
            <w:tcMar>
              <w:top w:type="dxa" w:w="70"/>
              <w:left w:type="dxa" w:w="90"/>
              <w:bottom w:type="dxa" w:w="70"/>
              <w:right w:type="dxa" w:w="90"/>
            </w:tcMar>
            <w:vAlign w:val="top"/>
          </w:tcPr>
          <w:p>
            <w:r>
              <w:rPr>
                <w:b w:val="false"/>
                <w:bCs w:val="false"/>
                <w:color w:val="000000"/>
                <w:sz w:val="16"/>
                <w:szCs w:val="16"/>
              </w:rPr>
              <w:t xml:space="preserve">Sub-national government units</w:t>
            </w:r>
          </w:p>
        </w:tc>
        <w:tc>
          <w:tcPr>
            <w:tcW w:type="dxa" w:w="3650"/>
            <w:tcMar>
              <w:top w:type="dxa" w:w="70"/>
              <w:left w:type="dxa" w:w="90"/>
              <w:bottom w:type="dxa" w:w="70"/>
              <w:right w:type="dxa" w:w="90"/>
            </w:tcMar>
            <w:vAlign w:val="top"/>
          </w:tcPr>
          <w:p>
            <w:r>
              <w:rPr>
                <w:b w:val="false"/>
                <w:bCs w:val="false"/>
                <w:color w:val="000000"/>
                <w:sz w:val="16"/>
                <w:szCs w:val="16"/>
              </w:rPr>
              <w:t xml:space="preserve">Primary system users; local content owners</w:t>
            </w:r>
          </w:p>
        </w:tc>
        <w:tc>
          <w:tcPr>
            <w:tcW w:type="dxa" w:w="3650"/>
            <w:tcMar>
              <w:top w:type="dxa" w:w="70"/>
              <w:left w:type="dxa" w:w="90"/>
              <w:bottom w:type="dxa" w:w="70"/>
              <w:right w:type="dxa" w:w="90"/>
            </w:tcMar>
            <w:vAlign w:val="top"/>
          </w:tcPr>
          <w:p>
            <w:r>
              <w:rPr>
                <w:b w:val="false"/>
                <w:bCs w:val="false"/>
                <w:color w:val="000000"/>
                <w:sz w:val="16"/>
                <w:szCs w:val="16"/>
              </w:rPr>
              <w:t xml:space="preserve">Consulted/Informed; execute locally within shared standards</w:t>
            </w:r>
          </w:p>
        </w:tc>
      </w:tr>
      <w:tr>
        <w:tc>
          <w:tcPr>
            <w:tcW w:type="dxa" w:w="3650"/>
            <w:tcMar>
              <w:top w:type="dxa" w:w="70"/>
              <w:left w:type="dxa" w:w="90"/>
              <w:bottom w:type="dxa" w:w="70"/>
              <w:right w:type="dxa" w:w="90"/>
            </w:tcMar>
            <w:vAlign w:val="top"/>
          </w:tcPr>
          <w:p>
            <w:r>
              <w:rPr>
                <w:b/>
                <w:bCs/>
                <w:color w:val="000000"/>
                <w:sz w:val="16"/>
                <w:szCs w:val="16"/>
              </w:rPr>
              <w:t xml:space="preserve">Federal Ministry of Agriculture and Food Security</w:t>
            </w:r>
          </w:p>
        </w:tc>
        <w:tc>
          <w:tcPr>
            <w:tcW w:type="dxa" w:w="3089"/>
            <w:tcMar>
              <w:top w:type="dxa" w:w="70"/>
              <w:left w:type="dxa" w:w="90"/>
              <w:bottom w:type="dxa" w:w="70"/>
              <w:right w:type="dxa" w:w="90"/>
            </w:tcMar>
            <w:vAlign w:val="top"/>
          </w:tcPr>
          <w:p>
            <w:r>
              <w:rPr>
                <w:b w:val="false"/>
                <w:bCs w:val="false"/>
                <w:color w:val="000000"/>
                <w:sz w:val="16"/>
                <w:szCs w:val="16"/>
              </w:rPr>
              <w:t xml:space="preserve">Parent ministry</w:t>
            </w:r>
          </w:p>
        </w:tc>
        <w:tc>
          <w:tcPr>
            <w:tcW w:type="dxa" w:w="3650"/>
            <w:tcMar>
              <w:top w:type="dxa" w:w="70"/>
              <w:left w:type="dxa" w:w="90"/>
              <w:bottom w:type="dxa" w:w="70"/>
              <w:right w:type="dxa" w:w="90"/>
            </w:tcMar>
            <w:vAlign w:val="top"/>
          </w:tcPr>
          <w:p>
            <w:r>
              <w:rPr>
                <w:b w:val="false"/>
                <w:bCs w:val="false"/>
                <w:color w:val="000000"/>
                <w:sz w:val="16"/>
                <w:szCs w:val="16"/>
              </w:rPr>
              <w:t xml:space="preserve">Institutional home of NPCO</w:t>
            </w:r>
          </w:p>
        </w:tc>
        <w:tc>
          <w:tcPr>
            <w:tcW w:type="dxa" w:w="3650"/>
            <w:tcMar>
              <w:top w:type="dxa" w:w="70"/>
              <w:left w:type="dxa" w:w="90"/>
              <w:bottom w:type="dxa" w:w="70"/>
              <w:right w:type="dxa" w:w="90"/>
            </w:tcMar>
            <w:vAlign w:val="top"/>
          </w:tcPr>
          <w:p>
            <w:r>
              <w:rPr>
                <w:b w:val="false"/>
                <w:bCs w:val="false"/>
                <w:color w:val="000000"/>
                <w:sz w:val="16"/>
                <w:szCs w:val="16"/>
              </w:rPr>
              <w:t xml:space="preserve">Informed; ultimate government accountability</w:t>
            </w:r>
          </w:p>
        </w:tc>
      </w:tr>
      <w:tr>
        <w:tc>
          <w:tcPr>
            <w:tcW w:type="dxa" w:w="3650"/>
            <w:tcMar>
              <w:top w:type="dxa" w:w="70"/>
              <w:left w:type="dxa" w:w="90"/>
              <w:bottom w:type="dxa" w:w="70"/>
              <w:right w:type="dxa" w:w="90"/>
            </w:tcMar>
            <w:vAlign w:val="top"/>
          </w:tcPr>
          <w:p>
            <w:r>
              <w:rPr>
                <w:b/>
                <w:bCs/>
                <w:color w:val="000000"/>
                <w:sz w:val="16"/>
                <w:szCs w:val="16"/>
              </w:rPr>
              <w:t xml:space="preserve">AfDB / IFAD / IsDB</w:t>
            </w:r>
          </w:p>
        </w:tc>
        <w:tc>
          <w:tcPr>
            <w:tcW w:type="dxa" w:w="3089"/>
            <w:tcMar>
              <w:top w:type="dxa" w:w="70"/>
              <w:left w:type="dxa" w:w="90"/>
              <w:bottom w:type="dxa" w:w="70"/>
              <w:right w:type="dxa" w:w="90"/>
            </w:tcMar>
            <w:vAlign w:val="top"/>
          </w:tcPr>
          <w:p>
            <w:r>
              <w:rPr>
                <w:b w:val="false"/>
                <w:bCs w:val="false"/>
                <w:color w:val="000000"/>
                <w:sz w:val="16"/>
                <w:szCs w:val="16"/>
              </w:rPr>
              <w:t xml:space="preserve">Co-financing institutions</w:t>
            </w:r>
          </w:p>
        </w:tc>
        <w:tc>
          <w:tcPr>
            <w:tcW w:type="dxa" w:w="3650"/>
            <w:tcMar>
              <w:top w:type="dxa" w:w="70"/>
              <w:left w:type="dxa" w:w="90"/>
              <w:bottom w:type="dxa" w:w="70"/>
              <w:right w:type="dxa" w:w="90"/>
            </w:tcMar>
            <w:vAlign w:val="top"/>
          </w:tcPr>
          <w:p>
            <w:r>
              <w:rPr>
                <w:b w:val="false"/>
                <w:bCs w:val="false"/>
                <w:color w:val="000000"/>
                <w:sz w:val="16"/>
                <w:szCs w:val="16"/>
              </w:rPr>
              <w:t xml:space="preserve">Fiduciary oversight, supervision missions, financing approval</w:t>
            </w:r>
          </w:p>
        </w:tc>
        <w:tc>
          <w:tcPr>
            <w:tcW w:type="dxa" w:w="3650"/>
            <w:tcMar>
              <w:top w:type="dxa" w:w="70"/>
              <w:left w:type="dxa" w:w="90"/>
              <w:bottom w:type="dxa" w:w="70"/>
              <w:right w:type="dxa" w:w="90"/>
            </w:tcMar>
            <w:vAlign w:val="top"/>
          </w:tcPr>
          <w:p>
            <w:r>
              <w:rPr>
                <w:b w:val="false"/>
                <w:bCs w:val="false"/>
                <w:color w:val="000000"/>
                <w:sz w:val="16"/>
                <w:szCs w:val="16"/>
              </w:rPr>
              <w:t xml:space="preserve">Informed on operations; Accountable for financing decisions</w:t>
            </w:r>
          </w:p>
        </w:tc>
      </w:tr>
      <w:tr>
        <w:tc>
          <w:tcPr>
            <w:tcW w:type="dxa" w:w="3650"/>
            <w:tcMar>
              <w:top w:type="dxa" w:w="70"/>
              <w:left w:type="dxa" w:w="90"/>
              <w:bottom w:type="dxa" w:w="70"/>
              <w:right w:type="dxa" w:w="90"/>
            </w:tcMar>
            <w:vAlign w:val="top"/>
          </w:tcPr>
          <w:p>
            <w:r>
              <w:rPr>
                <w:b/>
                <w:bCs/>
                <w:color w:val="000000"/>
                <w:sz w:val="16"/>
                <w:szCs w:val="16"/>
              </w:rPr>
              <w:t xml:space="preserve">Private Sector Actors &amp; Community Organizations</w:t>
            </w:r>
          </w:p>
        </w:tc>
        <w:tc>
          <w:tcPr>
            <w:tcW w:type="dxa" w:w="3089"/>
            <w:tcMar>
              <w:top w:type="dxa" w:w="70"/>
              <w:left w:type="dxa" w:w="90"/>
              <w:bottom w:type="dxa" w:w="70"/>
              <w:right w:type="dxa" w:w="90"/>
            </w:tcMar>
            <w:vAlign w:val="top"/>
          </w:tcPr>
          <w:p>
            <w:r>
              <w:rPr>
                <w:b w:val="false"/>
                <w:bCs w:val="false"/>
                <w:color w:val="000000"/>
                <w:sz w:val="16"/>
                <w:szCs w:val="16"/>
              </w:rPr>
              <w:t xml:space="preserve">External stakeholders</w:t>
            </w:r>
          </w:p>
        </w:tc>
        <w:tc>
          <w:tcPr>
            <w:tcW w:type="dxa" w:w="3650"/>
            <w:tcMar>
              <w:top w:type="dxa" w:w="70"/>
              <w:left w:type="dxa" w:w="90"/>
              <w:bottom w:type="dxa" w:w="70"/>
              <w:right w:type="dxa" w:w="90"/>
            </w:tcMar>
            <w:vAlign w:val="top"/>
          </w:tcPr>
          <w:p>
            <w:r>
              <w:rPr>
                <w:b w:val="false"/>
                <w:bCs w:val="false"/>
                <w:color w:val="000000"/>
                <w:sz w:val="16"/>
                <w:szCs w:val="16"/>
              </w:rPr>
              <w:t xml:space="preserve">Beneficiaries and contributors to knowledge-sharing objectives</w:t>
            </w:r>
          </w:p>
        </w:tc>
        <w:tc>
          <w:tcPr>
            <w:tcW w:type="dxa" w:w="3650"/>
            <w:tcMar>
              <w:top w:type="dxa" w:w="70"/>
              <w:left w:type="dxa" w:w="90"/>
              <w:bottom w:type="dxa" w:w="70"/>
              <w:right w:type="dxa" w:w="90"/>
            </w:tcMar>
            <w:vAlign w:val="top"/>
          </w:tcPr>
          <w:p>
            <w:r>
              <w:rPr>
                <w:b w:val="false"/>
                <w:bCs w:val="false"/>
                <w:color w:val="000000"/>
                <w:sz w:val="16"/>
                <w:szCs w:val="16"/>
              </w:rPr>
              <w:t xml:space="preserve">Informed; served primarily through CKR</w:t>
            </w:r>
          </w:p>
        </w:tc>
      </w:tr>
      <w:tr>
        <w:tc>
          <w:tcPr>
            <w:tcW w:type="dxa" w:w="3650"/>
            <w:tcMar>
              <w:top w:type="dxa" w:w="70"/>
              <w:left w:type="dxa" w:w="90"/>
              <w:bottom w:type="dxa" w:w="70"/>
              <w:right w:type="dxa" w:w="90"/>
            </w:tcMar>
            <w:vAlign w:val="top"/>
          </w:tcPr>
          <w:p>
            <w:r>
              <w:rPr>
                <w:b/>
                <w:bCs/>
                <w:color w:val="000000"/>
                <w:sz w:val="16"/>
                <w:szCs w:val="16"/>
              </w:rPr>
              <w:t xml:space="preserve">General Public</w:t>
            </w:r>
          </w:p>
        </w:tc>
        <w:tc>
          <w:tcPr>
            <w:tcW w:type="dxa" w:w="3089"/>
            <w:tcMar>
              <w:top w:type="dxa" w:w="70"/>
              <w:left w:type="dxa" w:w="90"/>
              <w:bottom w:type="dxa" w:w="70"/>
              <w:right w:type="dxa" w:w="90"/>
            </w:tcMar>
            <w:vAlign w:val="top"/>
          </w:tcPr>
          <w:p>
            <w:r>
              <w:rPr>
                <w:b w:val="false"/>
                <w:bCs w:val="false"/>
                <w:color w:val="000000"/>
                <w:sz w:val="16"/>
                <w:szCs w:val="16"/>
              </w:rPr>
              <w:t xml:space="preserve">External</w:t>
            </w:r>
          </w:p>
        </w:tc>
        <w:tc>
          <w:tcPr>
            <w:tcW w:type="dxa" w:w="3650"/>
            <w:tcMar>
              <w:top w:type="dxa" w:w="70"/>
              <w:left w:type="dxa" w:w="90"/>
              <w:bottom w:type="dxa" w:w="70"/>
              <w:right w:type="dxa" w:w="90"/>
            </w:tcMar>
            <w:vAlign w:val="top"/>
          </w:tcPr>
          <w:p>
            <w:r>
              <w:rPr>
                <w:b w:val="false"/>
                <w:bCs w:val="false"/>
                <w:color w:val="000000"/>
                <w:sz w:val="16"/>
                <w:szCs w:val="16"/>
              </w:rPr>
              <w:t xml:space="preserve">Ultimate beneficiary of transparency and knowledge-sharing objectives</w:t>
            </w:r>
          </w:p>
        </w:tc>
        <w:tc>
          <w:tcPr>
            <w:tcW w:type="dxa" w:w="3650"/>
            <w:tcMar>
              <w:top w:type="dxa" w:w="70"/>
              <w:left w:type="dxa" w:w="90"/>
              <w:bottom w:type="dxa" w:w="70"/>
              <w:right w:type="dxa" w:w="90"/>
            </w:tcMar>
            <w:vAlign w:val="top"/>
          </w:tcPr>
          <w:p>
            <w:r>
              <w:rPr>
                <w:b w:val="false"/>
                <w:bCs w:val="false"/>
                <w:color w:val="000000"/>
                <w:sz w:val="16"/>
                <w:szCs w:val="16"/>
              </w:rPr>
              <w:t xml:space="preserve">Served through CKR's public-facing services</w:t>
            </w:r>
          </w:p>
        </w:tc>
      </w:tr>
    </w:tbl>
    <w:p>
      <w:pPr>
        <w:pStyle w:val="Heading1"/>
        <w:spacing w:after="130" w:before="300"/>
      </w:pPr>
      <w:r>
        <w:t xml:space="preserve">9. Operating Model</w:t>
      </w:r>
    </w:p>
    <w:p>
      <w:pPr>
        <w:spacing w:after="150" w:line="270"/>
      </w:pPr>
      <w:r>
        <w:t xml:space="preserve">The Operating Model applies the widely used Ross, Weill, and Robertson framework, which classifies an enterprise's operating model along two dimensions — business process standardization and business process integration — into four archetypes: Diversification (low standardization, low integration), Replication (high standardization, low integration), Coordination (low standardization, high integration), and Unification (high standardization, high integration). Applying this framework explicitly, rather than leaving the operating model implicit, clarifies a design tension this blueprint's Part 1 'One Programme, Differentiated Delivery' principle only partially resolves on its own.</w:t>
      </w:r>
    </w:p>
    <w:p>
      <w:pPr>
        <w:spacing w:after="150" w:line="270"/>
      </w:pPr>
      <w:r>
        <w:t xml:space="preserve">SAPZ's target operating model for ESM and CKR is best described as a hybrid, and naming it as a hybrid explicitly is more honest and more useful than forcing it into a single archetype: the shared data, taxonomy, and governance layer established in Part 1 (single source of truth, one Data &amp; Content Governance Charter) is deliberately Unification-oriented — high standardization and high integration — because fragmentation, the TOR's own named root problem, is precisely what happens when a shared information layer is standardized without being integrated, or integrated without being standardized. At the same time, day-to-day process execution within each of the seven states plus the FCT retains meaningful local autonomy in pace and operational detail, which is a Coordination characteristic (high integration, lower standardization at the point of execution) — consistent with the current-state reality, already established in Part 1, that NPCO has limited direct authority to compel uniform state-level administrative behavior. Designing for a single archetype in either direction would misrepresent SAPZ's actual federal structure; designing explicitly for this hybrid, with the boundary between the standardized shared layer and the locally flexible execution layer stated clearly, is the more defensible architectural choice.</w:t>
      </w:r>
    </w:p>
    <w:p>
      <w:pPr>
        <w:pStyle w:val="Heading1"/>
        <w:spacing w:after="130" w:before="300"/>
      </w:pPr>
      <w:r>
        <w:t xml:space="preserve">10. Decision Model</w:t>
      </w:r>
    </w:p>
    <w:p>
      <w:pPr>
        <w:spacing w:after="150" w:line="270"/>
      </w:pPr>
      <w:r>
        <w:t xml:space="preserve">The Decision Model specifies who holds the authority to make each class of recurring decision this programme's governance will actually face, extending the RACI-based delivery responsibility model already established in the Procurement Intelligence Report's Master document from the delivery phase into ongoing operation. Its purpose is to close, at the Business Architecture level, the same decision-rights ambiguity the Master document flagged as a TOR silence — specifically, who is accountable for content and taxonomy decisions once the twelve-week engagement ends and the consultant is no longer present to make them by default.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650"/>
        <w:gridCol w:w="3089"/>
        <w:gridCol w:w="3650"/>
        <w:gridCol w:w="3650"/>
      </w:tblGrid>
      <w:tr>
        <w:trPr>
          <w:tblHeader/>
        </w:trPr>
        <w:tc>
          <w:tcPr>
            <w:tcW w:type="dxa" w:w="3650"/>
            <w:shd w:fill="1B4F72" w:val="clear"/>
            <w:tcMar>
              <w:top w:type="dxa" w:w="70"/>
              <w:left w:type="dxa" w:w="90"/>
              <w:bottom w:type="dxa" w:w="70"/>
              <w:right w:type="dxa" w:w="90"/>
            </w:tcMar>
            <w:vAlign w:val="top"/>
          </w:tcPr>
          <w:p>
            <w:r>
              <w:rPr>
                <w:b/>
                <w:bCs/>
                <w:color w:val="FFFFFF"/>
                <w:sz w:val="16"/>
                <w:szCs w:val="16"/>
              </w:rPr>
              <w:t xml:space="preserve">Decision Type</w:t>
            </w:r>
          </w:p>
        </w:tc>
        <w:tc>
          <w:tcPr>
            <w:tcW w:type="dxa" w:w="3089"/>
            <w:shd w:fill="1B4F72" w:val="clear"/>
            <w:tcMar>
              <w:top w:type="dxa" w:w="70"/>
              <w:left w:type="dxa" w:w="90"/>
              <w:bottom w:type="dxa" w:w="70"/>
              <w:right w:type="dxa" w:w="90"/>
            </w:tcMar>
            <w:vAlign w:val="top"/>
          </w:tcPr>
          <w:p>
            <w:r>
              <w:rPr>
                <w:b/>
                <w:bCs/>
                <w:color w:val="FFFFFF"/>
                <w:sz w:val="16"/>
                <w:szCs w:val="16"/>
              </w:rPr>
              <w:t xml:space="preserve">Owner</w:t>
            </w:r>
          </w:p>
        </w:tc>
        <w:tc>
          <w:tcPr>
            <w:tcW w:type="dxa" w:w="3650"/>
            <w:shd w:fill="1B4F72" w:val="clear"/>
            <w:tcMar>
              <w:top w:type="dxa" w:w="70"/>
              <w:left w:type="dxa" w:w="90"/>
              <w:bottom w:type="dxa" w:w="70"/>
              <w:right w:type="dxa" w:w="90"/>
            </w:tcMar>
            <w:vAlign w:val="top"/>
          </w:tcPr>
          <w:p>
            <w:r>
              <w:rPr>
                <w:b/>
                <w:bCs/>
                <w:color w:val="FFFFFF"/>
                <w:sz w:val="16"/>
                <w:szCs w:val="16"/>
              </w:rPr>
              <w:t xml:space="preserve">Inputs Required</w:t>
            </w:r>
          </w:p>
        </w:tc>
        <w:tc>
          <w:tcPr>
            <w:tcW w:type="dxa" w:w="3650"/>
            <w:shd w:fill="1B4F72" w:val="clear"/>
            <w:tcMar>
              <w:top w:type="dxa" w:w="70"/>
              <w:left w:type="dxa" w:w="90"/>
              <w:bottom w:type="dxa" w:w="70"/>
              <w:right w:type="dxa" w:w="90"/>
            </w:tcMar>
            <w:vAlign w:val="top"/>
          </w:tcPr>
          <w:p>
            <w:r>
              <w:rPr>
                <w:b/>
                <w:bCs/>
                <w:color w:val="FFFFFF"/>
                <w:sz w:val="16"/>
                <w:szCs w:val="16"/>
              </w:rPr>
              <w:t xml:space="preserve">Escalation Path</w:t>
            </w:r>
          </w:p>
        </w:tc>
      </w:tr>
      <w:tr>
        <w:tc>
          <w:tcPr>
            <w:tcW w:type="dxa" w:w="3650"/>
            <w:tcMar>
              <w:top w:type="dxa" w:w="70"/>
              <w:left w:type="dxa" w:w="90"/>
              <w:bottom w:type="dxa" w:w="70"/>
              <w:right w:type="dxa" w:w="90"/>
            </w:tcMar>
            <w:vAlign w:val="top"/>
          </w:tcPr>
          <w:p>
            <w:r>
              <w:rPr>
                <w:b/>
                <w:bCs/>
                <w:color w:val="000000"/>
                <w:sz w:val="16"/>
                <w:szCs w:val="16"/>
              </w:rPr>
              <w:t xml:space="preserve">Taxonomy/metadata schema changes</w:t>
            </w:r>
          </w:p>
        </w:tc>
        <w:tc>
          <w:tcPr>
            <w:tcW w:type="dxa" w:w="3089"/>
            <w:tcMar>
              <w:top w:type="dxa" w:w="70"/>
              <w:left w:type="dxa" w:w="90"/>
              <w:bottom w:type="dxa" w:w="70"/>
              <w:right w:type="dxa" w:w="90"/>
            </w:tcMar>
            <w:vAlign w:val="top"/>
          </w:tcPr>
          <w:p>
            <w:r>
              <w:rPr>
                <w:b w:val="false"/>
                <w:bCs w:val="false"/>
                <w:color w:val="000000"/>
                <w:sz w:val="16"/>
                <w:szCs w:val="16"/>
              </w:rPr>
              <w:t xml:space="preserve">Data &amp; Content Governance Board</w:t>
            </w:r>
          </w:p>
        </w:tc>
        <w:tc>
          <w:tcPr>
            <w:tcW w:type="dxa" w:w="3650"/>
            <w:tcMar>
              <w:top w:type="dxa" w:w="70"/>
              <w:left w:type="dxa" w:w="90"/>
              <w:bottom w:type="dxa" w:w="70"/>
              <w:right w:type="dxa" w:w="90"/>
            </w:tcMar>
            <w:vAlign w:val="top"/>
          </w:tcPr>
          <w:p>
            <w:r>
              <w:rPr>
                <w:b w:val="false"/>
                <w:bCs w:val="false"/>
                <w:color w:val="000000"/>
                <w:sz w:val="16"/>
                <w:szCs w:val="16"/>
              </w:rPr>
              <w:t xml:space="preserve">KM/ICT Units, state focal points, consultant</w:t>
            </w:r>
          </w:p>
        </w:tc>
        <w:tc>
          <w:tcPr>
            <w:tcW w:type="dxa" w:w="3650"/>
            <w:tcMar>
              <w:top w:type="dxa" w:w="70"/>
              <w:left w:type="dxa" w:w="90"/>
              <w:bottom w:type="dxa" w:w="70"/>
              <w:right w:type="dxa" w:w="90"/>
            </w:tcMar>
            <w:vAlign w:val="top"/>
          </w:tcPr>
          <w:p>
            <w:r>
              <w:rPr>
                <w:b w:val="false"/>
                <w:bCs w:val="false"/>
                <w:color w:val="000000"/>
                <w:sz w:val="16"/>
                <w:szCs w:val="16"/>
              </w:rPr>
              <w:t xml:space="preserve">National Programme Coordinator</w:t>
            </w:r>
          </w:p>
        </w:tc>
      </w:tr>
      <w:tr>
        <w:tc>
          <w:tcPr>
            <w:tcW w:type="dxa" w:w="3650"/>
            <w:tcMar>
              <w:top w:type="dxa" w:w="70"/>
              <w:left w:type="dxa" w:w="90"/>
              <w:bottom w:type="dxa" w:w="70"/>
              <w:right w:type="dxa" w:w="90"/>
            </w:tcMar>
            <w:vAlign w:val="top"/>
          </w:tcPr>
          <w:p>
            <w:r>
              <w:rPr>
                <w:b/>
                <w:bCs/>
                <w:color w:val="000000"/>
                <w:sz w:val="16"/>
                <w:szCs w:val="16"/>
              </w:rPr>
              <w:t xml:space="preserve">Content classification disputes (public vs. restricted)</w:t>
            </w:r>
          </w:p>
        </w:tc>
        <w:tc>
          <w:tcPr>
            <w:tcW w:type="dxa" w:w="3089"/>
            <w:tcMar>
              <w:top w:type="dxa" w:w="70"/>
              <w:left w:type="dxa" w:w="90"/>
              <w:bottom w:type="dxa" w:w="70"/>
              <w:right w:type="dxa" w:w="90"/>
            </w:tcMar>
            <w:vAlign w:val="top"/>
          </w:tcPr>
          <w:p>
            <w:r>
              <w:rPr>
                <w:b w:val="false"/>
                <w:bCs w:val="false"/>
                <w:color w:val="000000"/>
                <w:sz w:val="16"/>
                <w:szCs w:val="16"/>
              </w:rPr>
              <w:t xml:space="preserve">Named Data Steward</w:t>
            </w:r>
          </w:p>
        </w:tc>
        <w:tc>
          <w:tcPr>
            <w:tcW w:type="dxa" w:w="3650"/>
            <w:tcMar>
              <w:top w:type="dxa" w:w="70"/>
              <w:left w:type="dxa" w:w="90"/>
              <w:bottom w:type="dxa" w:w="70"/>
              <w:right w:type="dxa" w:w="90"/>
            </w:tcMar>
            <w:vAlign w:val="top"/>
          </w:tcPr>
          <w:p>
            <w:r>
              <w:rPr>
                <w:b w:val="false"/>
                <w:bCs w:val="false"/>
                <w:color w:val="000000"/>
                <w:sz w:val="16"/>
                <w:szCs w:val="16"/>
              </w:rPr>
              <w:t xml:space="preserve">Governance Board guidance, NDPR requirements</w:t>
            </w:r>
          </w:p>
        </w:tc>
        <w:tc>
          <w:tcPr>
            <w:tcW w:type="dxa" w:w="3650"/>
            <w:tcMar>
              <w:top w:type="dxa" w:w="70"/>
              <w:left w:type="dxa" w:w="90"/>
              <w:bottom w:type="dxa" w:w="70"/>
              <w:right w:type="dxa" w:w="90"/>
            </w:tcMar>
            <w:vAlign w:val="top"/>
          </w:tcPr>
          <w:p>
            <w:r>
              <w:rPr>
                <w:b w:val="false"/>
                <w:bCs w:val="false"/>
                <w:color w:val="000000"/>
                <w:sz w:val="16"/>
                <w:szCs w:val="16"/>
              </w:rPr>
              <w:t xml:space="preserve">Data &amp; Content Governance Board</w:t>
            </w:r>
          </w:p>
        </w:tc>
      </w:tr>
      <w:tr>
        <w:tc>
          <w:tcPr>
            <w:tcW w:type="dxa" w:w="3650"/>
            <w:tcMar>
              <w:top w:type="dxa" w:w="70"/>
              <w:left w:type="dxa" w:w="90"/>
              <w:bottom w:type="dxa" w:w="70"/>
              <w:right w:type="dxa" w:w="90"/>
            </w:tcMar>
            <w:vAlign w:val="top"/>
          </w:tcPr>
          <w:p>
            <w:r>
              <w:rPr>
                <w:b/>
                <w:bCs/>
                <w:color w:val="000000"/>
                <w:sz w:val="16"/>
                <w:szCs w:val="16"/>
              </w:rPr>
              <w:t xml:space="preserve">Workflow exception or override</w:t>
            </w:r>
          </w:p>
        </w:tc>
        <w:tc>
          <w:tcPr>
            <w:tcW w:type="dxa" w:w="3089"/>
            <w:tcMar>
              <w:top w:type="dxa" w:w="70"/>
              <w:left w:type="dxa" w:w="90"/>
              <w:bottom w:type="dxa" w:w="70"/>
              <w:right w:type="dxa" w:w="90"/>
            </w:tcMar>
            <w:vAlign w:val="top"/>
          </w:tcPr>
          <w:p>
            <w:r>
              <w:rPr>
                <w:b w:val="false"/>
                <w:bCs w:val="false"/>
                <w:color w:val="000000"/>
                <w:sz w:val="16"/>
                <w:szCs w:val="16"/>
              </w:rPr>
              <w:t xml:space="preserve">KMC</w:t>
            </w:r>
          </w:p>
        </w:tc>
        <w:tc>
          <w:tcPr>
            <w:tcW w:type="dxa" w:w="3650"/>
            <w:tcMar>
              <w:top w:type="dxa" w:w="70"/>
              <w:left w:type="dxa" w:w="90"/>
              <w:bottom w:type="dxa" w:w="70"/>
              <w:right w:type="dxa" w:w="90"/>
            </w:tcMar>
            <w:vAlign w:val="top"/>
          </w:tcPr>
          <w:p>
            <w:r>
              <w:rPr>
                <w:b w:val="false"/>
                <w:bCs w:val="false"/>
                <w:color w:val="000000"/>
                <w:sz w:val="16"/>
                <w:szCs w:val="16"/>
              </w:rPr>
              <w:t xml:space="preserve">Affected state/regional approver input</w:t>
            </w:r>
          </w:p>
        </w:tc>
        <w:tc>
          <w:tcPr>
            <w:tcW w:type="dxa" w:w="3650"/>
            <w:tcMar>
              <w:top w:type="dxa" w:w="70"/>
              <w:left w:type="dxa" w:w="90"/>
              <w:bottom w:type="dxa" w:w="70"/>
              <w:right w:type="dxa" w:w="90"/>
            </w:tcMar>
            <w:vAlign w:val="top"/>
          </w:tcPr>
          <w:p>
            <w:r>
              <w:rPr>
                <w:b w:val="false"/>
                <w:bCs w:val="false"/>
                <w:color w:val="000000"/>
                <w:sz w:val="16"/>
                <w:szCs w:val="16"/>
              </w:rPr>
              <w:t xml:space="preserve">National Programme Coordinator</w:t>
            </w:r>
          </w:p>
        </w:tc>
      </w:tr>
      <w:tr>
        <w:tc>
          <w:tcPr>
            <w:tcW w:type="dxa" w:w="3650"/>
            <w:tcMar>
              <w:top w:type="dxa" w:w="70"/>
              <w:left w:type="dxa" w:w="90"/>
              <w:bottom w:type="dxa" w:w="70"/>
              <w:right w:type="dxa" w:w="90"/>
            </w:tcMar>
            <w:vAlign w:val="top"/>
          </w:tcPr>
          <w:p>
            <w:r>
              <w:rPr>
                <w:b/>
                <w:bCs/>
                <w:color w:val="000000"/>
                <w:sz w:val="16"/>
                <w:szCs w:val="16"/>
              </w:rPr>
              <w:t xml:space="preserve">Technology platform selection</w:t>
            </w:r>
          </w:p>
        </w:tc>
        <w:tc>
          <w:tcPr>
            <w:tcW w:type="dxa" w:w="3089"/>
            <w:tcMar>
              <w:top w:type="dxa" w:w="70"/>
              <w:left w:type="dxa" w:w="90"/>
              <w:bottom w:type="dxa" w:w="70"/>
              <w:right w:type="dxa" w:w="90"/>
            </w:tcMar>
            <w:vAlign w:val="top"/>
          </w:tcPr>
          <w:p>
            <w:r>
              <w:rPr>
                <w:b w:val="false"/>
                <w:bCs w:val="false"/>
                <w:color w:val="000000"/>
                <w:sz w:val="16"/>
                <w:szCs w:val="16"/>
              </w:rPr>
              <w:t xml:space="preserve">Consultant (during design), with NPC sign-off</w:t>
            </w:r>
          </w:p>
        </w:tc>
        <w:tc>
          <w:tcPr>
            <w:tcW w:type="dxa" w:w="3650"/>
            <w:tcMar>
              <w:top w:type="dxa" w:w="70"/>
              <w:left w:type="dxa" w:w="90"/>
              <w:bottom w:type="dxa" w:w="70"/>
              <w:right w:type="dxa" w:w="90"/>
            </w:tcMar>
            <w:vAlign w:val="top"/>
          </w:tcPr>
          <w:p>
            <w:r>
              <w:rPr>
                <w:b w:val="false"/>
                <w:bCs w:val="false"/>
                <w:color w:val="000000"/>
                <w:sz w:val="16"/>
                <w:szCs w:val="16"/>
              </w:rPr>
              <w:t xml:space="preserve">Architecture principles (Part 1), cost/schedule constraints</w:t>
            </w:r>
          </w:p>
        </w:tc>
        <w:tc>
          <w:tcPr>
            <w:tcW w:type="dxa" w:w="3650"/>
            <w:tcMar>
              <w:top w:type="dxa" w:w="70"/>
              <w:left w:type="dxa" w:w="90"/>
              <w:bottom w:type="dxa" w:w="70"/>
              <w:right w:type="dxa" w:w="90"/>
            </w:tcMar>
            <w:vAlign w:val="top"/>
          </w:tcPr>
          <w:p>
            <w:r>
              <w:rPr>
                <w:b w:val="false"/>
                <w:bCs w:val="false"/>
                <w:color w:val="000000"/>
                <w:sz w:val="16"/>
                <w:szCs w:val="16"/>
              </w:rPr>
              <w:t xml:space="preserve">Steering Committee</w:t>
            </w:r>
          </w:p>
        </w:tc>
      </w:tr>
      <w:tr>
        <w:tc>
          <w:tcPr>
            <w:tcW w:type="dxa" w:w="3650"/>
            <w:tcMar>
              <w:top w:type="dxa" w:w="70"/>
              <w:left w:type="dxa" w:w="90"/>
              <w:bottom w:type="dxa" w:w="70"/>
              <w:right w:type="dxa" w:w="90"/>
            </w:tcMar>
            <w:vAlign w:val="top"/>
          </w:tcPr>
          <w:p>
            <w:r>
              <w:rPr>
                <w:b/>
                <w:bCs/>
                <w:color w:val="000000"/>
                <w:sz w:val="16"/>
                <w:szCs w:val="16"/>
              </w:rPr>
              <w:t xml:space="preserve">Scope or schedule trade-offs</w:t>
            </w:r>
          </w:p>
        </w:tc>
        <w:tc>
          <w:tcPr>
            <w:tcW w:type="dxa" w:w="3089"/>
            <w:tcMar>
              <w:top w:type="dxa" w:w="70"/>
              <w:left w:type="dxa" w:w="90"/>
              <w:bottom w:type="dxa" w:w="70"/>
              <w:right w:type="dxa" w:w="90"/>
            </w:tcMar>
            <w:vAlign w:val="top"/>
          </w:tcPr>
          <w:p>
            <w:r>
              <w:rPr>
                <w:b w:val="false"/>
                <w:bCs w:val="false"/>
                <w:color w:val="000000"/>
                <w:sz w:val="16"/>
                <w:szCs w:val="16"/>
              </w:rPr>
              <w:t xml:space="preserve">National Programme Coordinator, jointly with Consultant</w:t>
            </w:r>
          </w:p>
        </w:tc>
        <w:tc>
          <w:tcPr>
            <w:tcW w:type="dxa" w:w="3650"/>
            <w:tcMar>
              <w:top w:type="dxa" w:w="70"/>
              <w:left w:type="dxa" w:w="90"/>
              <w:bottom w:type="dxa" w:w="70"/>
              <w:right w:type="dxa" w:w="90"/>
            </w:tcMar>
            <w:vAlign w:val="top"/>
          </w:tcPr>
          <w:p>
            <w:r>
              <w:rPr>
                <w:b w:val="false"/>
                <w:bCs w:val="false"/>
                <w:color w:val="000000"/>
                <w:sz w:val="16"/>
                <w:szCs w:val="16"/>
              </w:rPr>
              <w:t xml:space="preserve">MoSCoW prioritization, risk register</w:t>
            </w:r>
          </w:p>
        </w:tc>
        <w:tc>
          <w:tcPr>
            <w:tcW w:type="dxa" w:w="3650"/>
            <w:tcMar>
              <w:top w:type="dxa" w:w="70"/>
              <w:left w:type="dxa" w:w="90"/>
              <w:bottom w:type="dxa" w:w="70"/>
              <w:right w:type="dxa" w:w="90"/>
            </w:tcMar>
            <w:vAlign w:val="top"/>
          </w:tcPr>
          <w:p>
            <w:r>
              <w:rPr>
                <w:b w:val="false"/>
                <w:bCs w:val="false"/>
                <w:color w:val="000000"/>
                <w:sz w:val="16"/>
                <w:szCs w:val="16"/>
              </w:rPr>
              <w:t xml:space="preserve">Steering Committee / donor liaison</w:t>
            </w:r>
          </w:p>
        </w:tc>
      </w:tr>
      <w:tr>
        <w:tc>
          <w:tcPr>
            <w:tcW w:type="dxa" w:w="3650"/>
            <w:tcMar>
              <w:top w:type="dxa" w:w="70"/>
              <w:left w:type="dxa" w:w="90"/>
              <w:bottom w:type="dxa" w:w="70"/>
              <w:right w:type="dxa" w:w="90"/>
            </w:tcMar>
            <w:vAlign w:val="top"/>
          </w:tcPr>
          <w:p>
            <w:r>
              <w:rPr>
                <w:b/>
                <w:bCs/>
                <w:color w:val="000000"/>
                <w:sz w:val="16"/>
                <w:szCs w:val="16"/>
              </w:rPr>
              <w:t xml:space="preserve">Donor data-alignment conflicts</w:t>
            </w:r>
          </w:p>
        </w:tc>
        <w:tc>
          <w:tcPr>
            <w:tcW w:type="dxa" w:w="3089"/>
            <w:tcMar>
              <w:top w:type="dxa" w:w="70"/>
              <w:left w:type="dxa" w:w="90"/>
              <w:bottom w:type="dxa" w:w="70"/>
              <w:right w:type="dxa" w:w="90"/>
            </w:tcMar>
            <w:vAlign w:val="top"/>
          </w:tcPr>
          <w:p>
            <w:r>
              <w:rPr>
                <w:b w:val="false"/>
                <w:bCs w:val="false"/>
                <w:color w:val="000000"/>
                <w:sz w:val="16"/>
                <w:szCs w:val="16"/>
              </w:rPr>
              <w:t xml:space="preserve">Data &amp; Content Governance Board</w:t>
            </w:r>
          </w:p>
        </w:tc>
        <w:tc>
          <w:tcPr>
            <w:tcW w:type="dxa" w:w="3650"/>
            <w:tcMar>
              <w:top w:type="dxa" w:w="70"/>
              <w:left w:type="dxa" w:w="90"/>
              <w:bottom w:type="dxa" w:w="70"/>
              <w:right w:type="dxa" w:w="90"/>
            </w:tcMar>
            <w:vAlign w:val="top"/>
          </w:tcPr>
          <w:p>
            <w:r>
              <w:rPr>
                <w:b w:val="false"/>
                <w:bCs w:val="false"/>
                <w:color w:val="000000"/>
                <w:sz w:val="16"/>
                <w:szCs w:val="16"/>
              </w:rPr>
              <w:t xml:space="preserve">Each co-financing institution's stated requirements</w:t>
            </w:r>
          </w:p>
        </w:tc>
        <w:tc>
          <w:tcPr>
            <w:tcW w:type="dxa" w:w="3650"/>
            <w:tcMar>
              <w:top w:type="dxa" w:w="70"/>
              <w:left w:type="dxa" w:w="90"/>
              <w:bottom w:type="dxa" w:w="70"/>
              <w:right w:type="dxa" w:w="90"/>
            </w:tcMar>
            <w:vAlign w:val="top"/>
          </w:tcPr>
          <w:p>
            <w:r>
              <w:rPr>
                <w:b w:val="false"/>
                <w:bCs w:val="false"/>
                <w:color w:val="000000"/>
                <w:sz w:val="16"/>
                <w:szCs w:val="16"/>
              </w:rPr>
              <w:t xml:space="preserve">Co-financing institution liaison</w:t>
            </w:r>
          </w:p>
        </w:tc>
      </w:tr>
    </w:tbl>
    <w:p>
      <w:pPr>
        <w:pStyle w:val="Heading1"/>
        <w:spacing w:after="130" w:before="300"/>
      </w:pPr>
      <w:r>
        <w:t xml:space="preserve">11. Governance Model</w:t>
      </w:r>
    </w:p>
    <w:p>
      <w:pPr>
        <w:spacing w:after="150" w:line="270"/>
      </w:pPr>
      <w:r>
        <w:t xml:space="preserve">The Governance Model specifies the standing bodies through which the Decision Model above is actually exercised, addressing directly the current-state gap identified in Part 1: SAPZ has no pre-existing enterprise architecture or data governance function, and this blueprint must therefore specify how one is established rather than assume one already exists.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650"/>
        <w:gridCol w:w="3089"/>
        <w:gridCol w:w="3650"/>
        <w:gridCol w:w="3650"/>
      </w:tblGrid>
      <w:tr>
        <w:trPr>
          <w:tblHeader/>
        </w:trPr>
        <w:tc>
          <w:tcPr>
            <w:tcW w:type="dxa" w:w="3650"/>
            <w:shd w:fill="4A235A" w:val="clear"/>
            <w:tcMar>
              <w:top w:type="dxa" w:w="70"/>
              <w:left w:type="dxa" w:w="90"/>
              <w:bottom w:type="dxa" w:w="70"/>
              <w:right w:type="dxa" w:w="90"/>
            </w:tcMar>
            <w:vAlign w:val="top"/>
          </w:tcPr>
          <w:p>
            <w:r>
              <w:rPr>
                <w:b/>
                <w:bCs/>
                <w:color w:val="FFFFFF"/>
                <w:sz w:val="16"/>
                <w:szCs w:val="16"/>
              </w:rPr>
              <w:t xml:space="preserve">Governance Body</w:t>
            </w:r>
          </w:p>
        </w:tc>
        <w:tc>
          <w:tcPr>
            <w:tcW w:type="dxa" w:w="3089"/>
            <w:shd w:fill="4A235A" w:val="clear"/>
            <w:tcMar>
              <w:top w:type="dxa" w:w="70"/>
              <w:left w:type="dxa" w:w="90"/>
              <w:bottom w:type="dxa" w:w="70"/>
              <w:right w:type="dxa" w:w="90"/>
            </w:tcMar>
            <w:vAlign w:val="top"/>
          </w:tcPr>
          <w:p>
            <w:r>
              <w:rPr>
                <w:b/>
                <w:bCs/>
                <w:color w:val="FFFFFF"/>
                <w:sz w:val="16"/>
                <w:szCs w:val="16"/>
              </w:rPr>
              <w:t xml:space="preserve">Owner</w:t>
            </w:r>
          </w:p>
        </w:tc>
        <w:tc>
          <w:tcPr>
            <w:tcW w:type="dxa" w:w="3650"/>
            <w:shd w:fill="4A235A" w:val="clear"/>
            <w:tcMar>
              <w:top w:type="dxa" w:w="70"/>
              <w:left w:type="dxa" w:w="90"/>
              <w:bottom w:type="dxa" w:w="70"/>
              <w:right w:type="dxa" w:w="90"/>
            </w:tcMar>
            <w:vAlign w:val="top"/>
          </w:tcPr>
          <w:p>
            <w:r>
              <w:rPr>
                <w:b/>
                <w:bCs/>
                <w:color w:val="FFFFFF"/>
                <w:sz w:val="16"/>
                <w:szCs w:val="16"/>
              </w:rPr>
              <w:t xml:space="preserve">Inputs Required</w:t>
            </w:r>
          </w:p>
        </w:tc>
        <w:tc>
          <w:tcPr>
            <w:tcW w:type="dxa" w:w="3650"/>
            <w:shd w:fill="4A235A" w:val="clear"/>
            <w:tcMar>
              <w:top w:type="dxa" w:w="70"/>
              <w:left w:type="dxa" w:w="90"/>
              <w:bottom w:type="dxa" w:w="70"/>
              <w:right w:type="dxa" w:w="90"/>
            </w:tcMar>
            <w:vAlign w:val="top"/>
          </w:tcPr>
          <w:p>
            <w:r>
              <w:rPr>
                <w:b/>
                <w:bCs/>
                <w:color w:val="FFFFFF"/>
                <w:sz w:val="16"/>
                <w:szCs w:val="16"/>
              </w:rPr>
              <w:t xml:space="preserve">Escalation Path</w:t>
            </w:r>
          </w:p>
        </w:tc>
      </w:tr>
      <w:tr>
        <w:tc>
          <w:tcPr>
            <w:tcW w:type="dxa" w:w="3650"/>
            <w:tcMar>
              <w:top w:type="dxa" w:w="70"/>
              <w:left w:type="dxa" w:w="90"/>
              <w:bottom w:type="dxa" w:w="70"/>
              <w:right w:type="dxa" w:w="90"/>
            </w:tcMar>
            <w:vAlign w:val="top"/>
          </w:tcPr>
          <w:p>
            <w:r>
              <w:rPr>
                <w:b/>
                <w:bCs/>
                <w:color w:val="000000"/>
                <w:sz w:val="16"/>
                <w:szCs w:val="16"/>
              </w:rPr>
              <w:t xml:space="preserve">Steering Committee</w:t>
            </w:r>
          </w:p>
        </w:tc>
        <w:tc>
          <w:tcPr>
            <w:tcW w:type="dxa" w:w="3089"/>
            <w:tcMar>
              <w:top w:type="dxa" w:w="70"/>
              <w:left w:type="dxa" w:w="90"/>
              <w:bottom w:type="dxa" w:w="70"/>
              <w:right w:type="dxa" w:w="90"/>
            </w:tcMar>
            <w:vAlign w:val="top"/>
          </w:tcPr>
          <w:p>
            <w:r>
              <w:rPr>
                <w:b w:val="false"/>
                <w:bCs w:val="false"/>
                <w:color w:val="000000"/>
                <w:sz w:val="16"/>
                <w:szCs w:val="16"/>
              </w:rPr>
              <w:t xml:space="preserve">National Programme Coordinator (chair), KMC, donor observers</w:t>
            </w:r>
          </w:p>
        </w:tc>
        <w:tc>
          <w:tcPr>
            <w:tcW w:type="dxa" w:w="3650"/>
            <w:tcMar>
              <w:top w:type="dxa" w:w="70"/>
              <w:left w:type="dxa" w:w="90"/>
              <w:bottom w:type="dxa" w:w="70"/>
              <w:right w:type="dxa" w:w="90"/>
            </w:tcMar>
            <w:vAlign w:val="top"/>
          </w:tcPr>
          <w:p>
            <w:r>
              <w:rPr>
                <w:b w:val="false"/>
                <w:bCs w:val="false"/>
                <w:color w:val="000000"/>
                <w:sz w:val="16"/>
                <w:szCs w:val="16"/>
              </w:rPr>
              <w:t xml:space="preserve">Progress reports, risk register, scope/schedule proposals</w:t>
            </w:r>
          </w:p>
        </w:tc>
        <w:tc>
          <w:tcPr>
            <w:tcW w:type="dxa" w:w="3650"/>
            <w:tcMar>
              <w:top w:type="dxa" w:w="70"/>
              <w:left w:type="dxa" w:w="90"/>
              <w:bottom w:type="dxa" w:w="70"/>
              <w:right w:type="dxa" w:w="90"/>
            </w:tcMar>
            <w:vAlign w:val="top"/>
          </w:tcPr>
          <w:p>
            <w:r>
              <w:rPr>
                <w:b w:val="false"/>
                <w:bCs w:val="false"/>
                <w:color w:val="000000"/>
                <w:sz w:val="16"/>
                <w:szCs w:val="16"/>
              </w:rPr>
              <w:t xml:space="preserve">Meets at milestone points (Inception, mid-point, go-live)</w:t>
            </w:r>
          </w:p>
        </w:tc>
      </w:tr>
      <w:tr>
        <w:tc>
          <w:tcPr>
            <w:tcW w:type="dxa" w:w="3650"/>
            <w:tcMar>
              <w:top w:type="dxa" w:w="70"/>
              <w:left w:type="dxa" w:w="90"/>
              <w:bottom w:type="dxa" w:w="70"/>
              <w:right w:type="dxa" w:w="90"/>
            </w:tcMar>
            <w:vAlign w:val="top"/>
          </w:tcPr>
          <w:p>
            <w:r>
              <w:rPr>
                <w:b/>
                <w:bCs/>
                <w:color w:val="000000"/>
                <w:sz w:val="16"/>
                <w:szCs w:val="16"/>
              </w:rPr>
              <w:t xml:space="preserve">Data &amp; Content Governance Board</w:t>
            </w:r>
          </w:p>
        </w:tc>
        <w:tc>
          <w:tcPr>
            <w:tcW w:type="dxa" w:w="3089"/>
            <w:tcMar>
              <w:top w:type="dxa" w:w="70"/>
              <w:left w:type="dxa" w:w="90"/>
              <w:bottom w:type="dxa" w:w="70"/>
              <w:right w:type="dxa" w:w="90"/>
            </w:tcMar>
            <w:vAlign w:val="top"/>
          </w:tcPr>
          <w:p>
            <w:r>
              <w:rPr>
                <w:b w:val="false"/>
                <w:bCs w:val="false"/>
                <w:color w:val="000000"/>
                <w:sz w:val="16"/>
                <w:szCs w:val="16"/>
              </w:rPr>
              <w:t xml:space="preserve">KMC (chair), KM/ICT Units, state focal points, consultant</w:t>
            </w:r>
          </w:p>
        </w:tc>
        <w:tc>
          <w:tcPr>
            <w:tcW w:type="dxa" w:w="3650"/>
            <w:tcMar>
              <w:top w:type="dxa" w:w="70"/>
              <w:left w:type="dxa" w:w="90"/>
              <w:bottom w:type="dxa" w:w="70"/>
              <w:right w:type="dxa" w:w="90"/>
            </w:tcMar>
            <w:vAlign w:val="top"/>
          </w:tcPr>
          <w:p>
            <w:r>
              <w:rPr>
                <w:b w:val="false"/>
                <w:bCs w:val="false"/>
                <w:color w:val="000000"/>
                <w:sz w:val="16"/>
                <w:szCs w:val="16"/>
              </w:rPr>
              <w:t xml:space="preserve">Taxonomy proposals, classification disputes, donor-alignment findings</w:t>
            </w:r>
          </w:p>
        </w:tc>
        <w:tc>
          <w:tcPr>
            <w:tcW w:type="dxa" w:w="3650"/>
            <w:tcMar>
              <w:top w:type="dxa" w:w="70"/>
              <w:left w:type="dxa" w:w="90"/>
              <w:bottom w:type="dxa" w:w="70"/>
              <w:right w:type="dxa" w:w="90"/>
            </w:tcMar>
            <w:vAlign w:val="top"/>
          </w:tcPr>
          <w:p>
            <w:r>
              <w:rPr>
                <w:b w:val="false"/>
                <w:bCs w:val="false"/>
                <w:color w:val="000000"/>
                <w:sz w:val="16"/>
                <w:szCs w:val="16"/>
              </w:rPr>
              <w:t xml:space="preserve">Biweekly during build; quarterly post-handover</w:t>
            </w:r>
          </w:p>
        </w:tc>
      </w:tr>
      <w:tr>
        <w:tc>
          <w:tcPr>
            <w:tcW w:type="dxa" w:w="3650"/>
            <w:tcMar>
              <w:top w:type="dxa" w:w="70"/>
              <w:left w:type="dxa" w:w="90"/>
              <w:bottom w:type="dxa" w:w="70"/>
              <w:right w:type="dxa" w:w="90"/>
            </w:tcMar>
            <w:vAlign w:val="top"/>
          </w:tcPr>
          <w:p>
            <w:r>
              <w:rPr>
                <w:b/>
                <w:bCs/>
                <w:color w:val="000000"/>
                <w:sz w:val="16"/>
                <w:szCs w:val="16"/>
              </w:rPr>
              <w:t xml:space="preserve">Architecture Review Function</w:t>
            </w:r>
          </w:p>
        </w:tc>
        <w:tc>
          <w:tcPr>
            <w:tcW w:type="dxa" w:w="3089"/>
            <w:tcMar>
              <w:top w:type="dxa" w:w="70"/>
              <w:left w:type="dxa" w:w="90"/>
              <w:bottom w:type="dxa" w:w="70"/>
              <w:right w:type="dxa" w:w="90"/>
            </w:tcMar>
            <w:vAlign w:val="top"/>
          </w:tcPr>
          <w:p>
            <w:r>
              <w:rPr>
                <w:b w:val="false"/>
                <w:bCs w:val="false"/>
                <w:color w:val="000000"/>
                <w:sz w:val="16"/>
                <w:szCs w:val="16"/>
              </w:rPr>
              <w:t xml:space="preserve">Consultant (during build), transitioning to KM/ICT Units</w:t>
            </w:r>
          </w:p>
        </w:tc>
        <w:tc>
          <w:tcPr>
            <w:tcW w:type="dxa" w:w="3650"/>
            <w:tcMar>
              <w:top w:type="dxa" w:w="70"/>
              <w:left w:type="dxa" w:w="90"/>
              <w:bottom w:type="dxa" w:w="70"/>
              <w:right w:type="dxa" w:w="90"/>
            </w:tcMar>
            <w:vAlign w:val="top"/>
          </w:tcPr>
          <w:p>
            <w:r>
              <w:rPr>
                <w:b w:val="false"/>
                <w:bCs w:val="false"/>
                <w:color w:val="000000"/>
                <w:sz w:val="16"/>
                <w:szCs w:val="16"/>
              </w:rPr>
              <w:t xml:space="preserve">Architecture principles (Part 1), design decisions, technical debt log</w:t>
            </w:r>
          </w:p>
        </w:tc>
        <w:tc>
          <w:tcPr>
            <w:tcW w:type="dxa" w:w="3650"/>
            <w:tcMar>
              <w:top w:type="dxa" w:w="70"/>
              <w:left w:type="dxa" w:w="90"/>
              <w:bottom w:type="dxa" w:w="70"/>
              <w:right w:type="dxa" w:w="90"/>
            </w:tcMar>
            <w:vAlign w:val="top"/>
          </w:tcPr>
          <w:p>
            <w:r>
              <w:rPr>
                <w:b w:val="false"/>
                <w:bCs w:val="false"/>
                <w:color w:val="000000"/>
                <w:sz w:val="16"/>
                <w:szCs w:val="16"/>
              </w:rPr>
              <w:t xml:space="preserve">Established during Inception; formal handover in Week 12</w:t>
            </w:r>
          </w:p>
        </w:tc>
      </w:tr>
      <w:tr>
        <w:tc>
          <w:tcPr>
            <w:tcW w:type="dxa" w:w="3650"/>
            <w:tcMar>
              <w:top w:type="dxa" w:w="70"/>
              <w:left w:type="dxa" w:w="90"/>
              <w:bottom w:type="dxa" w:w="70"/>
              <w:right w:type="dxa" w:w="90"/>
            </w:tcMar>
            <w:vAlign w:val="top"/>
          </w:tcPr>
          <w:p>
            <w:r>
              <w:rPr>
                <w:b/>
                <w:bCs/>
                <w:color w:val="000000"/>
                <w:sz w:val="16"/>
                <w:szCs w:val="16"/>
              </w:rPr>
              <w:t xml:space="preserve">Change Advisory Function</w:t>
            </w:r>
          </w:p>
        </w:tc>
        <w:tc>
          <w:tcPr>
            <w:tcW w:type="dxa" w:w="3089"/>
            <w:tcMar>
              <w:top w:type="dxa" w:w="70"/>
              <w:left w:type="dxa" w:w="90"/>
              <w:bottom w:type="dxa" w:w="70"/>
              <w:right w:type="dxa" w:w="90"/>
            </w:tcMar>
            <w:vAlign w:val="top"/>
          </w:tcPr>
          <w:p>
            <w:r>
              <w:rPr>
                <w:b w:val="false"/>
                <w:bCs w:val="false"/>
                <w:color w:val="000000"/>
                <w:sz w:val="16"/>
                <w:szCs w:val="16"/>
              </w:rPr>
              <w:t xml:space="preserve">KMC, informed by KM/ICT Units</w:t>
            </w:r>
          </w:p>
        </w:tc>
        <w:tc>
          <w:tcPr>
            <w:tcW w:type="dxa" w:w="3650"/>
            <w:tcMar>
              <w:top w:type="dxa" w:w="70"/>
              <w:left w:type="dxa" w:w="90"/>
              <w:bottom w:type="dxa" w:w="70"/>
              <w:right w:type="dxa" w:w="90"/>
            </w:tcMar>
            <w:vAlign w:val="top"/>
          </w:tcPr>
          <w:p>
            <w:r>
              <w:rPr>
                <w:b w:val="false"/>
                <w:bCs w:val="false"/>
                <w:color w:val="000000"/>
                <w:sz w:val="16"/>
                <w:szCs w:val="16"/>
              </w:rPr>
              <w:t xml:space="preserve">Proposed scope, configuration, or taxonomy changes post-go-live</w:t>
            </w:r>
          </w:p>
        </w:tc>
        <w:tc>
          <w:tcPr>
            <w:tcW w:type="dxa" w:w="3650"/>
            <w:tcMar>
              <w:top w:type="dxa" w:w="70"/>
              <w:left w:type="dxa" w:w="90"/>
              <w:bottom w:type="dxa" w:w="70"/>
              <w:right w:type="dxa" w:w="90"/>
            </w:tcMar>
            <w:vAlign w:val="top"/>
          </w:tcPr>
          <w:p>
            <w:r>
              <w:rPr>
                <w:b w:val="false"/>
                <w:bCs w:val="false"/>
                <w:color w:val="000000"/>
                <w:sz w:val="16"/>
                <w:szCs w:val="16"/>
              </w:rPr>
              <w:t xml:space="preserve">Folded into the Data &amp; Content Governance Board post-handover</w:t>
            </w:r>
          </w:p>
        </w:tc>
      </w:tr>
    </w:tbl>
    <w:p>
      <w:pPr>
        <w:pStyle w:val="Heading1"/>
        <w:spacing w:after="130" w:before="300"/>
      </w:pPr>
      <w:r>
        <w:t xml:space="preserve">12. Stakeholder Model</w:t>
      </w:r>
    </w:p>
    <w:p>
      <w:pPr>
        <w:spacing w:after="150" w:line="270"/>
      </w:pPr>
      <w:r>
        <w:t xml:space="preserve">The Stakeholder Model formalizes, as a named Business Architecture artifact, the power/interest analysis already developed in the Procurement Intelligence Report's Master document, extending it with an explicit concern statement and engagement approach for each stakeholder group so that Part 3's process models and Part 8's deployment planning can reference a single, consistent stakeholder register rather than re-deriving one independently.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2808"/>
        <w:gridCol w:w="2808"/>
        <w:gridCol w:w="2808"/>
      </w:tblGrid>
      <w:tr>
        <w:trPr>
          <w:tblHeader/>
        </w:trPr>
        <w:tc>
          <w:tcPr>
            <w:tcW w:type="dxa" w:w="2808"/>
            <w:shd w:fill="922B21" w:val="clear"/>
            <w:tcMar>
              <w:top w:type="dxa" w:w="70"/>
              <w:left w:type="dxa" w:w="90"/>
              <w:bottom w:type="dxa" w:w="70"/>
              <w:right w:type="dxa" w:w="90"/>
            </w:tcMar>
            <w:vAlign w:val="top"/>
          </w:tcPr>
          <w:p>
            <w:r>
              <w:rPr>
                <w:b/>
                <w:bCs/>
                <w:color w:val="FFFFFF"/>
                <w:sz w:val="16"/>
                <w:szCs w:val="16"/>
              </w:rPr>
              <w:t xml:space="preserve">Stakeholder</w:t>
            </w:r>
          </w:p>
        </w:tc>
        <w:tc>
          <w:tcPr>
            <w:tcW w:type="dxa" w:w="2808"/>
            <w:shd w:fill="922B21" w:val="clear"/>
            <w:tcMar>
              <w:top w:type="dxa" w:w="70"/>
              <w:left w:type="dxa" w:w="90"/>
              <w:bottom w:type="dxa" w:w="70"/>
              <w:right w:type="dxa" w:w="90"/>
            </w:tcMar>
            <w:vAlign w:val="top"/>
          </w:tcPr>
          <w:p>
            <w:r>
              <w:rPr>
                <w:b/>
                <w:bCs/>
                <w:color w:val="FFFFFF"/>
                <w:sz w:val="16"/>
                <w:szCs w:val="16"/>
              </w:rPr>
              <w:t xml:space="preserve">Power</w:t>
            </w:r>
          </w:p>
        </w:tc>
        <w:tc>
          <w:tcPr>
            <w:tcW w:type="dxa" w:w="2808"/>
            <w:shd w:fill="922B21" w:val="clear"/>
            <w:tcMar>
              <w:top w:type="dxa" w:w="70"/>
              <w:left w:type="dxa" w:w="90"/>
              <w:bottom w:type="dxa" w:w="70"/>
              <w:right w:type="dxa" w:w="90"/>
            </w:tcMar>
            <w:vAlign w:val="top"/>
          </w:tcPr>
          <w:p>
            <w:r>
              <w:rPr>
                <w:b/>
                <w:bCs/>
                <w:color w:val="FFFFFF"/>
                <w:sz w:val="16"/>
                <w:szCs w:val="16"/>
              </w:rPr>
              <w:t xml:space="preserve">Interest</w:t>
            </w:r>
          </w:p>
        </w:tc>
        <w:tc>
          <w:tcPr>
            <w:tcW w:type="dxa" w:w="2808"/>
            <w:shd w:fill="922B21" w:val="clear"/>
            <w:tcMar>
              <w:top w:type="dxa" w:w="70"/>
              <w:left w:type="dxa" w:w="90"/>
              <w:bottom w:type="dxa" w:w="70"/>
              <w:right w:type="dxa" w:w="90"/>
            </w:tcMar>
            <w:vAlign w:val="top"/>
          </w:tcPr>
          <w:p>
            <w:r>
              <w:rPr>
                <w:b/>
                <w:bCs/>
                <w:color w:val="FFFFFF"/>
                <w:sz w:val="16"/>
                <w:szCs w:val="16"/>
              </w:rPr>
              <w:t xml:space="preserve">Primary Concern</w:t>
            </w:r>
          </w:p>
        </w:tc>
        <w:tc>
          <w:tcPr>
            <w:tcW w:type="dxa" w:w="2808"/>
            <w:shd w:fill="922B21" w:val="clear"/>
            <w:tcMar>
              <w:top w:type="dxa" w:w="70"/>
              <w:left w:type="dxa" w:w="90"/>
              <w:bottom w:type="dxa" w:w="70"/>
              <w:right w:type="dxa" w:w="90"/>
            </w:tcMar>
            <w:vAlign w:val="top"/>
          </w:tcPr>
          <w:p>
            <w:r>
              <w:rPr>
                <w:b/>
                <w:bCs/>
                <w:color w:val="FFFFFF"/>
                <w:sz w:val="16"/>
                <w:szCs w:val="16"/>
              </w:rPr>
              <w:t xml:space="preserve">Engagement Approach</w:t>
            </w:r>
          </w:p>
        </w:tc>
      </w:tr>
      <w:tr>
        <w:tc>
          <w:tcPr>
            <w:tcW w:type="dxa" w:w="2808"/>
            <w:tcMar>
              <w:top w:type="dxa" w:w="70"/>
              <w:left w:type="dxa" w:w="90"/>
              <w:bottom w:type="dxa" w:w="70"/>
              <w:right w:type="dxa" w:w="90"/>
            </w:tcMar>
            <w:vAlign w:val="top"/>
          </w:tcPr>
          <w:p>
            <w:r>
              <w:rPr>
                <w:b/>
                <w:bCs/>
                <w:color w:val="000000"/>
                <w:sz w:val="16"/>
                <w:szCs w:val="16"/>
              </w:rPr>
              <w:t xml:space="preserve">National Programme Coordinator</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Programme-wide accountability and donor relationship</w:t>
            </w:r>
          </w:p>
        </w:tc>
        <w:tc>
          <w:tcPr>
            <w:tcW w:type="dxa" w:w="2808"/>
            <w:tcMar>
              <w:top w:type="dxa" w:w="70"/>
              <w:left w:type="dxa" w:w="90"/>
              <w:bottom w:type="dxa" w:w="70"/>
              <w:right w:type="dxa" w:w="90"/>
            </w:tcMar>
            <w:vAlign w:val="top"/>
          </w:tcPr>
          <w:p>
            <w:r>
              <w:rPr>
                <w:b w:val="false"/>
                <w:bCs w:val="false"/>
                <w:color w:val="000000"/>
                <w:sz w:val="16"/>
                <w:szCs w:val="16"/>
              </w:rPr>
              <w:t xml:space="preserve">Direct governance participation; primary reporting line</w:t>
            </w:r>
          </w:p>
        </w:tc>
      </w:tr>
      <w:tr>
        <w:tc>
          <w:tcPr>
            <w:tcW w:type="dxa" w:w="2808"/>
            <w:tcMar>
              <w:top w:type="dxa" w:w="70"/>
              <w:left w:type="dxa" w:w="90"/>
              <w:bottom w:type="dxa" w:w="70"/>
              <w:right w:type="dxa" w:w="90"/>
            </w:tcMar>
            <w:vAlign w:val="top"/>
          </w:tcPr>
          <w:p>
            <w:r>
              <w:rPr>
                <w:b/>
                <w:bCs/>
                <w:color w:val="000000"/>
                <w:sz w:val="16"/>
                <w:szCs w:val="16"/>
              </w:rPr>
              <w:t xml:space="preserve">KMC</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Technical delivery quality and content ownership</w:t>
            </w:r>
          </w:p>
        </w:tc>
        <w:tc>
          <w:tcPr>
            <w:tcW w:type="dxa" w:w="2808"/>
            <w:tcMar>
              <w:top w:type="dxa" w:w="70"/>
              <w:left w:type="dxa" w:w="90"/>
              <w:bottom w:type="dxa" w:w="70"/>
              <w:right w:type="dxa" w:w="90"/>
            </w:tcMar>
            <w:vAlign w:val="top"/>
          </w:tcPr>
          <w:p>
            <w:r>
              <w:rPr>
                <w:b w:val="false"/>
                <w:bCs w:val="false"/>
                <w:color w:val="000000"/>
                <w:sz w:val="16"/>
                <w:szCs w:val="16"/>
              </w:rPr>
              <w:t xml:space="preserve">Co-leadership of governance charter and Inception sign-off</w:t>
            </w:r>
          </w:p>
        </w:tc>
      </w:tr>
      <w:tr>
        <w:tc>
          <w:tcPr>
            <w:tcW w:type="dxa" w:w="2808"/>
            <w:tcMar>
              <w:top w:type="dxa" w:w="70"/>
              <w:left w:type="dxa" w:w="90"/>
              <w:bottom w:type="dxa" w:w="70"/>
              <w:right w:type="dxa" w:w="90"/>
            </w:tcMar>
            <w:vAlign w:val="top"/>
          </w:tcPr>
          <w:p>
            <w:r>
              <w:rPr>
                <w:b/>
                <w:bCs/>
                <w:color w:val="000000"/>
                <w:sz w:val="16"/>
                <w:szCs w:val="16"/>
              </w:rPr>
              <w:t xml:space="preserve">Co-financing institutions (AfDB/IFAD/IsDB)</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Medium</w:t>
            </w:r>
          </w:p>
        </w:tc>
        <w:tc>
          <w:tcPr>
            <w:tcW w:type="dxa" w:w="2808"/>
            <w:tcMar>
              <w:top w:type="dxa" w:w="70"/>
              <w:left w:type="dxa" w:w="90"/>
              <w:bottom w:type="dxa" w:w="70"/>
              <w:right w:type="dxa" w:w="90"/>
            </w:tcMar>
            <w:vAlign w:val="top"/>
          </w:tcPr>
          <w:p>
            <w:r>
              <w:rPr>
                <w:b w:val="false"/>
                <w:bCs w:val="false"/>
                <w:color w:val="000000"/>
                <w:sz w:val="16"/>
                <w:szCs w:val="16"/>
              </w:rPr>
              <w:t xml:space="preserve">Fiduciary assurance, reporting compliance, data alignment</w:t>
            </w:r>
          </w:p>
        </w:tc>
        <w:tc>
          <w:tcPr>
            <w:tcW w:type="dxa" w:w="2808"/>
            <w:tcMar>
              <w:top w:type="dxa" w:w="70"/>
              <w:left w:type="dxa" w:w="90"/>
              <w:bottom w:type="dxa" w:w="70"/>
              <w:right w:type="dxa" w:w="90"/>
            </w:tcMar>
            <w:vAlign w:val="top"/>
          </w:tcPr>
          <w:p>
            <w:r>
              <w:rPr>
                <w:b w:val="false"/>
                <w:bCs w:val="false"/>
                <w:color w:val="000000"/>
                <w:sz w:val="16"/>
                <w:szCs w:val="16"/>
              </w:rPr>
              <w:t xml:space="preserve">Informed via summary reporting; engaged at Inception donor-alignment review</w:t>
            </w:r>
          </w:p>
        </w:tc>
      </w:tr>
      <w:tr>
        <w:tc>
          <w:tcPr>
            <w:tcW w:type="dxa" w:w="2808"/>
            <w:tcMar>
              <w:top w:type="dxa" w:w="70"/>
              <w:left w:type="dxa" w:w="90"/>
              <w:bottom w:type="dxa" w:w="70"/>
              <w:right w:type="dxa" w:w="90"/>
            </w:tcMar>
            <w:vAlign w:val="top"/>
          </w:tcPr>
          <w:p>
            <w:r>
              <w:rPr>
                <w:b/>
                <w:bCs/>
                <w:color w:val="000000"/>
                <w:sz w:val="16"/>
                <w:szCs w:val="16"/>
              </w:rPr>
              <w:t xml:space="preserve">State Implementation Teams (7 states + FCT)</w:t>
            </w:r>
          </w:p>
        </w:tc>
        <w:tc>
          <w:tcPr>
            <w:tcW w:type="dxa" w:w="2808"/>
            <w:tcMar>
              <w:top w:type="dxa" w:w="70"/>
              <w:left w:type="dxa" w:w="90"/>
              <w:bottom w:type="dxa" w:w="70"/>
              <w:right w:type="dxa" w:w="90"/>
            </w:tcMar>
            <w:vAlign w:val="top"/>
          </w:tcPr>
          <w:p>
            <w:r>
              <w:rPr>
                <w:b w:val="false"/>
                <w:bCs w:val="false"/>
                <w:color w:val="000000"/>
                <w:sz w:val="16"/>
                <w:szCs w:val="16"/>
              </w:rPr>
              <w:t xml:space="preserve">Low-Medium</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Day-to-day usability and workload impact</w:t>
            </w:r>
          </w:p>
        </w:tc>
        <w:tc>
          <w:tcPr>
            <w:tcW w:type="dxa" w:w="2808"/>
            <w:tcMar>
              <w:top w:type="dxa" w:w="70"/>
              <w:left w:type="dxa" w:w="90"/>
              <w:bottom w:type="dxa" w:w="70"/>
              <w:right w:type="dxa" w:w="90"/>
            </w:tcMar>
            <w:vAlign w:val="top"/>
          </w:tcPr>
          <w:p>
            <w:r>
              <w:rPr>
                <w:b w:val="false"/>
                <w:bCs w:val="false"/>
                <w:color w:val="000000"/>
                <w:sz w:val="16"/>
                <w:szCs w:val="16"/>
              </w:rPr>
              <w:t xml:space="preserve">Champions network, role-based training, structured consultation</w:t>
            </w:r>
          </w:p>
        </w:tc>
      </w:tr>
      <w:tr>
        <w:tc>
          <w:tcPr>
            <w:tcW w:type="dxa" w:w="2808"/>
            <w:tcMar>
              <w:top w:type="dxa" w:w="70"/>
              <w:left w:type="dxa" w:w="90"/>
              <w:bottom w:type="dxa" w:w="70"/>
              <w:right w:type="dxa" w:w="90"/>
            </w:tcMar>
            <w:vAlign w:val="top"/>
          </w:tcPr>
          <w:p>
            <w:r>
              <w:rPr>
                <w:b/>
                <w:bCs/>
                <w:color w:val="000000"/>
                <w:sz w:val="16"/>
                <w:szCs w:val="16"/>
              </w:rPr>
              <w:t xml:space="preserve">KM &amp; ICT Units</w:t>
            </w:r>
          </w:p>
        </w:tc>
        <w:tc>
          <w:tcPr>
            <w:tcW w:type="dxa" w:w="2808"/>
            <w:tcMar>
              <w:top w:type="dxa" w:w="70"/>
              <w:left w:type="dxa" w:w="90"/>
              <w:bottom w:type="dxa" w:w="70"/>
              <w:right w:type="dxa" w:w="90"/>
            </w:tcMar>
            <w:vAlign w:val="top"/>
          </w:tcPr>
          <w:p>
            <w:r>
              <w:rPr>
                <w:b w:val="false"/>
                <w:bCs w:val="false"/>
                <w:color w:val="000000"/>
                <w:sz w:val="16"/>
                <w:szCs w:val="16"/>
              </w:rPr>
              <w:t xml:space="preserve">Medium</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2808"/>
            <w:tcMar>
              <w:top w:type="dxa" w:w="70"/>
              <w:left w:type="dxa" w:w="90"/>
              <w:bottom w:type="dxa" w:w="70"/>
              <w:right w:type="dxa" w:w="90"/>
            </w:tcMar>
            <w:vAlign w:val="top"/>
          </w:tcPr>
          <w:p>
            <w:r>
              <w:rPr>
                <w:b w:val="false"/>
                <w:bCs w:val="false"/>
                <w:color w:val="000000"/>
                <w:sz w:val="16"/>
                <w:szCs w:val="16"/>
              </w:rPr>
              <w:t xml:space="preserve">Long-term operability and capacity to sustain systems</w:t>
            </w:r>
          </w:p>
        </w:tc>
        <w:tc>
          <w:tcPr>
            <w:tcW w:type="dxa" w:w="2808"/>
            <w:tcMar>
              <w:top w:type="dxa" w:w="70"/>
              <w:left w:type="dxa" w:w="90"/>
              <w:bottom w:type="dxa" w:w="70"/>
              <w:right w:type="dxa" w:w="90"/>
            </w:tcMar>
            <w:vAlign w:val="top"/>
          </w:tcPr>
          <w:p>
            <w:r>
              <w:rPr>
                <w:b w:val="false"/>
                <w:bCs w:val="false"/>
                <w:color w:val="000000"/>
                <w:sz w:val="16"/>
                <w:szCs w:val="16"/>
              </w:rPr>
              <w:t xml:space="preserve">Joint working sessions from Week 1; capability-maturity handover</w:t>
            </w:r>
          </w:p>
        </w:tc>
      </w:tr>
      <w:tr>
        <w:tc>
          <w:tcPr>
            <w:tcW w:type="dxa" w:w="2808"/>
            <w:tcMar>
              <w:top w:type="dxa" w:w="70"/>
              <w:left w:type="dxa" w:w="90"/>
              <w:bottom w:type="dxa" w:w="70"/>
              <w:right w:type="dxa" w:w="90"/>
            </w:tcMar>
            <w:vAlign w:val="top"/>
          </w:tcPr>
          <w:p>
            <w:r>
              <w:rPr>
                <w:b/>
                <w:bCs/>
                <w:color w:val="000000"/>
                <w:sz w:val="16"/>
                <w:szCs w:val="16"/>
              </w:rPr>
              <w:t xml:space="preserve">Private Sector &amp; Community Organizations</w:t>
            </w:r>
          </w:p>
        </w:tc>
        <w:tc>
          <w:tcPr>
            <w:tcW w:type="dxa" w:w="2808"/>
            <w:tcMar>
              <w:top w:type="dxa" w:w="70"/>
              <w:left w:type="dxa" w:w="90"/>
              <w:bottom w:type="dxa" w:w="70"/>
              <w:right w:type="dxa" w:w="90"/>
            </w:tcMar>
            <w:vAlign w:val="top"/>
          </w:tcPr>
          <w:p>
            <w:r>
              <w:rPr>
                <w:b w:val="false"/>
                <w:bCs w:val="false"/>
                <w:color w:val="000000"/>
                <w:sz w:val="16"/>
                <w:szCs w:val="16"/>
              </w:rPr>
              <w:t xml:space="preserve">Low</w:t>
            </w:r>
          </w:p>
        </w:tc>
        <w:tc>
          <w:tcPr>
            <w:tcW w:type="dxa" w:w="2808"/>
            <w:tcMar>
              <w:top w:type="dxa" w:w="70"/>
              <w:left w:type="dxa" w:w="90"/>
              <w:bottom w:type="dxa" w:w="70"/>
              <w:right w:type="dxa" w:w="90"/>
            </w:tcMar>
            <w:vAlign w:val="top"/>
          </w:tcPr>
          <w:p>
            <w:r>
              <w:rPr>
                <w:b w:val="false"/>
                <w:bCs w:val="false"/>
                <w:color w:val="000000"/>
                <w:sz w:val="16"/>
                <w:szCs w:val="16"/>
              </w:rPr>
              <w:t xml:space="preserve">Low-Medium</w:t>
            </w:r>
          </w:p>
        </w:tc>
        <w:tc>
          <w:tcPr>
            <w:tcW w:type="dxa" w:w="2808"/>
            <w:tcMar>
              <w:top w:type="dxa" w:w="70"/>
              <w:left w:type="dxa" w:w="90"/>
              <w:bottom w:type="dxa" w:w="70"/>
              <w:right w:type="dxa" w:w="90"/>
            </w:tcMar>
            <w:vAlign w:val="top"/>
          </w:tcPr>
          <w:p>
            <w:r>
              <w:rPr>
                <w:b w:val="false"/>
                <w:bCs w:val="false"/>
                <w:color w:val="000000"/>
                <w:sz w:val="16"/>
                <w:szCs w:val="16"/>
              </w:rPr>
              <w:t xml:space="preserve">Access to programme knowledge and market information</w:t>
            </w:r>
          </w:p>
        </w:tc>
        <w:tc>
          <w:tcPr>
            <w:tcW w:type="dxa" w:w="2808"/>
            <w:tcMar>
              <w:top w:type="dxa" w:w="70"/>
              <w:left w:type="dxa" w:w="90"/>
              <w:bottom w:type="dxa" w:w="70"/>
              <w:right w:type="dxa" w:w="90"/>
            </w:tcMar>
            <w:vAlign w:val="top"/>
          </w:tcPr>
          <w:p>
            <w:r>
              <w:rPr>
                <w:b w:val="false"/>
                <w:bCs w:val="false"/>
                <w:color w:val="000000"/>
                <w:sz w:val="16"/>
                <w:szCs w:val="16"/>
              </w:rPr>
              <w:t xml:space="preserve">Served via CKR; engagement measured through usage analytics</w:t>
            </w:r>
          </w:p>
        </w:tc>
      </w:tr>
      <w:tr>
        <w:tc>
          <w:tcPr>
            <w:tcW w:type="dxa" w:w="2808"/>
            <w:tcMar>
              <w:top w:type="dxa" w:w="70"/>
              <w:left w:type="dxa" w:w="90"/>
              <w:bottom w:type="dxa" w:w="70"/>
              <w:right w:type="dxa" w:w="90"/>
            </w:tcMar>
            <w:vAlign w:val="top"/>
          </w:tcPr>
          <w:p>
            <w:r>
              <w:rPr>
                <w:b/>
                <w:bCs/>
                <w:color w:val="000000"/>
                <w:sz w:val="16"/>
                <w:szCs w:val="16"/>
              </w:rPr>
              <w:t xml:space="preserve">General Public</w:t>
            </w:r>
          </w:p>
        </w:tc>
        <w:tc>
          <w:tcPr>
            <w:tcW w:type="dxa" w:w="2808"/>
            <w:tcMar>
              <w:top w:type="dxa" w:w="70"/>
              <w:left w:type="dxa" w:w="90"/>
              <w:bottom w:type="dxa" w:w="70"/>
              <w:right w:type="dxa" w:w="90"/>
            </w:tcMar>
            <w:vAlign w:val="top"/>
          </w:tcPr>
          <w:p>
            <w:r>
              <w:rPr>
                <w:b w:val="false"/>
                <w:bCs w:val="false"/>
                <w:color w:val="000000"/>
                <w:sz w:val="16"/>
                <w:szCs w:val="16"/>
              </w:rPr>
              <w:t xml:space="preserve">Low</w:t>
            </w:r>
          </w:p>
        </w:tc>
        <w:tc>
          <w:tcPr>
            <w:tcW w:type="dxa" w:w="2808"/>
            <w:tcMar>
              <w:top w:type="dxa" w:w="70"/>
              <w:left w:type="dxa" w:w="90"/>
              <w:bottom w:type="dxa" w:w="70"/>
              <w:right w:type="dxa" w:w="90"/>
            </w:tcMar>
            <w:vAlign w:val="top"/>
          </w:tcPr>
          <w:p>
            <w:r>
              <w:rPr>
                <w:b w:val="false"/>
                <w:bCs w:val="false"/>
                <w:color w:val="000000"/>
                <w:sz w:val="16"/>
                <w:szCs w:val="16"/>
              </w:rPr>
              <w:t xml:space="preserve">Low</w:t>
            </w:r>
          </w:p>
        </w:tc>
        <w:tc>
          <w:tcPr>
            <w:tcW w:type="dxa" w:w="2808"/>
            <w:tcMar>
              <w:top w:type="dxa" w:w="70"/>
              <w:left w:type="dxa" w:w="90"/>
              <w:bottom w:type="dxa" w:w="70"/>
              <w:right w:type="dxa" w:w="90"/>
            </w:tcMar>
            <w:vAlign w:val="top"/>
          </w:tcPr>
          <w:p>
            <w:r>
              <w:rPr>
                <w:b w:val="false"/>
                <w:bCs w:val="false"/>
                <w:color w:val="000000"/>
                <w:sz w:val="16"/>
                <w:szCs w:val="16"/>
              </w:rPr>
              <w:t xml:space="preserve">Transparency and access to public knowledge assets</w:t>
            </w:r>
          </w:p>
        </w:tc>
        <w:tc>
          <w:tcPr>
            <w:tcW w:type="dxa" w:w="2808"/>
            <w:tcMar>
              <w:top w:type="dxa" w:w="70"/>
              <w:left w:type="dxa" w:w="90"/>
              <w:bottom w:type="dxa" w:w="70"/>
              <w:right w:type="dxa" w:w="90"/>
            </w:tcMar>
            <w:vAlign w:val="top"/>
          </w:tcPr>
          <w:p>
            <w:r>
              <w:rPr>
                <w:b w:val="false"/>
                <w:bCs w:val="false"/>
                <w:color w:val="000000"/>
                <w:sz w:val="16"/>
                <w:szCs w:val="16"/>
              </w:rPr>
              <w:t xml:space="preserve">Served via CKR's public-facing services; no active engagement required</w:t>
            </w:r>
          </w:p>
        </w:tc>
      </w:tr>
    </w:tbl>
    <w:p>
      <w:pPr>
        <w:pStyle w:val="Heading1"/>
        <w:spacing w:after="130" w:before="300"/>
      </w:pPr>
      <w:r>
        <w:t xml:space="preserve">13. Business Motivation Model</w:t>
      </w:r>
    </w:p>
    <w:p>
      <w:pPr>
        <w:spacing w:after="150" w:line="270"/>
      </w:pPr>
      <w:r>
        <w:t xml:space="preserve">The Business Motivation Model, following the OMG's published BMM standard, distinguishes Ends (what the business seeks to become) from Means (how it gets there), and separately identifies the Influencers that shape both and the Assessments that evaluate them. Applying this standard explicitly gives the vision and objectives already stated in Part 1 a formal, traceable structure that a Steering Committee or IFAD technical reviewer familiar with business-motivation modeling will recognize immediately.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7301"/>
        <w:gridCol w:w="4212"/>
      </w:tblGrid>
      <w:tr>
        <w:trPr>
          <w:tblHeader/>
        </w:trPr>
        <w:tc>
          <w:tcPr>
            <w:tcW w:type="dxa" w:w="2527"/>
            <w:shd w:fill="6E2C00" w:val="clear"/>
            <w:tcMar>
              <w:top w:type="dxa" w:w="70"/>
              <w:left w:type="dxa" w:w="90"/>
              <w:bottom w:type="dxa" w:w="70"/>
              <w:right w:type="dxa" w:w="90"/>
            </w:tcMar>
            <w:vAlign w:val="top"/>
          </w:tcPr>
          <w:p>
            <w:r>
              <w:rPr>
                <w:b/>
                <w:bCs/>
                <w:color w:val="FFFFFF"/>
                <w:sz w:val="16"/>
                <w:szCs w:val="16"/>
              </w:rPr>
              <w:t xml:space="preserve">Element</w:t>
            </w:r>
          </w:p>
        </w:tc>
        <w:tc>
          <w:tcPr>
            <w:tcW w:type="dxa" w:w="7301"/>
            <w:shd w:fill="6E2C00" w:val="clear"/>
            <w:tcMar>
              <w:top w:type="dxa" w:w="70"/>
              <w:left w:type="dxa" w:w="90"/>
              <w:bottom w:type="dxa" w:w="70"/>
              <w:right w:type="dxa" w:w="90"/>
            </w:tcMar>
            <w:vAlign w:val="top"/>
          </w:tcPr>
          <w:p>
            <w:r>
              <w:rPr>
                <w:b/>
                <w:bCs/>
                <w:color w:val="FFFFFF"/>
                <w:sz w:val="16"/>
                <w:szCs w:val="16"/>
              </w:rPr>
              <w:t xml:space="preserve">Content</w:t>
            </w:r>
          </w:p>
        </w:tc>
        <w:tc>
          <w:tcPr>
            <w:tcW w:type="dxa" w:w="4212"/>
            <w:shd w:fill="6E2C00" w:val="clear"/>
            <w:tcMar>
              <w:top w:type="dxa" w:w="70"/>
              <w:left w:type="dxa" w:w="90"/>
              <w:bottom w:type="dxa" w:w="70"/>
              <w:right w:type="dxa" w:w="90"/>
            </w:tcMar>
            <w:vAlign w:val="top"/>
          </w:tcPr>
          <w:p>
            <w:r>
              <w:rPr>
                <w:b/>
                <w:bCs/>
                <w:color w:val="FFFFFF"/>
                <w:sz w:val="16"/>
                <w:szCs w:val="16"/>
              </w:rPr>
              <w:t xml:space="preserve">Source / Traceability</w:t>
            </w:r>
          </w:p>
        </w:tc>
      </w:tr>
      <w:tr>
        <w:tc>
          <w:tcPr>
            <w:tcW w:type="dxa" w:w="2527"/>
            <w:tcMar>
              <w:top w:type="dxa" w:w="70"/>
              <w:left w:type="dxa" w:w="90"/>
              <w:bottom w:type="dxa" w:w="70"/>
              <w:right w:type="dxa" w:w="90"/>
            </w:tcMar>
            <w:vAlign w:val="top"/>
          </w:tcPr>
          <w:p>
            <w:r>
              <w:rPr>
                <w:b/>
                <w:bCs/>
                <w:color w:val="000000"/>
                <w:sz w:val="16"/>
                <w:szCs w:val="16"/>
              </w:rPr>
              <w:t xml:space="preserve">Vision (End)</w:t>
            </w:r>
          </w:p>
        </w:tc>
        <w:tc>
          <w:tcPr>
            <w:tcW w:type="dxa" w:w="7301"/>
            <w:tcMar>
              <w:top w:type="dxa" w:w="70"/>
              <w:left w:type="dxa" w:w="90"/>
              <w:bottom w:type="dxa" w:w="70"/>
              <w:right w:type="dxa" w:w="90"/>
            </w:tcMar>
            <w:vAlign w:val="top"/>
          </w:tcPr>
          <w:p>
            <w:r>
              <w:rPr>
                <w:b w:val="false"/>
                <w:bCs w:val="false"/>
                <w:color w:val="000000"/>
                <w:sz w:val="16"/>
                <w:szCs w:val="16"/>
              </w:rPr>
              <w:t xml:space="preserve">SAPZ operates as a single, transparent, evidence-driven programme enabled by two purpose-built digital systems.</w:t>
            </w:r>
          </w:p>
        </w:tc>
        <w:tc>
          <w:tcPr>
            <w:tcW w:type="dxa" w:w="4212"/>
            <w:tcMar>
              <w:top w:type="dxa" w:w="70"/>
              <w:left w:type="dxa" w:w="90"/>
              <w:bottom w:type="dxa" w:w="70"/>
              <w:right w:type="dxa" w:w="90"/>
            </w:tcMar>
            <w:vAlign w:val="top"/>
          </w:tcPr>
          <w:p>
            <w:r>
              <w:rPr>
                <w:b w:val="false"/>
                <w:bCs w:val="false"/>
                <w:color w:val="000000"/>
                <w:sz w:val="16"/>
                <w:szCs w:val="16"/>
              </w:rPr>
              <w:t xml:space="preserve">Restated from Part 1's Transformation Vision.</w:t>
            </w:r>
          </w:p>
        </w:tc>
      </w:tr>
      <w:tr>
        <w:tc>
          <w:tcPr>
            <w:tcW w:type="dxa" w:w="2527"/>
            <w:tcMar>
              <w:top w:type="dxa" w:w="70"/>
              <w:left w:type="dxa" w:w="90"/>
              <w:bottom w:type="dxa" w:w="70"/>
              <w:right w:type="dxa" w:w="90"/>
            </w:tcMar>
            <w:vAlign w:val="top"/>
          </w:tcPr>
          <w:p>
            <w:r>
              <w:rPr>
                <w:b/>
                <w:bCs/>
                <w:color w:val="000000"/>
                <w:sz w:val="16"/>
                <w:szCs w:val="16"/>
              </w:rPr>
              <w:t xml:space="preserve">Goals (End)</w:t>
            </w:r>
          </w:p>
        </w:tc>
        <w:tc>
          <w:tcPr>
            <w:tcW w:type="dxa" w:w="7301"/>
            <w:tcMar>
              <w:top w:type="dxa" w:w="70"/>
              <w:left w:type="dxa" w:w="90"/>
              <w:bottom w:type="dxa" w:w="70"/>
              <w:right w:type="dxa" w:w="90"/>
            </w:tcMar>
            <w:vAlign w:val="top"/>
          </w:tcPr>
          <w:p>
            <w:r>
              <w:rPr>
                <w:b w:val="false"/>
                <w:bCs w:val="false"/>
                <w:color w:val="000000"/>
                <w:sz w:val="16"/>
                <w:szCs w:val="16"/>
              </w:rPr>
              <w:t xml:space="preserve">Improve operational efficiency; enhance knowledge management; strengthen decision-making; increase transparency.</w:t>
            </w:r>
          </w:p>
        </w:tc>
        <w:tc>
          <w:tcPr>
            <w:tcW w:type="dxa" w:w="4212"/>
            <w:tcMar>
              <w:top w:type="dxa" w:w="70"/>
              <w:left w:type="dxa" w:w="90"/>
              <w:bottom w:type="dxa" w:w="70"/>
              <w:right w:type="dxa" w:w="90"/>
            </w:tcMar>
            <w:vAlign w:val="top"/>
          </w:tcPr>
          <w:p>
            <w:r>
              <w:rPr>
                <w:b w:val="false"/>
                <w:bCs w:val="false"/>
                <w:color w:val="000000"/>
                <w:sz w:val="16"/>
                <w:szCs w:val="16"/>
              </w:rPr>
              <w:t xml:space="preserve">Directly from TOR Section 11 Expected Outcomes.</w:t>
            </w:r>
          </w:p>
        </w:tc>
      </w:tr>
      <w:tr>
        <w:tc>
          <w:tcPr>
            <w:tcW w:type="dxa" w:w="2527"/>
            <w:tcMar>
              <w:top w:type="dxa" w:w="70"/>
              <w:left w:type="dxa" w:w="90"/>
              <w:bottom w:type="dxa" w:w="70"/>
              <w:right w:type="dxa" w:w="90"/>
            </w:tcMar>
            <w:vAlign w:val="top"/>
          </w:tcPr>
          <w:p>
            <w:r>
              <w:rPr>
                <w:b/>
                <w:bCs/>
                <w:color w:val="000000"/>
                <w:sz w:val="16"/>
                <w:szCs w:val="16"/>
              </w:rPr>
              <w:t xml:space="preserve">Objectives (End)</w:t>
            </w:r>
          </w:p>
        </w:tc>
        <w:tc>
          <w:tcPr>
            <w:tcW w:type="dxa" w:w="7301"/>
            <w:tcMar>
              <w:top w:type="dxa" w:w="70"/>
              <w:left w:type="dxa" w:w="90"/>
              <w:bottom w:type="dxa" w:w="70"/>
              <w:right w:type="dxa" w:w="90"/>
            </w:tcMar>
            <w:vAlign w:val="top"/>
          </w:tcPr>
          <w:p>
            <w:r>
              <w:rPr>
                <w:b w:val="false"/>
                <w:bCs w:val="false"/>
                <w:color w:val="000000"/>
                <w:sz w:val="16"/>
                <w:szCs w:val="16"/>
              </w:rPr>
              <w:t xml:space="preserve">Measurable ESM/CKR targets stated in Part 1's Strategic Objectives section (e.g., single system of record, multi-tier workflow with audit trail, public knowledge repository with search).</w:t>
            </w:r>
          </w:p>
        </w:tc>
        <w:tc>
          <w:tcPr>
            <w:tcW w:type="dxa" w:w="4212"/>
            <w:tcMar>
              <w:top w:type="dxa" w:w="70"/>
              <w:left w:type="dxa" w:w="90"/>
              <w:bottom w:type="dxa" w:w="70"/>
              <w:right w:type="dxa" w:w="90"/>
            </w:tcMar>
            <w:vAlign w:val="top"/>
          </w:tcPr>
          <w:p>
            <w:r>
              <w:rPr>
                <w:b w:val="false"/>
                <w:bCs w:val="false"/>
                <w:color w:val="000000"/>
                <w:sz w:val="16"/>
                <w:szCs w:val="16"/>
              </w:rPr>
              <w:t xml:space="preserve">Directly from TOR Section 2.2, restated as assessable targets.</w:t>
            </w:r>
          </w:p>
        </w:tc>
      </w:tr>
      <w:tr>
        <w:tc>
          <w:tcPr>
            <w:tcW w:type="dxa" w:w="2527"/>
            <w:tcMar>
              <w:top w:type="dxa" w:w="70"/>
              <w:left w:type="dxa" w:w="90"/>
              <w:bottom w:type="dxa" w:w="70"/>
              <w:right w:type="dxa" w:w="90"/>
            </w:tcMar>
            <w:vAlign w:val="top"/>
          </w:tcPr>
          <w:p>
            <w:r>
              <w:rPr>
                <w:b/>
                <w:bCs/>
                <w:color w:val="000000"/>
                <w:sz w:val="16"/>
                <w:szCs w:val="16"/>
              </w:rPr>
              <w:t xml:space="preserve">Mission (Means)</w:t>
            </w:r>
          </w:p>
        </w:tc>
        <w:tc>
          <w:tcPr>
            <w:tcW w:type="dxa" w:w="7301"/>
            <w:tcMar>
              <w:top w:type="dxa" w:w="70"/>
              <w:left w:type="dxa" w:w="90"/>
              <w:bottom w:type="dxa" w:w="70"/>
              <w:right w:type="dxa" w:w="90"/>
            </w:tcMar>
            <w:vAlign w:val="top"/>
          </w:tcPr>
          <w:p>
            <w:r>
              <w:rPr>
                <w:b w:val="false"/>
                <w:bCs w:val="false"/>
                <w:color w:val="000000"/>
                <w:sz w:val="16"/>
                <w:szCs w:val="16"/>
              </w:rPr>
              <w:t xml:space="preserve">Design, develop, and deploy ESM and CKR within a twelve-week engagement, under the Individual Consultant Selection method.</w:t>
            </w:r>
          </w:p>
        </w:tc>
        <w:tc>
          <w:tcPr>
            <w:tcW w:type="dxa" w:w="4212"/>
            <w:tcMar>
              <w:top w:type="dxa" w:w="70"/>
              <w:left w:type="dxa" w:w="90"/>
              <w:bottom w:type="dxa" w:w="70"/>
              <w:right w:type="dxa" w:w="90"/>
            </w:tcMar>
            <w:vAlign w:val="top"/>
          </w:tcPr>
          <w:p>
            <w:r>
              <w:rPr>
                <w:b w:val="false"/>
                <w:bCs w:val="false"/>
                <w:color w:val="000000"/>
                <w:sz w:val="16"/>
                <w:szCs w:val="16"/>
              </w:rPr>
              <w:t xml:space="preserve">TOR Sections 3 and 14.</w:t>
            </w:r>
          </w:p>
        </w:tc>
      </w:tr>
      <w:tr>
        <w:tc>
          <w:tcPr>
            <w:tcW w:type="dxa" w:w="2527"/>
            <w:tcMar>
              <w:top w:type="dxa" w:w="70"/>
              <w:left w:type="dxa" w:w="90"/>
              <w:bottom w:type="dxa" w:w="70"/>
              <w:right w:type="dxa" w:w="90"/>
            </w:tcMar>
            <w:vAlign w:val="top"/>
          </w:tcPr>
          <w:p>
            <w:r>
              <w:rPr>
                <w:b/>
                <w:bCs/>
                <w:color w:val="000000"/>
                <w:sz w:val="16"/>
                <w:szCs w:val="16"/>
              </w:rPr>
              <w:t xml:space="preserve">Strategies (Means)</w:t>
            </w:r>
          </w:p>
        </w:tc>
        <w:tc>
          <w:tcPr>
            <w:tcW w:type="dxa" w:w="7301"/>
            <w:tcMar>
              <w:top w:type="dxa" w:w="70"/>
              <w:left w:type="dxa" w:w="90"/>
              <w:bottom w:type="dxa" w:w="70"/>
              <w:right w:type="dxa" w:w="90"/>
            </w:tcMar>
            <w:vAlign w:val="top"/>
          </w:tcPr>
          <w:p>
            <w:r>
              <w:rPr>
                <w:b w:val="false"/>
                <w:bCs w:val="false"/>
                <w:color w:val="000000"/>
                <w:sz w:val="16"/>
                <w:szCs w:val="16"/>
              </w:rPr>
              <w:t xml:space="preserve">Governance-first sequencing; configure-before-build; Phase 1/Phase 2 scope discipline; continuous testing from Week 3.</w:t>
            </w:r>
          </w:p>
        </w:tc>
        <w:tc>
          <w:tcPr>
            <w:tcW w:type="dxa" w:w="4212"/>
            <w:tcMar>
              <w:top w:type="dxa" w:w="70"/>
              <w:left w:type="dxa" w:w="90"/>
              <w:bottom w:type="dxa" w:w="70"/>
              <w:right w:type="dxa" w:w="90"/>
            </w:tcMar>
            <w:vAlign w:val="top"/>
          </w:tcPr>
          <w:p>
            <w:r>
              <w:rPr>
                <w:b w:val="false"/>
                <w:bCs w:val="false"/>
                <w:color w:val="000000"/>
                <w:sz w:val="16"/>
                <w:szCs w:val="16"/>
              </w:rPr>
              <w:t xml:space="preserve">Procurement Intelligence Report, Solution Strategy and Master Bid &amp; Delivery Strategy.</w:t>
            </w:r>
          </w:p>
        </w:tc>
      </w:tr>
      <w:tr>
        <w:tc>
          <w:tcPr>
            <w:tcW w:type="dxa" w:w="2527"/>
            <w:tcMar>
              <w:top w:type="dxa" w:w="70"/>
              <w:left w:type="dxa" w:w="90"/>
              <w:bottom w:type="dxa" w:w="70"/>
              <w:right w:type="dxa" w:w="90"/>
            </w:tcMar>
            <w:vAlign w:val="top"/>
          </w:tcPr>
          <w:p>
            <w:r>
              <w:rPr>
                <w:b/>
                <w:bCs/>
                <w:color w:val="000000"/>
                <w:sz w:val="16"/>
                <w:szCs w:val="16"/>
              </w:rPr>
              <w:t xml:space="preserve">Tactics (Means)</w:t>
            </w:r>
          </w:p>
        </w:tc>
        <w:tc>
          <w:tcPr>
            <w:tcW w:type="dxa" w:w="7301"/>
            <w:tcMar>
              <w:top w:type="dxa" w:w="70"/>
              <w:left w:type="dxa" w:w="90"/>
              <w:bottom w:type="dxa" w:w="70"/>
              <w:right w:type="dxa" w:w="90"/>
            </w:tcMar>
            <w:vAlign w:val="top"/>
          </w:tcPr>
          <w:p>
            <w:r>
              <w:rPr>
                <w:b w:val="false"/>
                <w:bCs w:val="false"/>
                <w:color w:val="000000"/>
                <w:sz w:val="16"/>
                <w:szCs w:val="16"/>
              </w:rPr>
              <w:t xml:space="preserve">Per-state champions network; progressive training-material development; donor-alignment review at Inception; shared taxonomy across ESM/CKR.</w:t>
            </w:r>
          </w:p>
        </w:tc>
        <w:tc>
          <w:tcPr>
            <w:tcW w:type="dxa" w:w="4212"/>
            <w:tcMar>
              <w:top w:type="dxa" w:w="70"/>
              <w:left w:type="dxa" w:w="90"/>
              <w:bottom w:type="dxa" w:w="70"/>
              <w:right w:type="dxa" w:w="90"/>
            </w:tcMar>
            <w:vAlign w:val="top"/>
          </w:tcPr>
          <w:p>
            <w:r>
              <w:rPr>
                <w:b w:val="false"/>
                <w:bCs w:val="false"/>
                <w:color w:val="000000"/>
                <w:sz w:val="16"/>
                <w:szCs w:val="16"/>
              </w:rPr>
              <w:t xml:space="preserve">Procurement Intelligence Report, Winning Bid Strategy and this blueprint's Architecture Principles.</w:t>
            </w:r>
          </w:p>
        </w:tc>
      </w:tr>
      <w:tr>
        <w:tc>
          <w:tcPr>
            <w:tcW w:type="dxa" w:w="2527"/>
            <w:tcMar>
              <w:top w:type="dxa" w:w="70"/>
              <w:left w:type="dxa" w:w="90"/>
              <w:bottom w:type="dxa" w:w="70"/>
              <w:right w:type="dxa" w:w="90"/>
            </w:tcMar>
            <w:vAlign w:val="top"/>
          </w:tcPr>
          <w:p>
            <w:r>
              <w:rPr>
                <w:b/>
                <w:bCs/>
                <w:color w:val="000000"/>
                <w:sz w:val="16"/>
                <w:szCs w:val="16"/>
              </w:rPr>
              <w:t xml:space="preserve">Influencers — Internal</w:t>
            </w:r>
          </w:p>
        </w:tc>
        <w:tc>
          <w:tcPr>
            <w:tcW w:type="dxa" w:w="7301"/>
            <w:tcMar>
              <w:top w:type="dxa" w:w="70"/>
              <w:left w:type="dxa" w:w="90"/>
              <w:bottom w:type="dxa" w:w="70"/>
              <w:right w:type="dxa" w:w="90"/>
            </w:tcMar>
            <w:vAlign w:val="top"/>
          </w:tcPr>
          <w:p>
            <w:r>
              <w:rPr>
                <w:b w:val="false"/>
                <w:bCs w:val="false"/>
                <w:color w:val="000000"/>
                <w:sz w:val="16"/>
                <w:szCs w:val="16"/>
              </w:rPr>
              <w:t xml:space="preserve">Federal-state authority distribution limits NPCO's ability to compel uniform state behavior; KM/ICT Units currently at Level 1 capability maturity.</w:t>
            </w:r>
          </w:p>
        </w:tc>
        <w:tc>
          <w:tcPr>
            <w:tcW w:type="dxa" w:w="4212"/>
            <w:tcMar>
              <w:top w:type="dxa" w:w="70"/>
              <w:left w:type="dxa" w:w="90"/>
              <w:bottom w:type="dxa" w:w="70"/>
              <w:right w:type="dxa" w:w="90"/>
            </w:tcMar>
            <w:vAlign w:val="top"/>
          </w:tcPr>
          <w:p>
            <w:r>
              <w:rPr>
                <w:b w:val="false"/>
                <w:bCs w:val="false"/>
                <w:color w:val="000000"/>
                <w:sz w:val="16"/>
                <w:szCs w:val="16"/>
              </w:rPr>
              <w:t xml:space="preserve">Part 1 Current State assessment.</w:t>
            </w:r>
          </w:p>
        </w:tc>
      </w:tr>
      <w:tr>
        <w:tc>
          <w:tcPr>
            <w:tcW w:type="dxa" w:w="2527"/>
            <w:tcMar>
              <w:top w:type="dxa" w:w="70"/>
              <w:left w:type="dxa" w:w="90"/>
              <w:bottom w:type="dxa" w:w="70"/>
              <w:right w:type="dxa" w:w="90"/>
            </w:tcMar>
            <w:vAlign w:val="top"/>
          </w:tcPr>
          <w:p>
            <w:r>
              <w:rPr>
                <w:b/>
                <w:bCs/>
                <w:color w:val="000000"/>
                <w:sz w:val="16"/>
                <w:szCs w:val="16"/>
              </w:rPr>
              <w:t xml:space="preserve">Influencers — External</w:t>
            </w:r>
          </w:p>
        </w:tc>
        <w:tc>
          <w:tcPr>
            <w:tcW w:type="dxa" w:w="7301"/>
            <w:tcMar>
              <w:top w:type="dxa" w:w="70"/>
              <w:left w:type="dxa" w:w="90"/>
              <w:bottom w:type="dxa" w:w="70"/>
              <w:right w:type="dxa" w:w="90"/>
            </w:tcMar>
            <w:vAlign w:val="top"/>
          </w:tcPr>
          <w:p>
            <w:r>
              <w:rPr>
                <w:b w:val="false"/>
                <w:bCs w:val="false"/>
                <w:color w:val="000000"/>
                <w:sz w:val="16"/>
                <w:szCs w:val="16"/>
              </w:rPr>
              <w:t xml:space="preserve">NDPR; differing AfDB/IFAD/IsDB data expectations; Nigeria's broader digital-government policy environment.</w:t>
            </w:r>
          </w:p>
        </w:tc>
        <w:tc>
          <w:tcPr>
            <w:tcW w:type="dxa" w:w="4212"/>
            <w:tcMar>
              <w:top w:type="dxa" w:w="70"/>
              <w:left w:type="dxa" w:w="90"/>
              <w:bottom w:type="dxa" w:w="70"/>
              <w:right w:type="dxa" w:w="90"/>
            </w:tcMar>
            <w:vAlign w:val="top"/>
          </w:tcPr>
          <w:p>
            <w:r>
              <w:rPr>
                <w:b w:val="false"/>
                <w:bCs w:val="false"/>
                <w:color w:val="000000"/>
                <w:sz w:val="16"/>
                <w:szCs w:val="16"/>
              </w:rPr>
              <w:t xml:space="preserve">Part 1 Business Drivers.</w:t>
            </w:r>
          </w:p>
        </w:tc>
      </w:tr>
      <w:tr>
        <w:tc>
          <w:tcPr>
            <w:tcW w:type="dxa" w:w="2527"/>
            <w:tcMar>
              <w:top w:type="dxa" w:w="70"/>
              <w:left w:type="dxa" w:w="90"/>
              <w:bottom w:type="dxa" w:w="70"/>
              <w:right w:type="dxa" w:w="90"/>
            </w:tcMar>
            <w:vAlign w:val="top"/>
          </w:tcPr>
          <w:p>
            <w:r>
              <w:rPr>
                <w:b/>
                <w:bCs/>
                <w:color w:val="000000"/>
                <w:sz w:val="16"/>
                <w:szCs w:val="16"/>
              </w:rPr>
              <w:t xml:space="preserve">Assessment (Strength)</w:t>
            </w:r>
          </w:p>
        </w:tc>
        <w:tc>
          <w:tcPr>
            <w:tcW w:type="dxa" w:w="7301"/>
            <w:tcMar>
              <w:top w:type="dxa" w:w="70"/>
              <w:left w:type="dxa" w:w="90"/>
              <w:bottom w:type="dxa" w:w="70"/>
              <w:right w:type="dxa" w:w="90"/>
            </w:tcMar>
            <w:vAlign w:val="top"/>
          </w:tcPr>
          <w:p>
            <w:r>
              <w:rPr>
                <w:b w:val="false"/>
                <w:bCs w:val="false"/>
                <w:color w:val="000000"/>
                <w:sz w:val="16"/>
                <w:szCs w:val="16"/>
              </w:rPr>
              <w:t xml:space="preserve">Strong, explicit TOR scope and a clear, singular accountable delivery model under ICS.</w:t>
            </w:r>
          </w:p>
        </w:tc>
        <w:tc>
          <w:tcPr>
            <w:tcW w:type="dxa" w:w="4212"/>
            <w:tcMar>
              <w:top w:type="dxa" w:w="70"/>
              <w:left w:type="dxa" w:w="90"/>
              <w:bottom w:type="dxa" w:w="70"/>
              <w:right w:type="dxa" w:w="90"/>
            </w:tcMar>
            <w:vAlign w:val="top"/>
          </w:tcPr>
          <w:p>
            <w:r>
              <w:rPr>
                <w:b w:val="false"/>
                <w:bCs w:val="false"/>
                <w:color w:val="000000"/>
                <w:sz w:val="16"/>
                <w:szCs w:val="16"/>
              </w:rPr>
              <w:t xml:space="preserve">—</w:t>
            </w:r>
          </w:p>
        </w:tc>
      </w:tr>
      <w:tr>
        <w:tc>
          <w:tcPr>
            <w:tcW w:type="dxa" w:w="2527"/>
            <w:tcMar>
              <w:top w:type="dxa" w:w="70"/>
              <w:left w:type="dxa" w:w="90"/>
              <w:bottom w:type="dxa" w:w="70"/>
              <w:right w:type="dxa" w:w="90"/>
            </w:tcMar>
            <w:vAlign w:val="top"/>
          </w:tcPr>
          <w:p>
            <w:r>
              <w:rPr>
                <w:b/>
                <w:bCs/>
                <w:color w:val="000000"/>
                <w:sz w:val="16"/>
                <w:szCs w:val="16"/>
              </w:rPr>
              <w:t xml:space="preserve">Assessment (Weakness)</w:t>
            </w:r>
          </w:p>
        </w:tc>
        <w:tc>
          <w:tcPr>
            <w:tcW w:type="dxa" w:w="7301"/>
            <w:tcMar>
              <w:top w:type="dxa" w:w="70"/>
              <w:left w:type="dxa" w:w="90"/>
              <w:bottom w:type="dxa" w:w="70"/>
              <w:right w:type="dxa" w:w="90"/>
            </w:tcMar>
            <w:vAlign w:val="top"/>
          </w:tcPr>
          <w:p>
            <w:r>
              <w:rPr>
                <w:b w:val="false"/>
                <w:bCs w:val="false"/>
                <w:color w:val="000000"/>
                <w:sz w:val="16"/>
                <w:szCs w:val="16"/>
              </w:rPr>
              <w:t xml:space="preserve">No pre-existing EA/data-governance function; twelve-week schedule is aggressive for two systems.</w:t>
            </w:r>
          </w:p>
        </w:tc>
        <w:tc>
          <w:tcPr>
            <w:tcW w:type="dxa" w:w="4212"/>
            <w:tcMar>
              <w:top w:type="dxa" w:w="70"/>
              <w:left w:type="dxa" w:w="90"/>
              <w:bottom w:type="dxa" w:w="70"/>
              <w:right w:type="dxa" w:w="90"/>
            </w:tcMar>
            <w:vAlign w:val="top"/>
          </w:tcPr>
          <w:p>
            <w:r>
              <w:rPr>
                <w:b w:val="false"/>
                <w:bCs w:val="false"/>
                <w:color w:val="000000"/>
                <w:sz w:val="16"/>
                <w:szCs w:val="16"/>
              </w:rPr>
              <w:t xml:space="preserve">Part 1 Current State; Master Bid &amp; Delivery Strategy scenario planning.</w:t>
            </w:r>
          </w:p>
        </w:tc>
      </w:tr>
      <w:tr>
        <w:tc>
          <w:tcPr>
            <w:tcW w:type="dxa" w:w="2527"/>
            <w:tcMar>
              <w:top w:type="dxa" w:w="70"/>
              <w:left w:type="dxa" w:w="90"/>
              <w:bottom w:type="dxa" w:w="70"/>
              <w:right w:type="dxa" w:w="90"/>
            </w:tcMar>
            <w:vAlign w:val="top"/>
          </w:tcPr>
          <w:p>
            <w:r>
              <w:rPr>
                <w:b/>
                <w:bCs/>
                <w:color w:val="000000"/>
                <w:sz w:val="16"/>
                <w:szCs w:val="16"/>
              </w:rPr>
              <w:t xml:space="preserve">Assessment (Opportunity)</w:t>
            </w:r>
          </w:p>
        </w:tc>
        <w:tc>
          <w:tcPr>
            <w:tcW w:type="dxa" w:w="7301"/>
            <w:tcMar>
              <w:top w:type="dxa" w:w="70"/>
              <w:left w:type="dxa" w:w="90"/>
              <w:bottom w:type="dxa" w:w="70"/>
              <w:right w:type="dxa" w:w="90"/>
            </w:tcMar>
            <w:vAlign w:val="top"/>
          </w:tcPr>
          <w:p>
            <w:r>
              <w:rPr>
                <w:b w:val="false"/>
                <w:bCs w:val="false"/>
                <w:color w:val="000000"/>
                <w:sz w:val="16"/>
                <w:szCs w:val="16"/>
              </w:rPr>
              <w:t xml:space="preserve">A well-governed shared taxonomy could become a reusable model for other SAPZ components or future donor-financed digital investments.</w:t>
            </w:r>
          </w:p>
        </w:tc>
        <w:tc>
          <w:tcPr>
            <w:tcW w:type="dxa" w:w="4212"/>
            <w:tcMar>
              <w:top w:type="dxa" w:w="70"/>
              <w:left w:type="dxa" w:w="90"/>
              <w:bottom w:type="dxa" w:w="70"/>
              <w:right w:type="dxa" w:w="90"/>
            </w:tcMar>
            <w:vAlign w:val="top"/>
          </w:tcPr>
          <w:p>
            <w:r>
              <w:rPr>
                <w:b w:val="false"/>
                <w:bCs w:val="false"/>
                <w:color w:val="000000"/>
                <w:sz w:val="16"/>
                <w:szCs w:val="16"/>
              </w:rPr>
              <w:t xml:space="preserve">Master Bid &amp; Delivery Strategy generalization discussion.</w:t>
            </w:r>
          </w:p>
        </w:tc>
      </w:tr>
      <w:tr>
        <w:tc>
          <w:tcPr>
            <w:tcW w:type="dxa" w:w="2527"/>
            <w:tcMar>
              <w:top w:type="dxa" w:w="70"/>
              <w:left w:type="dxa" w:w="90"/>
              <w:bottom w:type="dxa" w:w="70"/>
              <w:right w:type="dxa" w:w="90"/>
            </w:tcMar>
            <w:vAlign w:val="top"/>
          </w:tcPr>
          <w:p>
            <w:r>
              <w:rPr>
                <w:b/>
                <w:bCs/>
                <w:color w:val="000000"/>
                <w:sz w:val="16"/>
                <w:szCs w:val="16"/>
              </w:rPr>
              <w:t xml:space="preserve">Assessment (Threat)</w:t>
            </w:r>
          </w:p>
        </w:tc>
        <w:tc>
          <w:tcPr>
            <w:tcW w:type="dxa" w:w="7301"/>
            <w:tcMar>
              <w:top w:type="dxa" w:w="70"/>
              <w:left w:type="dxa" w:w="90"/>
              <w:bottom w:type="dxa" w:w="70"/>
              <w:right w:type="dxa" w:w="90"/>
            </w:tcMar>
            <w:vAlign w:val="top"/>
          </w:tcPr>
          <w:p>
            <w:r>
              <w:rPr>
                <w:b w:val="false"/>
                <w:bCs w:val="false"/>
                <w:color w:val="000000"/>
                <w:sz w:val="16"/>
                <w:szCs w:val="16"/>
              </w:rPr>
              <w:t xml:space="preserve">Adoption resistance and multi-donor data-governance conflict could each undermine sustained value even after a technically successful build.</w:t>
            </w:r>
          </w:p>
        </w:tc>
        <w:tc>
          <w:tcPr>
            <w:tcW w:type="dxa" w:w="4212"/>
            <w:tcMar>
              <w:top w:type="dxa" w:w="70"/>
              <w:left w:type="dxa" w:w="90"/>
              <w:bottom w:type="dxa" w:w="70"/>
              <w:right w:type="dxa" w:w="90"/>
            </w:tcMar>
            <w:vAlign w:val="top"/>
          </w:tcPr>
          <w:p>
            <w:r>
              <w:rPr>
                <w:b w:val="false"/>
                <w:bCs w:val="false"/>
                <w:color w:val="000000"/>
                <w:sz w:val="16"/>
                <w:szCs w:val="16"/>
              </w:rPr>
              <w:t xml:space="preserve">Procurement Intelligence Report Hidden Risk Register.</w:t>
            </w:r>
          </w:p>
        </w:tc>
      </w:tr>
    </w:tbl>
    <w:p>
      <w:pPr>
        <w:pStyle w:val="Heading1"/>
        <w:spacing w:after="130" w:before="300"/>
      </w:pPr>
      <w:r>
        <w:t xml:space="preserve">14. Business Capability Heat Map</w:t>
      </w:r>
    </w:p>
    <w:p>
      <w:pPr>
        <w:spacing w:after="150" w:line="270"/>
      </w:pPr>
      <w:r>
        <w:t xml:space="preserve">The Business Capability Heat Map overlays two ratings onto the eight Level 1 capabilities from the Capability Map: current capability maturity, using the same three-level model introduced in Part 1 (Level 1 ad hoc, Level 2 systematized but consultant-dependent, Level 3 systematized and self-sufficient), and strategic importance to the programme's own stated objectives. The resulting priority rating is the single most direct input to Part 11's Implementation Roadmap, since it identifies exactly which capabilities most urgently need investment within the twelve-week engagement itself, as opposed to those that can reasonably be left to mature over the post-go-live period already discussed in the Master document's scenario planning.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774"/>
        <w:gridCol w:w="2808"/>
        <w:gridCol w:w="2808"/>
        <w:gridCol w:w="3650"/>
      </w:tblGrid>
      <w:tr>
        <w:trPr>
          <w:tblHeader/>
        </w:trPr>
        <w:tc>
          <w:tcPr>
            <w:tcW w:type="dxa" w:w="4774"/>
            <w:shd w:fill="1F3864" w:val="clear"/>
            <w:tcMar>
              <w:top w:type="dxa" w:w="70"/>
              <w:left w:type="dxa" w:w="90"/>
              <w:bottom w:type="dxa" w:w="70"/>
              <w:right w:type="dxa" w:w="90"/>
            </w:tcMar>
            <w:vAlign w:val="top"/>
          </w:tcPr>
          <w:p>
            <w:r>
              <w:rPr>
                <w:b/>
                <w:bCs/>
                <w:color w:val="FFFFFF"/>
                <w:sz w:val="16"/>
                <w:szCs w:val="16"/>
              </w:rPr>
              <w:t xml:space="preserve">Capability</w:t>
            </w:r>
          </w:p>
        </w:tc>
        <w:tc>
          <w:tcPr>
            <w:tcW w:type="dxa" w:w="2808"/>
            <w:shd w:fill="1F3864" w:val="clear"/>
            <w:tcMar>
              <w:top w:type="dxa" w:w="70"/>
              <w:left w:type="dxa" w:w="90"/>
              <w:bottom w:type="dxa" w:w="70"/>
              <w:right w:type="dxa" w:w="90"/>
            </w:tcMar>
            <w:vAlign w:val="top"/>
          </w:tcPr>
          <w:p>
            <w:r>
              <w:rPr>
                <w:b/>
                <w:bCs/>
                <w:color w:val="FFFFFF"/>
                <w:sz w:val="16"/>
                <w:szCs w:val="16"/>
              </w:rPr>
              <w:t xml:space="preserve">Current Maturity</w:t>
            </w:r>
          </w:p>
        </w:tc>
        <w:tc>
          <w:tcPr>
            <w:tcW w:type="dxa" w:w="2808"/>
            <w:shd w:fill="1F3864" w:val="clear"/>
            <w:tcMar>
              <w:top w:type="dxa" w:w="70"/>
              <w:left w:type="dxa" w:w="90"/>
              <w:bottom w:type="dxa" w:w="70"/>
              <w:right w:type="dxa" w:w="90"/>
            </w:tcMar>
            <w:vAlign w:val="top"/>
          </w:tcPr>
          <w:p>
            <w:r>
              <w:rPr>
                <w:b/>
                <w:bCs/>
                <w:color w:val="FFFFFF"/>
                <w:sz w:val="16"/>
                <w:szCs w:val="16"/>
              </w:rPr>
              <w:t xml:space="preserve">Strategic Importance</w:t>
            </w:r>
          </w:p>
        </w:tc>
        <w:tc>
          <w:tcPr>
            <w:tcW w:type="dxa" w:w="3650"/>
            <w:shd w:fill="1F3864" w:val="clear"/>
            <w:tcMar>
              <w:top w:type="dxa" w:w="70"/>
              <w:left w:type="dxa" w:w="90"/>
              <w:bottom w:type="dxa" w:w="70"/>
              <w:right w:type="dxa" w:w="90"/>
            </w:tcMar>
            <w:vAlign w:val="top"/>
          </w:tcPr>
          <w:p>
            <w:r>
              <w:rPr>
                <w:b/>
                <w:bCs/>
                <w:color w:val="FFFFFF"/>
                <w:sz w:val="16"/>
                <w:szCs w:val="16"/>
              </w:rPr>
              <w:t xml:space="preserve">Priority</w:t>
            </w:r>
          </w:p>
        </w:tc>
      </w:tr>
      <w:tr>
        <w:tc>
          <w:tcPr>
            <w:tcW w:type="dxa" w:w="4774"/>
            <w:tcMar>
              <w:top w:type="dxa" w:w="70"/>
              <w:left w:type="dxa" w:w="90"/>
              <w:bottom w:type="dxa" w:w="70"/>
              <w:right w:type="dxa" w:w="90"/>
            </w:tcMar>
            <w:vAlign w:val="top"/>
          </w:tcPr>
          <w:p>
            <w:r>
              <w:rPr>
                <w:b/>
                <w:bCs/>
                <w:color w:val="000000"/>
                <w:sz w:val="16"/>
                <w:szCs w:val="16"/>
              </w:rPr>
              <w:t xml:space="preserve">Centralized Document Management</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3650"/>
            <w:tcMar>
              <w:top w:type="dxa" w:w="70"/>
              <w:left w:type="dxa" w:w="90"/>
              <w:bottom w:type="dxa" w:w="70"/>
              <w:right w:type="dxa" w:w="90"/>
            </w:tcMar>
            <w:vAlign w:val="top"/>
          </w:tcPr>
          <w:p>
            <w:r>
              <w:rPr>
                <w:b w:val="false"/>
                <w:bCs w:val="false"/>
                <w:color w:val="000000"/>
                <w:sz w:val="16"/>
                <w:szCs w:val="16"/>
              </w:rPr>
              <w:t xml:space="preserve">Critical</w:t>
            </w:r>
          </w:p>
        </w:tc>
      </w:tr>
      <w:tr>
        <w:tc>
          <w:tcPr>
            <w:tcW w:type="dxa" w:w="4774"/>
            <w:tcMar>
              <w:top w:type="dxa" w:w="70"/>
              <w:left w:type="dxa" w:w="90"/>
              <w:bottom w:type="dxa" w:w="70"/>
              <w:right w:type="dxa" w:w="90"/>
            </w:tcMar>
            <w:vAlign w:val="top"/>
          </w:tcPr>
          <w:p>
            <w:r>
              <w:rPr>
                <w:b/>
                <w:bCs/>
                <w:color w:val="000000"/>
                <w:sz w:val="16"/>
                <w:szCs w:val="16"/>
              </w:rPr>
              <w:t xml:space="preserve">Workflow Automation &amp; Multi-Tier Approval</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3650"/>
            <w:tcMar>
              <w:top w:type="dxa" w:w="70"/>
              <w:left w:type="dxa" w:w="90"/>
              <w:bottom w:type="dxa" w:w="70"/>
              <w:right w:type="dxa" w:w="90"/>
            </w:tcMar>
            <w:vAlign w:val="top"/>
          </w:tcPr>
          <w:p>
            <w:r>
              <w:rPr>
                <w:b w:val="false"/>
                <w:bCs w:val="false"/>
                <w:color w:val="000000"/>
                <w:sz w:val="16"/>
                <w:szCs w:val="16"/>
              </w:rPr>
              <w:t xml:space="preserve">Critical</w:t>
            </w:r>
          </w:p>
        </w:tc>
      </w:tr>
      <w:tr>
        <w:tc>
          <w:tcPr>
            <w:tcW w:type="dxa" w:w="4774"/>
            <w:tcMar>
              <w:top w:type="dxa" w:w="70"/>
              <w:left w:type="dxa" w:w="90"/>
              <w:bottom w:type="dxa" w:w="70"/>
              <w:right w:type="dxa" w:w="90"/>
            </w:tcMar>
            <w:vAlign w:val="top"/>
          </w:tcPr>
          <w:p>
            <w:r>
              <w:rPr>
                <w:b/>
                <w:bCs/>
                <w:color w:val="000000"/>
                <w:sz w:val="16"/>
                <w:szCs w:val="16"/>
              </w:rPr>
              <w:t xml:space="preserve">Data &amp; Content Governance</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3650"/>
            <w:tcMar>
              <w:top w:type="dxa" w:w="70"/>
              <w:left w:type="dxa" w:w="90"/>
              <w:bottom w:type="dxa" w:w="70"/>
              <w:right w:type="dxa" w:w="90"/>
            </w:tcMar>
            <w:vAlign w:val="top"/>
          </w:tcPr>
          <w:p>
            <w:r>
              <w:rPr>
                <w:b w:val="false"/>
                <w:bCs w:val="false"/>
                <w:color w:val="000000"/>
                <w:sz w:val="16"/>
                <w:szCs w:val="16"/>
              </w:rPr>
              <w:t xml:space="preserve">Critical</w:t>
            </w:r>
          </w:p>
        </w:tc>
      </w:tr>
      <w:tr>
        <w:tc>
          <w:tcPr>
            <w:tcW w:type="dxa" w:w="4774"/>
            <w:tcMar>
              <w:top w:type="dxa" w:w="70"/>
              <w:left w:type="dxa" w:w="90"/>
              <w:bottom w:type="dxa" w:w="70"/>
              <w:right w:type="dxa" w:w="90"/>
            </w:tcMar>
            <w:vAlign w:val="top"/>
          </w:tcPr>
          <w:p>
            <w:r>
              <w:rPr>
                <w:b/>
                <w:bCs/>
                <w:color w:val="000000"/>
                <w:sz w:val="16"/>
                <w:szCs w:val="16"/>
              </w:rPr>
              <w:t xml:space="preserve">Identity, Access &amp; Data Protection</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3650"/>
            <w:tcMar>
              <w:top w:type="dxa" w:w="70"/>
              <w:left w:type="dxa" w:w="90"/>
              <w:bottom w:type="dxa" w:w="70"/>
              <w:right w:type="dxa" w:w="90"/>
            </w:tcMar>
            <w:vAlign w:val="top"/>
          </w:tcPr>
          <w:p>
            <w:r>
              <w:rPr>
                <w:b w:val="false"/>
                <w:bCs w:val="false"/>
                <w:color w:val="000000"/>
                <w:sz w:val="16"/>
                <w:szCs w:val="16"/>
              </w:rPr>
              <w:t xml:space="preserve">High</w:t>
            </w:r>
          </w:p>
        </w:tc>
      </w:tr>
      <w:tr>
        <w:tc>
          <w:tcPr>
            <w:tcW w:type="dxa" w:w="4774"/>
            <w:tcMar>
              <w:top w:type="dxa" w:w="70"/>
              <w:left w:type="dxa" w:w="90"/>
              <w:bottom w:type="dxa" w:w="70"/>
              <w:right w:type="dxa" w:w="90"/>
            </w:tcMar>
            <w:vAlign w:val="top"/>
          </w:tcPr>
          <w:p>
            <w:r>
              <w:rPr>
                <w:b/>
                <w:bCs/>
                <w:color w:val="000000"/>
                <w:sz w:val="16"/>
                <w:szCs w:val="16"/>
              </w:rPr>
              <w:t xml:space="preserve">Knowledge Curation &amp; Public Dissemination</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High</w:t>
            </w:r>
          </w:p>
        </w:tc>
        <w:tc>
          <w:tcPr>
            <w:tcW w:type="dxa" w:w="3650"/>
            <w:tcMar>
              <w:top w:type="dxa" w:w="70"/>
              <w:left w:type="dxa" w:w="90"/>
              <w:bottom w:type="dxa" w:w="70"/>
              <w:right w:type="dxa" w:w="90"/>
            </w:tcMar>
            <w:vAlign w:val="top"/>
          </w:tcPr>
          <w:p>
            <w:r>
              <w:rPr>
                <w:b w:val="false"/>
                <w:bCs w:val="false"/>
                <w:color w:val="000000"/>
                <w:sz w:val="16"/>
                <w:szCs w:val="16"/>
              </w:rPr>
              <w:t xml:space="preserve">High</w:t>
            </w:r>
          </w:p>
        </w:tc>
      </w:tr>
      <w:tr>
        <w:tc>
          <w:tcPr>
            <w:tcW w:type="dxa" w:w="4774"/>
            <w:tcMar>
              <w:top w:type="dxa" w:w="70"/>
              <w:left w:type="dxa" w:w="90"/>
              <w:bottom w:type="dxa" w:w="70"/>
              <w:right w:type="dxa" w:w="90"/>
            </w:tcMar>
            <w:vAlign w:val="top"/>
          </w:tcPr>
          <w:p>
            <w:r>
              <w:rPr>
                <w:b/>
                <w:bCs/>
                <w:color w:val="000000"/>
                <w:sz w:val="16"/>
                <w:szCs w:val="16"/>
              </w:rPr>
              <w:t xml:space="preserve">Programme Performance Monitoring &amp; BI</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Medium-High</w:t>
            </w:r>
          </w:p>
        </w:tc>
        <w:tc>
          <w:tcPr>
            <w:tcW w:type="dxa" w:w="3650"/>
            <w:tcMar>
              <w:top w:type="dxa" w:w="70"/>
              <w:left w:type="dxa" w:w="90"/>
              <w:bottom w:type="dxa" w:w="70"/>
              <w:right w:type="dxa" w:w="90"/>
            </w:tcMar>
            <w:vAlign w:val="top"/>
          </w:tcPr>
          <w:p>
            <w:r>
              <w:rPr>
                <w:b w:val="false"/>
                <w:bCs w:val="false"/>
                <w:color w:val="000000"/>
                <w:sz w:val="16"/>
                <w:szCs w:val="16"/>
              </w:rPr>
              <w:t xml:space="preserve">High</w:t>
            </w:r>
          </w:p>
        </w:tc>
      </w:tr>
      <w:tr>
        <w:tc>
          <w:tcPr>
            <w:tcW w:type="dxa" w:w="4774"/>
            <w:tcMar>
              <w:top w:type="dxa" w:w="70"/>
              <w:left w:type="dxa" w:w="90"/>
              <w:bottom w:type="dxa" w:w="70"/>
              <w:right w:type="dxa" w:w="90"/>
            </w:tcMar>
            <w:vAlign w:val="top"/>
          </w:tcPr>
          <w:p>
            <w:r>
              <w:rPr>
                <w:b/>
                <w:bCs/>
                <w:color w:val="000000"/>
                <w:sz w:val="16"/>
                <w:szCs w:val="16"/>
              </w:rPr>
              <w:t xml:space="preserve">Multi-Stakeholder Engagement &amp; Change Management</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Medium-High</w:t>
            </w:r>
          </w:p>
        </w:tc>
        <w:tc>
          <w:tcPr>
            <w:tcW w:type="dxa" w:w="3650"/>
            <w:tcMar>
              <w:top w:type="dxa" w:w="70"/>
              <w:left w:type="dxa" w:w="90"/>
              <w:bottom w:type="dxa" w:w="70"/>
              <w:right w:type="dxa" w:w="90"/>
            </w:tcMar>
            <w:vAlign w:val="top"/>
          </w:tcPr>
          <w:p>
            <w:r>
              <w:rPr>
                <w:b w:val="false"/>
                <w:bCs w:val="false"/>
                <w:color w:val="000000"/>
                <w:sz w:val="16"/>
                <w:szCs w:val="16"/>
              </w:rPr>
              <w:t xml:space="preserve">High</w:t>
            </w:r>
          </w:p>
        </w:tc>
      </w:tr>
      <w:tr>
        <w:tc>
          <w:tcPr>
            <w:tcW w:type="dxa" w:w="4774"/>
            <w:tcMar>
              <w:top w:type="dxa" w:w="70"/>
              <w:left w:type="dxa" w:w="90"/>
              <w:bottom w:type="dxa" w:w="70"/>
              <w:right w:type="dxa" w:w="90"/>
            </w:tcMar>
            <w:vAlign w:val="top"/>
          </w:tcPr>
          <w:p>
            <w:r>
              <w:rPr>
                <w:b/>
                <w:bCs/>
                <w:color w:val="000000"/>
                <w:sz w:val="16"/>
                <w:szCs w:val="16"/>
              </w:rPr>
              <w:t xml:space="preserve">Project &amp; Task Execution Tracking</w:t>
            </w:r>
          </w:p>
        </w:tc>
        <w:tc>
          <w:tcPr>
            <w:tcW w:type="dxa" w:w="2808"/>
            <w:tcMar>
              <w:top w:type="dxa" w:w="70"/>
              <w:left w:type="dxa" w:w="90"/>
              <w:bottom w:type="dxa" w:w="70"/>
              <w:right w:type="dxa" w:w="90"/>
            </w:tcMar>
            <w:vAlign w:val="top"/>
          </w:tcPr>
          <w:p>
            <w:r>
              <w:rPr>
                <w:b w:val="false"/>
                <w:bCs w:val="false"/>
                <w:color w:val="000000"/>
                <w:sz w:val="16"/>
                <w:szCs w:val="16"/>
              </w:rPr>
              <w:t xml:space="preserve">Level 1</w:t>
            </w:r>
          </w:p>
        </w:tc>
        <w:tc>
          <w:tcPr>
            <w:tcW w:type="dxa" w:w="2808"/>
            <w:tcMar>
              <w:top w:type="dxa" w:w="70"/>
              <w:left w:type="dxa" w:w="90"/>
              <w:bottom w:type="dxa" w:w="70"/>
              <w:right w:type="dxa" w:w="90"/>
            </w:tcMar>
            <w:vAlign w:val="top"/>
          </w:tcPr>
          <w:p>
            <w:r>
              <w:rPr>
                <w:b w:val="false"/>
                <w:bCs w:val="false"/>
                <w:color w:val="000000"/>
                <w:sz w:val="16"/>
                <w:szCs w:val="16"/>
              </w:rPr>
              <w:t xml:space="preserve">Medium</w:t>
            </w:r>
          </w:p>
        </w:tc>
        <w:tc>
          <w:tcPr>
            <w:tcW w:type="dxa" w:w="3650"/>
            <w:tcMar>
              <w:top w:type="dxa" w:w="70"/>
              <w:left w:type="dxa" w:w="90"/>
              <w:bottom w:type="dxa" w:w="70"/>
              <w:right w:type="dxa" w:w="90"/>
            </w:tcMar>
            <w:vAlign w:val="top"/>
          </w:tcPr>
          <w:p>
            <w:r>
              <w:rPr>
                <w:b w:val="false"/>
                <w:bCs w:val="false"/>
                <w:color w:val="000000"/>
                <w:sz w:val="16"/>
                <w:szCs w:val="16"/>
              </w:rPr>
              <w:t xml:space="preserve">Medium</w:t>
            </w:r>
          </w:p>
        </w:tc>
      </w:tr>
    </w:tbl>
    <w:p>
      <w:pPr>
        <w:pStyle w:val="Heading1"/>
        <w:spacing w:after="130" w:before="300"/>
      </w:pPr>
      <w:r>
        <w:t xml:space="preserve">Continuing This Blueprint</w:t>
      </w:r>
    </w:p>
    <w:p>
      <w:pPr>
        <w:spacing w:after="150" w:line="270"/>
      </w:pPr>
      <w:r>
        <w:t xml:space="preserve">Part 3 of this blueprint builds directly on the Business Processes and Value Streams established here, modeling each at the level of detail needed to inform Part 4's Information Architecture — specifically, the data objects each process step creates, reads, or updates, which is the necessary bridge between Business Architecture and the Information Architecture that follows it in the TOGAF ADM sequence.</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2026-07-17T19:33:40.487Z</dcterms:created>
  <dcterms:modified xsi:type="dcterms:W3CDTF">2026-07-17T19:33:40.488Z</dcterms:modified>
</cp:coreProperties>
</file>

<file path=docProps/custom.xml><?xml version="1.0" encoding="utf-8"?>
<Properties xmlns="http://schemas.openxmlformats.org/officeDocument/2006/custom-properties" xmlns:vt="http://schemas.openxmlformats.org/officeDocument/2006/docPropsVTypes"/>
</file>