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Enterprise Architecture &amp; Digital Transformation Blueprint</w:t>
      </w:r>
    </w:p>
    <w:p>
      <w:pPr>
        <w:spacing w:after="60"/>
        <w:jc w:val="center"/>
      </w:pPr>
      <w:r>
        <w:rPr>
          <w:b/>
          <w:bCs/>
          <w:color w:val="1F3864"/>
          <w:sz w:val="26"/>
          <w:szCs w:val="26"/>
        </w:rPr>
        <w:t xml:space="preserve">Part 4 — Enterprise Application Architecture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A 12-application portfolio spanning core platforms, shared services, governance tools, and external/legacy systems</w:t>
      </w:r>
    </w:p>
    <w:p>
      <w:pPr>
        <w:pStyle w:val="Heading1"/>
        <w:spacing w:after="120" w:before="300"/>
      </w:pPr>
      <w:r>
        <w:t xml:space="preserve">Introduction to Part 4</w:t>
      </w:r>
    </w:p>
    <w:p>
      <w:pPr>
        <w:spacing w:after="150" w:line="270"/>
      </w:pPr>
      <w:r>
        <w:t xml:space="preserve">Part 4 identifies every application in the SAPZ ESM/CKR landscape — not only the two systems the TOR names, but every constituent application, shared service, and external system that must exist for the Business Processes in Part 3 to actually run. TOGAF's own Application Architecture discipline treats an 'application portfolio' as the full landscape a business depends on, including systems outside the current engagement's build scope, since an architecture that ignores its own dependencies on external systems is not a complete architecture.</w:t>
      </w:r>
    </w:p>
    <w:p>
      <w:pPr>
        <w:spacing w:after="150" w:line="270"/>
      </w:pPr>
      <w:r>
        <w:t xml:space="preserve">Twelve applications are identified across four tiers: two Core Business Platforms (ESM and CKR themselves); five Shared Enabling Services consumed by both core platforms rather than duplicated within each, directly implementing the Single Source of Truth and API-First Architecture Principles from Part 1; two Governance &amp; Compliance Applications; and three External or Legacy Systems this architecture must integrate with, migrate from, or produce compatible output for, but does not itself build or own. Consistent with the Configure-Before-Build principle, most applications in this portfolio are expected to be configured instances of mature commercial or open-source platforms selected during the Week 1-2 design activity, not custom-built software — this part describes what each application must do and how it relates to the rest of the landscape, not which specific vendor product fills that role, a decision correctly deferred to the Requirements Analysis and System Design phase.</w:t>
      </w:r>
    </w:p>
    <w:p>
      <w:pPr>
        <w:pStyle w:val="Heading1"/>
        <w:spacing w:after="120" w:before="300"/>
      </w:pPr>
      <w:r>
        <w:t xml:space="preserve">Application Portfolio (Summary)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1411"/>
        <w:gridCol w:w="1512"/>
        <w:gridCol w:w="1512"/>
        <w:gridCol w:w="1613"/>
        <w:gridCol w:w="1613"/>
      </w:tblGrid>
      <w:tr>
        <w:trPr>
          <w:tblHeader/>
        </w:trPr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141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1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Build Type</w:t>
            </w:r>
          </w:p>
        </w:tc>
        <w:tc>
          <w:tcPr>
            <w:tcW w:type="dxa" w:w="151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Domain</w:t>
            </w:r>
          </w:p>
        </w:tc>
        <w:tc>
          <w:tcPr>
            <w:tcW w:type="dxa" w:w="16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Availability Target</w:t>
            </w:r>
          </w:p>
        </w:tc>
        <w:tc>
          <w:tcPr>
            <w:tcW w:type="dxa" w:w="16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ESM Core Platform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Platform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Build/Configure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D2, D3, D4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99.5%+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KMC / KM &amp; ICT Units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CKR Content Platform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Platform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Build/Configure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~99.5%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KMC / KM &amp; ICT Units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Identity &amp; Access Management Service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Shared Service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Configure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D7 (cross-cutting)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99.9%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KM &amp; ICT Units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Enterprise Search Service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Shared Service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Configure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D2, D5 (cross-cutting)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Matches host platform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KM &amp; ICT Units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Business Intelligence &amp; Dashboard Service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Shared Service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Configure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D6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99.5%+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NPCO M&amp;E / KM &amp; ICT Units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Notification &amp; Messaging Service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Shared Service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Configure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Cross-cutting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99.5%+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KM &amp; ICT Units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API Gateway / Integration Layer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Shared Service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Configure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Cross-cutting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99.9%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KM &amp; ICT Units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GRC Register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Governance Application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Configure/Module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D1, D7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Business hours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KMC / KM &amp; ICT Units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Training &amp; Capacity-Building Module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Governance Application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Configure/Module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D8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Business hours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KMC / Training Coordinator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SAPZ Public Website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External System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Integrate Only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D5 (external)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controlled by this engagement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External web team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Co-Financing Institution Reporting Interfaces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External System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Integrate Only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D1, D6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applicable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AfDB / IFAD / IsDB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Legacy State-Level Document Stores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Legacy System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Migrate From / Decommission</w:t>
            </w:r>
          </w:p>
        </w:tc>
        <w:tc>
          <w:tcPr>
            <w:tcW w:type="dxa" w:w="151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D2 (current-state)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applicable</w:t>
            </w:r>
          </w:p>
        </w:tc>
        <w:tc>
          <w:tcPr>
            <w:tcW w:type="dxa" w:w="161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State teams (current)</w:t>
            </w:r>
          </w:p>
        </w:tc>
      </w:tr>
    </w:tbl>
    <w:p>
      <w:pPr>
        <w:pStyle w:val="Heading1"/>
        <w:spacing w:after="120" w:before="300"/>
      </w:pPr>
      <w:r>
        <w:t xml:space="preserve">1. ESM Core Platform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Core Business Platform — Document, Workflow &amp; Task Management (Build/Configure)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of record for internal programme documents, multi-tier approvals, and task/project tracking, directly implementing the D2, D3, and D4 Business Domains from Part 2.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NPCO staff, state implementation teams across all seven states plus the FCT, the KMC, and the KM &amp; ICT Units.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lifecycle management, configurable workflow and approval routing, task and milestone tracking, dependency mapping, and audit-trail generation.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Identity &amp; Access Management Service; Notification &amp; Messaging Service; the shared taxonomy defined by the Data &amp; Content Governance Charter.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Central Knowledge Repository (publishing approved content); Business Intelligence &amp; Dashboard Service; Enterprise Search Service; GRC Register.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RBAC and MFA per Part 1's Security-and-Privacy-by-Design principle; encryption at rest and in transit; full audit logging; classified internal/restricted per the ESM/CKR separation principle.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Cloud-hosted with workload-appropriate auto-scaling across all eight jurisdictions, per the AWS/Azure Well-Architected trade-offs named in Part 1.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High-availability configuration with defined RTO/RPO; target uptime of 99.5% or higher, consistent with its status as the system underlying most business-critical processes in Part 3.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Owner: KMC. Technical Owner: KM &amp; ICT Units following handover. Platform selected, not built from scratch, during Week 1-2 design.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 candidate for AI-assisted document classification (per the Solution Strategy) and expanded workflow types as programme components mature.</w:t>
            </w:r>
          </w:p>
        </w:tc>
      </w:tr>
    </w:tbl>
    <w:p>
      <w:pPr>
        <w:pStyle w:val="Heading1"/>
        <w:spacing w:after="120" w:before="300"/>
      </w:pPr>
      <w:r>
        <w:t xml:space="preserve">2. Central Knowledge Repository (CKR) Content Platform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Core Business Platform — Public Knowledge Repository &amp; CMS (Build/Configure)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Public-facing system of record for curated knowledge assets, implementing the D5 Business Domain and the programme's transparency and knowledge-sharing objectives.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General public, private-sector actors, community organizations, state teams as contributors, and the co-financing institutions as consumers.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CMS-based content management, taxonomy-driven organization, search and discovery, usage analytics, and integration with the existing SAPZ website.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Shared taxonomy; Identity &amp; Access Management Service (for internal contributor and editor roles); Enterprise Search Service; Analytics capability.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www.sapz.gov.ng (API or embedded links per TOR Section 3B.5); optional single sign-on with ESM; reference links to ESM-held source documents where a legitimate public-facing need exists.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Public-by-default, restricted-by-exception classification per the Information Governance Principles; RBAC and MFA for editor/administrator roles; standard web-application security hardening given public exposure.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Cloud-hosted and elastic to variable public traffic; content-delivery-network consideration for media-heavy knowledge assets.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uptime of approximately 99.5%; brief, well-communicated maintenance windows are acceptable given its public-information rather than transactional nature.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Owner: KMC. Content stewardship: CKR Content Stewards. Technical Owner: KM &amp; ICT Units.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 candidate for a knowledge graph and AI-assisted search/summarization (per the Solution Strategy); potential expanded multilingual support.</w:t>
            </w:r>
          </w:p>
        </w:tc>
      </w:tr>
    </w:tbl>
    <w:p>
      <w:pPr>
        <w:pStyle w:val="Heading1"/>
        <w:spacing w:after="120" w:before="300"/>
      </w:pPr>
      <w:r>
        <w:t xml:space="preserve">3. Identity &amp; Access Management (IAM) Service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Shared Enabling Service (Configure)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Centralized authentication, authorization, and role management shared across ESM and CKR, avoiding duplicated user-management logic in each system.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system users, directly; every other application in this portfolio, indirectly.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sign-on where appropriate, role-based access control, multi-factor authentication, and full user lifecycle management from onboarding to offboarding.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cloud-native identity provider, or an existing government identity source if one is identified during Week 1-2 discovery.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ESM, CKR, the Business Intelligence &amp; Dashboard Service, and the GRC Register for access-audit purposes.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single most consequential security control point in the entire architecture; MFA mandatory for all privileged roles; access reviewed periodically through the Content Governance and Audit processes.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Designed to scale with user-base growth across states without requiring redesign.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 be among the most highly available services in the portfolio, since both ESM and CKR depend on it; target uptime of 99.9%.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 Owner: KM &amp; ICT Units. Policy Owner: KMC, for access policy.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Potential future federation with a national government identity system, and expanded support for external donor-reviewer accounts.</w:t>
            </w:r>
          </w:p>
        </w:tc>
      </w:tr>
    </w:tbl>
    <w:p>
      <w:pPr>
        <w:pStyle w:val="Heading1"/>
        <w:spacing w:after="120" w:before="300"/>
      </w:pPr>
      <w:r>
        <w:t xml:space="preserve">4. Enterprise Search Service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Shared Enabling Service (Configure)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Provides unified, permission-aware search across ESM's restricted content and CKR's public content, implementing the Search business process from Part 3.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staff (ESM scope) and the general public (CKR scope).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Indexing, faceted search and filtering, relevance tuning, and zero-result-query reporting feeding the Content Governance process.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shared taxonomy; the Identity &amp; Access Management Service, to enforce permission-aware results; content held in both ESM and CKR.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ESM, CKR, and the usage-analytics capability.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 strictly respect the ESM/CKR access boundary so restricted content never appears in public search results — the single most important control specific to this service.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scales with content volume; a cloud-native managed search service is preferred over self-hosted infrastructure, per the Configure-Before-Build principle.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Tied to the availability of the platform it serves; target uptime matching whichever of ESM or CKR is being searched.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 Owner: KM &amp; ICT Units. Content-relevance ownership: Content Stewards.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 candidate for AI-assisted semantic search and summarization, per the Solution Strategy.</w:t>
            </w:r>
          </w:p>
        </w:tc>
      </w:tr>
    </w:tbl>
    <w:p>
      <w:pPr>
        <w:pStyle w:val="Heading1"/>
        <w:spacing w:after="120" w:before="300"/>
      </w:pPr>
      <w:r>
        <w:t xml:space="preserve">5. Business Intelligence &amp; Dashboard Service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Shared Enabling Service (Configure)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Delivers the three-tier executive, management, and operational dashboard capability supporting the Monitoring, Reporting, and Performance Reviews business processes.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National Programme Coordinator, the Steering Committee, the co-financing institutions at summary level, and state teams at operational level.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 or near-real-time KPI dashboards, customizable reporting, and data export in PDF, Excel, and CSV formats.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feeds from ESM (workflow and task data) and CKR (usage analytics).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ESM, CKR, and externally donor-compatible reporting formats.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dashboard views, so a state team sees its own data while NPCO and donors see aggregate views; no export of restricted underlying documents through this service.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cloud-native embedded analytics service scaling with data volume and concurrent dashboard users.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uptime aligned with ESM at 99.5% or higher, reflecting its role as a core governance tool under the Evidence-Based Governance principle from Part 1.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Owner: the NPCO M&amp;E function. Technical Owner: KM &amp; ICT Units.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 candidate for predictive analytics — bottleneck prediction — per the Solution Strategy's AI positioning.</w:t>
            </w:r>
          </w:p>
        </w:tc>
      </w:tr>
    </w:tbl>
    <w:p>
      <w:pPr>
        <w:pStyle w:val="Heading1"/>
        <w:spacing w:after="120" w:before="300"/>
      </w:pPr>
      <w:r>
        <w:t xml:space="preserve">6. Notification &amp; Messaging Service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Shared Enabling Service (Configure)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Delivers the rule-driven, event-triggered notifications underlying the Notifications business process across every other application in this portfolio.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system users, indirectly, as recipients of alerts triggered by other applications' events.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Event-driven alerting, escalation logic, per-role notification preferences, and both in-app and email delivery.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 streams from ESM, CKR, and the GRC Register.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ESM (approvals, tasks), CKR (publishing events), and the GRC Register (risk and issue escalation).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sensitive document content is transmitted in notification bodies; notifications reference records that still require authenticated access to view in full.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cloud-native messaging service scaling with event volume across the whole portfolio.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availability required, since missed notifications directly undermine the Approval Workflow's escalation logic; target uptime of 99.5% or higher.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 Owner: KM &amp; ICT Units. Policy Owner: KMC, for SLA and escalation thresholds.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Potential SMS channel addition for state-level users with limited email access, if warranted after go-live.</w:t>
            </w:r>
          </w:p>
        </w:tc>
      </w:tr>
    </w:tbl>
    <w:p>
      <w:pPr>
        <w:pStyle w:val="Heading1"/>
        <w:spacing w:after="120" w:before="300"/>
      </w:pPr>
      <w:r>
        <w:t xml:space="preserve">7. API Gateway / Integration Layer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Shared Enabling Service (Configure)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Provides the documented, versioned API-first integration backbone connecting ESM, CKR, the external SAPZ website, and any future systems, implementing Part 1's API-First Architecture Principle directly.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direct end-users; consumed exclusively by other applications in this portfolio.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management, versioning, service-to-service authentication, rate limiting, and integration monitoring.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Identity &amp; Access Management Service, for service authentication; every integrated application.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ESM, CKR, the SAPZ public website, and potential future donor-reporting integrations.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Service-to-service authentication (such as OAuth2 or API keys), encrypted transport, and logging of every integration call for audit purposes.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cloud-native API gateway scaling independently of the applications it connects.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availability required as a shared dependency underlying all cross-system integration; target uptime of 99.9%.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 Owner: KM &amp; ICT Units.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Expansion to support state-level system integrations or additional donor-reporting portals as those needs mature.</w:t>
            </w:r>
          </w:p>
        </w:tc>
      </w:tr>
    </w:tbl>
    <w:p>
      <w:pPr>
        <w:pStyle w:val="Heading1"/>
        <w:spacing w:after="120" w:before="300"/>
      </w:pPr>
      <w:r>
        <w:t xml:space="preserve">8. Governance, Risk &amp; Compliance (GRC) Register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Governance &amp; Compliance Application (Configure or ESM Module)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Supports the Risk Management, Issue Management, Content Governance, and Audit business processes with a single structured register, replacing scattered spreadsheets.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Data &amp; Content Governance Board, the KMC, the Compliance function, and the Steering Committee.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and issue logging and tracking, probability/impact rating, audit-trail export, and a content-governance decision log.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ESM audit-log data; the Notification &amp; Messaging Service, for escalation.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ESM, the Notification Service, and the Meeting Management process for action-item tracking.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Restricted to governance-role users, given the potentially sensitive nature of risk and compliance information it holds.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Modest data volume; a design decision during Week 1-2 will determine whether this is a dedicated module within ESM or a lightweight standalone tool.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business-hours availability is sufficient; does not require ESM/CKR's own higher uptime target.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Owner: KMC. Technical Owner: KM &amp; ICT Units.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Potential integration with donor-specific risk-reporting templates if requested by AfDB, IFAD, or IsDB.</w:t>
            </w:r>
          </w:p>
        </w:tc>
      </w:tr>
    </w:tbl>
    <w:p>
      <w:pPr>
        <w:pStyle w:val="Heading1"/>
        <w:spacing w:after="120" w:before="300"/>
      </w:pPr>
      <w:r>
        <w:t xml:space="preserve">9. Training &amp; Capacity-Building Management Module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Governance &amp; Compliance Application (Configure or ESM Module)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Supports the Training business process — curriculum tracking, attendance, and completion records — across the champions network and all trained staff.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Training Coordinator, the champions network, and all trained staff across the seven states and the FCT.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Course and curriculum catalog, attendance tracking, completion certification, and refresher scheduling.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Identity &amp; Access Management Service, for role-based auto-enrollment; data from the User Onboarding process.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ESM, for user roles; the Notification Service, for refresher reminders.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internal access controls; the data involved is of low sensitivity.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to moderate; a lightweight module is appropriate at this programme's scale rather than a dedicated enterprise learning-management system.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business-hours availability.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Owner: KMC. Technical Owner: the Training Coordinator, supported by KM &amp; ICT Units.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Could expand into a fuller learning-management system if SAPZ's training needs grow beyond this programme's initial scope.</w:t>
            </w:r>
          </w:p>
        </w:tc>
      </w:tr>
    </w:tbl>
    <w:p>
      <w:pPr>
        <w:pStyle w:val="Heading1"/>
        <w:spacing w:after="120" w:before="300"/>
      </w:pPr>
      <w:r>
        <w:t xml:space="preserve">10. SAPZ Public Website (www.sapz.gov.ng)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External System (Integrate Only — Not Built by This Engagement)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programme's existing public web presence, which CKR integrates with rather than replaces.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general public.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yet assessed; pending the Week 1-2 technical discovery already flagged as a schedule risk in the Procurement Intelligence Report.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created by this engagement; this engagement instead depends on understanding the site's existing technology stack before finalizing the integration method.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CKR, via API or embedded links, per TOR Section 3B.5.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Outside this engagement's direct control; the integration itself must not introduce a new vulnerability into the existing site.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 / 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Governed entirely by the existing website's own hosting arrangement, not by this engagement.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External to this engagement; likely a separate government web team or vendor.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Potential single sign-on integration with ESM/CKR, explicitly marked optional in the TOR, if the existing site's technology permits.</w:t>
            </w:r>
          </w:p>
        </w:tc>
      </w:tr>
    </w:tbl>
    <w:p>
      <w:pPr>
        <w:pStyle w:val="Heading1"/>
        <w:spacing w:after="120" w:before="300"/>
      </w:pPr>
      <w:r>
        <w:t xml:space="preserve">11. Co-Financing Institution Reporting Interfaces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External Systems (Integrate Only — Not Built by This Engagement)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Represents the reporting and disclosure touchpoints with AfDB, IFAD, and IsDB's own respective systems or templates, which this architecture must produce compatible output for.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NPCO reporting staff and donor supervision teams.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owned by this engagement; the Business Intelligence &amp; Dashboard Service must simply produce exports compatible with each institution's expected format.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Business Intelligence &amp; Dashboard Service's data-export capability; the Reporting business process.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Export/interface touchpoint only; no deep system integration is assumed absent further donor-specific technical detail.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data shared externally must satisfy the tri-donor data-governance review already flagged as a hidden risk in the Master document.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 / 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applicable; these are external institutional systems entirely outside this engagement's scope.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External — each respective co-financing institution.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Potential deeper integration, such as direct API submission, if donor systems mature to support it.</w:t>
            </w:r>
          </w:p>
        </w:tc>
      </w:tr>
    </w:tbl>
    <w:p>
      <w:pPr>
        <w:pStyle w:val="Heading1"/>
        <w:spacing w:after="120" w:before="300"/>
      </w:pPr>
      <w:r>
        <w:t xml:space="preserve">12. Legacy State-Level Document Stores</w:t>
      </w:r>
    </w:p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Legacy Systems (To Be Migrated From and Decommissioned)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Represents the fragmented, decentralized shared drives, email archives, and local file stores currently in use across the seven states and the FCT — the current-state landscape ESM and CKR are replacing, per Part 1's Current State assessment.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State-level staff, currently.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 hoc, ungoverned storage with no workflow, versioning, or shared taxonomy.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None; these are standalone legacy systems.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one-time migration integration only, via the Legacy Content Migration Process already defined in the Requirements Traceability Matrix and Part 3.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Unknown or inconsistent — the primary reason the audit-before-migrate mitigation was established as a hidden-risk response in the Master document.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Scalability / Availability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applicable; these systems are being retired, not scaled.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State-level teams, informally, under current practice.</w:t>
            </w:r>
          </w:p>
        </w:tc>
      </w:tr>
      <w:tr>
        <w:tc>
          <w:tcPr>
            <w:tcW w:type="dxa" w:w="2016"/>
            <w:shd w:fill="EDE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Future Evolution</w:t>
            </w:r>
          </w:p>
        </w:tc>
        <w:tc>
          <w:tcPr>
            <w:tcW w:type="dxa" w:w="806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Planned decommissioning after successful, validated migration; retained temporarily in read-only form as a rollback safety net during transition, then formally retired.</w:t>
            </w:r>
          </w:p>
        </w:tc>
      </w:tr>
    </w:tbl>
    <w:p>
      <w:pPr>
        <w:pStyle w:val="Heading1"/>
        <w:spacing w:after="120" w:before="300"/>
      </w:pPr>
      <w:r>
        <w:t xml:space="preserve">Continuing This Blueprint</w:t>
      </w:r>
    </w:p>
    <w:p>
      <w:pPr>
        <w:spacing w:after="150" w:line="270"/>
      </w:pPr>
      <w:r>
        <w:t xml:space="preserve">Part 5 of this blueprint develops the Integration Architecture connecting the applications identified here in operational detail — the specific integration patterns, data-exchange formats, and sequencing dependencies the API Gateway and Notification Service must support — building directly on the Dependencies and Integrations fields established for each application in this part.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2026-07-17T19:48:06.692Z</dcterms:created>
  <dcterms:modified xsi:type="dcterms:W3CDTF">2026-07-17T19:48:06.693Z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