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1F3864"/>
          <w:sz w:val="26"/>
          <w:szCs w:val="26"/>
        </w:rPr>
        <w:t xml:space="preserve">Part 5 of 11 — Functional Architecture</w:t>
      </w:r>
    </w:p>
    <w:p>
      <w:pPr>
        <w:spacing w:after="260"/>
        <w:jc w:val="center"/>
      </w:pPr>
      <w:r>
        <w:rPr>
          <w:i/>
          <w:iCs/>
          <w:color w:val="555555"/>
          <w:sz w:val="19"/>
          <w:szCs w:val="19"/>
        </w:rPr>
        <w:t xml:space="preserve">28 functional modules across six layers, each specified against 13 attributes</w:t>
      </w:r>
    </w:p>
    <w:p>
      <w:pPr>
        <w:pStyle w:val="Heading1"/>
        <w:spacing w:after="120" w:before="300"/>
      </w:pPr>
      <w:r>
        <w:t xml:space="preserve">Introduction to Part 5</w:t>
      </w:r>
    </w:p>
    <w:p>
      <w:pPr>
        <w:spacing w:after="150" w:line="270"/>
      </w:pPr>
      <w:r>
        <w:t xml:space="preserve">Part 5 decomposes ESM and CKR into twenty-eight functional modules — the user-facing units of capability a Steering Committee, CTO, or Architecture Review Board would expect to see in a module-level functional specification, sitting one level of detail below the Application Architecture in Part 4 and the Business Process Architecture in Part 3. Each application identified in Part 4 is realized through one or more of the modules below; each module, in turn, executes one or more of the business processes modeled in Part 3.</w:t>
      </w:r>
    </w:p>
    <w:p>
      <w:pPr>
        <w:spacing w:after="150" w:line="270"/>
      </w:pPr>
      <w:r>
        <w:t xml:space="preserve">The twenty-eight modules are organized into six functional layers, an organizing device this blueprint introduces at this level because a flat list of twenty-eight items is harder to reason about than six coherent groups: the Strategic &amp; Programme Layer (planning and execution visibility), the Process &amp; Workflow Layer (routing, approvals, and governance registers), the Content &amp; Knowledge Layer (documents, knowledge assets, media, and search), the Insight &amp; Reporting Layer (reports, analytics, and business intelligence), the Platform &amp; Administration Layer (the technical and security backbone), and the Capability, Support &amp; Access Layer (training, help, and alternative access channels).</w:t>
      </w:r>
    </w:p>
    <w:p>
      <w:pPr>
        <w:spacing w:after="150" w:line="270"/>
      </w:pPr>
      <w:r>
        <w:t xml:space="preserve">Every module below is described against the same thirteen attributes, each answering a distinct architectural question: Purpose and Business Value (why the module exists and what it is worth), Features (what it does), Priority (how urgently it is needed, using the MoSCoW classification from Part 2), Dependencies (what it relies on), Inputs and Outputs (what flows through it), Users (who uses it), Workflows (which Part 3 process it executes), Reports and KPIs (what it measures), Notifications (what events it raises), and Administration (how it is configured and governed after handover).</w:t>
      </w:r>
    </w:p>
    <w:p>
      <w:pPr>
        <w:pStyle w:val="Heading1"/>
        <w:spacing w:after="120" w:before="300"/>
      </w:pPr>
      <w:r>
        <w:t xml:space="preserve">Group A — Strategic &amp; Programme Layer</w:t>
      </w:r>
    </w:p>
    <w:p>
      <w:pPr>
        <w:spacing w:after="150" w:line="270"/>
      </w:pPr>
      <w:r>
        <w:t xml:space="preserve">The Strategic &amp; Programme Layer gives programme leadership, at every level from state team to co-financing institution, visibility into and control over planning and execution — directly answering the TOR's own 'limited visibility' and 'weak coordination' findings.</w:t>
      </w:r>
    </w:p>
    <w:p>
      <w:pPr>
        <w:pStyle w:val="Heading2"/>
        <w:spacing w:after="90" w:before="200"/>
      </w:pPr>
      <w:r>
        <w:t xml:space="preserve">1. Executive Dashboard</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NPCO leadership, the Steering Committee, and co-financing institutions a single, real-time view of programme-wide performance.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Configurable KPI widgets; drill-down from national to state level; donor-ready export views; at-risk milestone alert indicators.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Directly answers the TOR's 'limited visibility' finding and implements the Evidence-Based Governance principle from Part 1.</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Business Intelligence &amp; Dashboard Service (Part 4); Programme Management and Reports modules.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Aggregated KPI data from Programme Management, Projects, Tasks, and Analytics.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Executive-level visual dashboard; exportable donor summary.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National Programme Coordinator, Steering Committee, co-financing institution observers.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Monitoring (P13), Reporting (P14).</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Programme Performance Summary; Donor Assurance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Timely-delivery percentage; overall programme risk exposure; budget absorption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Alert when a KPI crosses a defined threshold, such as a milestone at risk.</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Widget configuration, threshold settings, access-tier assignment (executive/management/operational).</w:t>
            </w:r>
          </w:p>
        </w:tc>
      </w:tr>
    </w:tbl>
    <w:p>
      <w:pPr>
        <w:pStyle w:val="Heading2"/>
        <w:spacing w:after="90" w:before="200"/>
      </w:pPr>
      <w:r>
        <w:t xml:space="preserve">2. Programme Management</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Manage the national, multi-year Programme Lifecycle across all four components and seven states plus the FCT.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Annual work-plan builder; component-alignment view; consolidated national plan roll-up; budget tracking.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Resolves the weak national-state coordination named in the TOR's Problem Statement.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Projects and Approvals modules; Executive Dashboard.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State-level work plans, component objectives, budget allocations.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Approved, consolidated national programme plan.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National Programme Coordinator, Component Leads, State Teams.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Programme Lifecycle (P3).</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Annual Work Plan; Mid-Year and Annual Review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Plan-approval cycle time; component alignment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Plan submission deadlines; approval status changes.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Component/state structure configuration; budget-line setup.</w:t>
            </w:r>
          </w:p>
        </w:tc>
      </w:tr>
    </w:tbl>
    <w:p>
      <w:pPr>
        <w:pStyle w:val="Heading2"/>
        <w:spacing w:after="90" w:before="200"/>
      </w:pPr>
      <w:r>
        <w:t xml:space="preserve">3. Projects</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Manage individual SAPZ projects and activities from initiation to closure.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Project registration, resourcing, status tracking, closure and lessons-learned capture.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Converts approved plans into accountable, trackable execution.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Tasks module; Programme Management; Knowledge Capture (feeds the Knowledge Repository at closure).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Approved plans from the Approvals module; resource assignments.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Project status records; closure reports.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Project Leads, State Teams, NPCO.</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Project Lifecycle (P2).</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Project Status Report; Closure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On-time project completion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Milestone due; project overdue; closure pending sign-off.</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Project-template configuration; custom field management.</w:t>
            </w:r>
          </w:p>
        </w:tc>
      </w:tr>
    </w:tbl>
    <w:p>
      <w:pPr>
        <w:pStyle w:val="Heading2"/>
        <w:spacing w:after="90" w:before="200"/>
      </w:pPr>
      <w:r>
        <w:t xml:space="preserve">4. Tasks</w:t>
      </w:r>
    </w:p>
    <w:p>
      <w:pPr>
        <w:spacing w:after="100"/>
      </w:pPr>
      <w:r>
        <w:rPr>
          <w:b/>
          <w:bCs/>
          <w:sz w:val="18"/>
          <w:szCs w:val="18"/>
        </w:rPr>
        <w:t xml:space="preserve">Priority: </w:t>
      </w:r>
      <w:r>
        <w:rPr>
          <w:b/>
          <w:bCs/>
          <w:color w:val="1F3864"/>
          <w:sz w:val="18"/>
          <w:szCs w:val="18"/>
        </w:rPr>
        <w:t xml:space="preserve">High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Break projects into assignable, trackable units of work with dependencies and milestones.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Task creation and assignment; dependency mapping; Kanban and list views; milestone tracking.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Directly implements TOR Section 3A.4, Project and Task Management.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Projects module; Notifications module.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Task breakdown from an approved project.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Task status and completion records feeding dashboards.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Task owners, Project Leads.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Plan-to-Task Conversion (within the Project Lifecycle, P2/P3).</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Task Completion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Task on-time completion rate; average task cycle time.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Task assigned; due soon; overdue.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Task-status taxonomy; priority-level definitions.</w:t>
            </w:r>
          </w:p>
        </w:tc>
      </w:tr>
    </w:tbl>
    <w:p>
      <w:pPr>
        <w:pStyle w:val="Heading2"/>
        <w:spacing w:after="90" w:before="200"/>
      </w:pPr>
      <w:r>
        <w:t xml:space="preserve">5. Meetings</w:t>
      </w:r>
    </w:p>
    <w:p>
      <w:pPr>
        <w:spacing w:after="100"/>
      </w:pPr>
      <w:r>
        <w:rPr>
          <w:b/>
          <w:bCs/>
          <w:sz w:val="18"/>
          <w:szCs w:val="18"/>
        </w:rPr>
        <w:t xml:space="preserve">Priority: </w:t>
      </w:r>
      <w:r>
        <w:rPr>
          <w:b/>
          <w:bCs/>
          <w:color w:val="1F3864"/>
          <w:sz w:val="18"/>
          <w:szCs w:val="18"/>
        </w:rPr>
        <w:t xml:space="preserve">Medium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Support the Meeting Management process for all governance bodies established in Part 2.</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Scheduling, agenda builder, pre-read distribution, minute capture, action-item creation.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Converts informal governance meetings into an auditable, accountable practice.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Calendar module; Tasks module, for action items; Notifications module.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Meeting requests, standing agenda items, prior action items.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Minutes; action-item records.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NPCO Secretariat, Steering Committee, Governance Board members.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Meeting Management (P7).</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Meeting Minutes Log; Outstanding Action Items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Action-item closure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Meeting invitation; pre-read available; action item assigned.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Governance-body configuration; recurring-meeting templates.</w:t>
            </w:r>
          </w:p>
        </w:tc>
      </w:tr>
    </w:tbl>
    <w:p>
      <w:pPr>
        <w:pStyle w:val="Heading2"/>
        <w:spacing w:after="90" w:before="200"/>
      </w:pPr>
      <w:r>
        <w:t xml:space="preserve">6. Calendar</w:t>
      </w:r>
    </w:p>
    <w:p>
      <w:pPr>
        <w:spacing w:after="100"/>
      </w:pPr>
      <w:r>
        <w:rPr>
          <w:b/>
          <w:bCs/>
          <w:sz w:val="18"/>
          <w:szCs w:val="18"/>
        </w:rPr>
        <w:t xml:space="preserve">Priority: </w:t>
      </w:r>
      <w:r>
        <w:rPr>
          <w:b/>
          <w:bCs/>
          <w:color w:val="1F3864"/>
          <w:sz w:val="18"/>
          <w:szCs w:val="18"/>
        </w:rPr>
        <w:t xml:space="preserve">Medium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a shared, role-aware calendar of milestones, meetings, approval deadlines, and training events.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Multi-view calendar (national/state); milestone overlay; integration with Tasks and Meetings.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Improves cross-state coordination visibility, addressing the weak-coordination pain point.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Meetings, Tasks, and Training modules.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Dates from Tasks, Meetings, Training, and Approvals modules.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Consolidated calendar view.</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internal users.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Supports Meeting Management and Project Lifecycle scheduling.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Upcoming Deadlines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Not a primary KPI source; supports on-time metrics captured elsewhere.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Upcoming event reminders.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Calendar visibility and sharing rules; event-type configuration.</w:t>
            </w:r>
          </w:p>
        </w:tc>
      </w:tr>
    </w:tbl>
    <w:p>
      <w:pPr>
        <w:pStyle w:val="Heading1"/>
        <w:spacing w:after="120" w:before="300"/>
      </w:pPr>
      <w:r>
        <w:t xml:space="preserve">Group B — Process &amp; Workflow Layer</w:t>
      </w:r>
    </w:p>
    <w:p>
      <w:pPr>
        <w:spacing w:after="150" w:line="270"/>
      </w:pPr>
      <w:r>
        <w:t xml:space="preserve">The Process &amp; Workflow Layer automates the routing, approval, and governance-register functions that replace the TOR's own named 'heavy reliance on manual workflows and approval processes.'</w:t>
      </w:r>
    </w:p>
    <w:p>
      <w:pPr>
        <w:pStyle w:val="Heading2"/>
        <w:spacing w:after="90" w:before="200"/>
      </w:pPr>
      <w:r>
        <w:t xml:space="preserve">7. Workflow (Engine)</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The configurable engine underlying the Approval Workflow process and other routed processes.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Visual workflow designer; multi-tier routing rules; escalation logic; SLA timers.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Directly resolves the TOR's 'heavy reliance on manual workflows' finding.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Identity Management, for routing to roles; Notifications; Document Management.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A document or record submitted for routing.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A routed, decisioned record with a full audit trail.</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approvers and originators.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Approval Workflow (P6), Procurement Tracking (P8), Change Management (P11).</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Workflow Cycle-Time Report; Bottleneck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Average approval cycle time; escalation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Routing, escalation, and decision notifications.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Workflow design and configuration; SLA threshold settings.</w:t>
            </w:r>
          </w:p>
        </w:tc>
      </w:tr>
    </w:tbl>
    <w:p>
      <w:pPr>
        <w:pStyle w:val="Heading2"/>
        <w:spacing w:after="90" w:before="200"/>
      </w:pPr>
      <w:r>
        <w:t xml:space="preserve">8. Approvals</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The user-facing module through which approvers review and decide on routed items.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Approval inbox; bulk actions; delegation; e-signature; decision history.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Gives time-constrained, often senior approvers an efficient single interface.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Workflow engine; Identity Management; Notifications.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Items routed by the Workflow engine.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Approval, rejection, or return decisions.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State, regional, and national approvers.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Approval Workflow (P6).</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Pending Approvals Report; Approver Performance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Approval turnaround time by tier.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New item pending; delegation confirmation.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Delegation rules; approver-role assignment.</w:t>
            </w:r>
          </w:p>
        </w:tc>
      </w:tr>
    </w:tbl>
    <w:p>
      <w:pPr>
        <w:pStyle w:val="Heading2"/>
        <w:spacing w:after="90" w:before="200"/>
      </w:pPr>
      <w:r>
        <w:t xml:space="preserve">9. Risk Register</w:t>
      </w:r>
    </w:p>
    <w:p>
      <w:pPr>
        <w:spacing w:after="100"/>
      </w:pPr>
      <w:r>
        <w:rPr>
          <w:b/>
          <w:bCs/>
          <w:sz w:val="18"/>
          <w:szCs w:val="18"/>
        </w:rPr>
        <w:t xml:space="preserve">Priority: </w:t>
      </w:r>
      <w:r>
        <w:rPr>
          <w:b/>
          <w:bCs/>
          <w:color w:val="1F3864"/>
          <w:sz w:val="18"/>
          <w:szCs w:val="18"/>
        </w:rPr>
        <w:t xml:space="preserve">High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Support the Risk Management process, converting the TOR's Section 12 and the Master document's Hidden Risk Register into a living tool.</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Risk logging; probability/impact rating; mitigation tracking; heat-map visualization.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Gives the Governance Board and Steering Committee a structured, current view of programme risk.</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GRC Register application (Part 4); Notifications; Meetings.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Risk entries logged by any staff member.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A rated, tracked risk register; escalated issues where a risk materializes.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Data &amp; Content Governance Board, KMC, Steering Committee.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Risk Management (P9).</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Risk Heat Map; Top Risks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Number of high-priority risks open beyond their review cycle.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Review due; risk materialized, triggering escalation to the Issue Register.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Risk category taxonomy; rating-scale configuration.</w:t>
            </w:r>
          </w:p>
        </w:tc>
      </w:tr>
    </w:tbl>
    <w:p>
      <w:pPr>
        <w:pStyle w:val="Heading2"/>
        <w:spacing w:after="90" w:before="200"/>
      </w:pPr>
      <w:r>
        <w:t xml:space="preserve">10. Issue Register</w:t>
      </w:r>
    </w:p>
    <w:p>
      <w:pPr>
        <w:spacing w:after="100"/>
      </w:pPr>
      <w:r>
        <w:rPr>
          <w:b/>
          <w:bCs/>
          <w:sz w:val="18"/>
          <w:szCs w:val="18"/>
        </w:rPr>
        <w:t xml:space="preserve">Priority: </w:t>
      </w:r>
      <w:r>
        <w:rPr>
          <w:b/>
          <w:bCs/>
          <w:color w:val="1F3864"/>
          <w:sz w:val="18"/>
          <w:szCs w:val="18"/>
        </w:rPr>
        <w:t xml:space="preserve">High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Support the Issue Management process for problems that have actually occurred, as distinct from potential risks.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Issue logging; triage and categorization; assignment; resolution tracking.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Prevents operational problems from being lost or left unresolved; feeds systemic-pattern detection.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Risk Register, for escalation linkage; Notifications; Workflow.</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Issues logged by any user.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Resolved, closed issue records; systemic patterns feeding Content Governance.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KM &amp; ICT Units, the designated Issue Coordinator.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Issue Management (P10).</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Open Issues Report; Resolution Time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Average issue-resolution time; recurring-issue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Issue assigned; SLA breach warning.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Category taxonomy; SLA threshold configuration.</w:t>
            </w:r>
          </w:p>
        </w:tc>
      </w:tr>
    </w:tbl>
    <w:p>
      <w:pPr>
        <w:pStyle w:val="Heading2"/>
        <w:spacing w:after="90" w:before="200"/>
      </w:pPr>
      <w:r>
        <w:t xml:space="preserve">11. Decision Register</w:t>
      </w:r>
    </w:p>
    <w:p>
      <w:pPr>
        <w:spacing w:after="100"/>
      </w:pPr>
      <w:r>
        <w:rPr>
          <w:b/>
          <w:bCs/>
          <w:sz w:val="18"/>
          <w:szCs w:val="18"/>
        </w:rPr>
        <w:t xml:space="preserve">Priority: </w:t>
      </w:r>
      <w:r>
        <w:rPr>
          <w:b/>
          <w:bCs/>
          <w:color w:val="1F3864"/>
          <w:sz w:val="18"/>
          <w:szCs w:val="18"/>
        </w:rPr>
        <w:t xml:space="preserve">Medium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A structured, searchable record of formal decisions taken by governance bodies, distinct from general meeting minutes.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Decision logging with rationale; linked evidence; decision-status tracking (open, implemented, superseded).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Provides institutional memory of why decisions were made, directly supporting audit defensibility and long-term institutional learning.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Meetings module; Content Governance workflow; GRC Register.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Decisions recorded during Meeting Management or Content Governance processes.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A searchable decision log.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Governance Board, Steering Committee, KMC.</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Meeting Management (P7), Content Governance (P16).</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Decision Log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Not a primary KPI source; supports audit readiness.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New decision logged affecting a given module or taxonomy area.</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Decision category configuration; retention policy.</w:t>
            </w:r>
          </w:p>
        </w:tc>
      </w:tr>
    </w:tbl>
    <w:p>
      <w:pPr>
        <w:pStyle w:val="Heading1"/>
        <w:spacing w:after="120" w:before="300"/>
      </w:pPr>
      <w:r>
        <w:t xml:space="preserve">Group C — Content &amp; Knowledge Layer</w:t>
      </w:r>
    </w:p>
    <w:p>
      <w:pPr>
        <w:spacing w:after="150" w:line="270"/>
      </w:pPr>
      <w:r>
        <w:t xml:space="preserve">The Content &amp; Knowledge Layer is the functional heart of the Central Knowledge Repository mandate — the layer that most directly answers the TOR's naming of 'document fragmentation' and 'knowledge loss' as core pain points.</w:t>
      </w:r>
    </w:p>
    <w:p>
      <w:pPr>
        <w:pStyle w:val="Heading2"/>
        <w:spacing w:after="90" w:before="200"/>
      </w:pPr>
      <w:r>
        <w:t xml:space="preserve">12. Document Management</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Govern the full Document Lifecycle for all programme records — the module directly resolving 'document fragmentation.'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Version control; check-in/check-out; metadata tagging; folder and taxonomy structure; full-text indexing; retention rules.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Eliminates duplicate, conflicting, or lost document versions across states and components.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Search module; Content Governance workflow; Identity Management, for access control.</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Uploaded documents and metadata from all business units.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Version-controlled, searchable document records.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staff; the KM Unit as taxonomy owner.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Document Lifecycle (P1), Content Governance (P16).</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Document Inventory Report; Version History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Percentage of documents correctly classified at upload; duplicate-document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New version uploaded; document pending classification review; retention date approaching.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Taxonomy and metadata schema configuration; retention policy setup.</w:t>
            </w:r>
          </w:p>
        </w:tc>
      </w:tr>
    </w:tbl>
    <w:p>
      <w:pPr>
        <w:pStyle w:val="Heading2"/>
        <w:spacing w:after="90" w:before="200"/>
      </w:pPr>
      <w:r>
        <w:t xml:space="preserve">13. Knowledge Repository</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Curate approved, reusable institutional knowledge assets — distinct from Document Management's working documents — implementing the Knowledge Capture and Knowledge Publishing processes.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Structured knowledge-asset templates (lessons learned, case studies, technical notes); peer review workflow; tagging by component/state/theme; related-content linking.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Directly resolves 'knowledge loss' by ensuring institutional learning survives staff turnover — the single most donor-visible CKR deliverable.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Search module; Content Governance; Document Management, as a content source.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Submitted knowledge assets from project teams at milestone and closure points.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Published, peer-reviewed knowledge assets available programme-wide.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staff as consumers; Component Leads and KM Unit as curators.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Knowledge Capture (P4), Knowledge Publishing (P5).</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Knowledge Asset Inventory; Knowledge Reuse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Number of knowledge assets published per quarter; asset reuse/view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Asset submitted for review; asset published; related asset available.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Knowledge taxonomy configuration; review-panel assignment.</w:t>
            </w:r>
          </w:p>
        </w:tc>
      </w:tr>
    </w:tbl>
    <w:p>
      <w:pPr>
        <w:pStyle w:val="Heading2"/>
        <w:spacing w:after="90" w:before="200"/>
      </w:pPr>
      <w:r>
        <w:t xml:space="preserve">14. Media Library</w:t>
      </w:r>
    </w:p>
    <w:p>
      <w:pPr>
        <w:spacing w:after="100"/>
      </w:pPr>
      <w:r>
        <w:rPr>
          <w:b/>
          <w:bCs/>
          <w:sz w:val="18"/>
          <w:szCs w:val="18"/>
        </w:rPr>
        <w:t xml:space="preserve">Priority: </w:t>
      </w:r>
      <w:r>
        <w:rPr>
          <w:b/>
          <w:bCs/>
          <w:color w:val="1F3864"/>
          <w:sz w:val="18"/>
          <w:szCs w:val="18"/>
        </w:rPr>
        <w:t xml:space="preserve">Medium (Could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Manage photographs, videos, audio, and other rich media generated across SAPZ sites and events.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Media upload and tagging; thumbnail/preview generation; usage-rights tracking; bulk export for donor reporting.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Provides ready evidence for donor visibility reports and public communications without ad hoc file-sharing.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Document Management, for metadata consistency; Public Portal, as a publishing target.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Media files from state teams, M&amp;E missions, and communications staff.</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Tagged, rights-cleared media assets ready for reporting or publication.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Communications staff, M&amp;E teams, all staff as consumers.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Supports Knowledge Publishing (P5) and Reporting (P14).</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Media Usage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Not a primary KPI source.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New media pending rights clearance.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Rights-tracking configuration; storage-quota management.</w:t>
            </w:r>
          </w:p>
        </w:tc>
      </w:tr>
    </w:tbl>
    <w:p>
      <w:pPr>
        <w:pStyle w:val="Heading2"/>
        <w:spacing w:after="90" w:before="200"/>
      </w:pPr>
      <w:r>
        <w:t xml:space="preserve">15. Search</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unified enterprise search across documents, knowledge assets, media, and structured records — the direct answer to the TOR's 'information retrieval' pain point.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Federated full-text and metadata search; relevance ranking; faceted filters; access-aware results; natural-language query support (see Part 1's AI-Augmented Knowledge Discovery principle).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Converts fragmented content stores into a single point of discovery, the pain point cited most frequently across the source documents.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Enterprise Search Service (Part 4); Document Management; Knowledge Repository; Identity Management, for permission-aware results.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Indexed content from every content-bearing module.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Ranked, access-filtered search results.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staff.</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Search (P18).</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Search Usage and Zero-Result Query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Search success rate (percentage of queries resulting in a click); average query response time.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Saved-search alerts, when new matching content is published.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Index scheduling; relevance-tuning; synonym and taxonomy management.</w:t>
            </w:r>
          </w:p>
        </w:tc>
      </w:tr>
    </w:tbl>
    <w:p>
      <w:pPr>
        <w:pStyle w:val="Heading1"/>
        <w:spacing w:after="120" w:before="300"/>
      </w:pPr>
      <w:r>
        <w:t xml:space="preserve">Group D — Insight &amp; Reporting Layer</w:t>
      </w:r>
    </w:p>
    <w:p>
      <w:pPr>
        <w:spacing w:after="150" w:line="270"/>
      </w:pPr>
      <w:r>
        <w:t xml:space="preserve">The Insight &amp; Reporting Layer converts the operational data captured by every other layer into the donor-grade evidence the TOR's own reporting obligations, and the Evaluation Strategy's scoring logic, both demand.</w:t>
      </w:r>
    </w:p>
    <w:p>
      <w:pPr>
        <w:pStyle w:val="Heading2"/>
        <w:spacing w:after="90" w:before="200"/>
      </w:pPr>
      <w:r>
        <w:t xml:space="preserve">16. Reports</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Produce the standard, recurring reports every business unit and donor requires — operationalizing the Reporting process.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Pre-built donor and management report templates; scheduled generation; multi-format export (PDF, Excel, Word).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Resolves the TOR's 'weak reporting' finding and reduces the manual, error-prone report-compilation effort described in the Client Pain Analysis.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Analytics module, as a data source; Programme Management and Projects, as source data.</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Structured data from every operational module.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Formatted report documents on a defined schedule or on demand.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management tiers; donor liaison staff.</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Reporting (P14).</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This module is itself the reporting function; it in turn generates the Quarterly Donor Report, Annual Report, and comparable named outputs.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Report on-time delivery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Scheduled report ready; report generation failure requiring attention.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Template design; distribution-list configuration.</w:t>
            </w:r>
          </w:p>
        </w:tc>
      </w:tr>
    </w:tbl>
    <w:p>
      <w:pPr>
        <w:pStyle w:val="Heading2"/>
        <w:spacing w:after="90" w:before="200"/>
      </w:pPr>
      <w:r>
        <w:t xml:space="preserve">17. Analytics</w:t>
      </w:r>
    </w:p>
    <w:p>
      <w:pPr>
        <w:spacing w:after="100"/>
      </w:pPr>
      <w:r>
        <w:rPr>
          <w:b/>
          <w:bCs/>
          <w:sz w:val="18"/>
          <w:szCs w:val="18"/>
        </w:rPr>
        <w:t xml:space="preserve">Priority: </w:t>
      </w:r>
      <w:r>
        <w:rPr>
          <w:b/>
          <w:bCs/>
          <w:color w:val="1F3864"/>
          <w:sz w:val="18"/>
          <w:szCs w:val="18"/>
        </w:rPr>
        <w:t xml:space="preserve">High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exploratory, self-service data analysis beyond the fixed formats of the Reports module.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Ad hoc query builder; trend analysis; comparative state/component analysis; data export for further analysis.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Enables NPCO analysts to answer non-standard questions without a change request to the ESM vendor.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Business Intelligence &amp; Dashboard Service (Part 4); a governed data warehouse or equivalent structured store.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Structured operational data from all modules.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Ad hoc analytical views and extracts.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M&amp;E Unit, Component Leads, NPCO analysts.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Supports Monitoring (P13) and Reporting (P14).</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Custom analytical outputs, by definition not pre-templated.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Not a primary KPI source; an analytical tool rather than a measured process.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Not typically applicable; may alert on data-refresh completion.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Data-source connection management; user-permission tiers for sensitive data.</w:t>
            </w:r>
          </w:p>
        </w:tc>
      </w:tr>
    </w:tbl>
    <w:p>
      <w:pPr>
        <w:pStyle w:val="Heading2"/>
        <w:spacing w:after="90" w:before="200"/>
      </w:pPr>
      <w:r>
        <w:t xml:space="preserve">18. Business Intelligence</w:t>
      </w:r>
    </w:p>
    <w:p>
      <w:pPr>
        <w:spacing w:after="100"/>
      </w:pPr>
      <w:r>
        <w:rPr>
          <w:b/>
          <w:bCs/>
          <w:sz w:val="18"/>
          <w:szCs w:val="18"/>
        </w:rPr>
        <w:t xml:space="preserve">Priority: </w:t>
      </w:r>
      <w:r>
        <w:rPr>
          <w:b/>
          <w:bCs/>
          <w:color w:val="1F3864"/>
          <w:sz w:val="18"/>
          <w:szCs w:val="18"/>
        </w:rPr>
        <w:t xml:space="preserve">Medium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the strategic, cross-programme analytical layer — trend and pattern detection across years, states, and components — that Analytics' ad hoc, single-query focus does not.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Multi-year trend modeling; predictive risk indicators; benchmark comparison against IFAD/AfDB/IsDB portfolio norms.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Moves the programme from descriptive reporting to predictive insight, a maturity step the Evaluation Strategy's Methodology criterion rewards.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Analytics module, as its data foundation; Executive Dashboard, as a presentation surface.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Historical structured data across the full programme lifecycle.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Strategic insight briefs; predictive indicators.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NPCO leadership, Steering Committee, co-financing institutions.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Supports Monitoring (P13).</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Strategic Insight Brief.</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Forecast accuracy against subsequent actuals.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Predictive threshold breach warranting leadership attention.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Model configuration and periodic recalibration.</w:t>
            </w:r>
          </w:p>
        </w:tc>
      </w:tr>
    </w:tbl>
    <w:p>
      <w:pPr>
        <w:pStyle w:val="Heading1"/>
        <w:spacing w:after="120" w:before="300"/>
      </w:pPr>
      <w:r>
        <w:t xml:space="preserve">Group E — Platform &amp; Administration Layer</w:t>
      </w:r>
    </w:p>
    <w:p>
      <w:pPr>
        <w:spacing w:after="150" w:line="270"/>
      </w:pPr>
      <w:r>
        <w:t xml:space="preserve">The Platform &amp; Administration Layer is largely invisible to ordinary users but is the layer an Architecture Review Board scrutinizes most closely, since it carries the security, identity, and audit obligations named across the TOR, the Master document's Security Architecture section, and Part 1's Security-by-Design principle.</w:t>
      </w:r>
    </w:p>
    <w:p>
      <w:pPr>
        <w:pStyle w:val="Heading2"/>
        <w:spacing w:after="90" w:before="200"/>
      </w:pPr>
      <w:r>
        <w:t xml:space="preserve">19. Administration</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a consolidated console for configuring every other module without vendor intervention, directly supporting the sustainability and capacity-building commitments made in the Winning Strategy.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Module configuration panels; taxonomy and workflow editors; role and permission management; system health monitoring.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Reduces long-run dependency on the awarded consultant, converting the platform into a self-sufficient NPCO asset (the Level 3 maturity target defined in the Master document).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Identity Management; every configurable module in the platform.</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Configuration changes from authorized administrators.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Updated system configuration state.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NPCO ICT Unit administrators.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Change Management (P11).</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Configuration Change Log.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Percentage of configuration changes made internally versus requiring vendor support.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Configuration change applied; system health alert.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This module is itself the administrative layer; access to it is restricted to a small administrator role set.</w:t>
            </w:r>
          </w:p>
        </w:tc>
      </w:tr>
    </w:tbl>
    <w:p>
      <w:pPr>
        <w:pStyle w:val="Heading2"/>
        <w:spacing w:after="90" w:before="200"/>
      </w:pPr>
      <w:r>
        <w:t xml:space="preserve">20. Identity Management</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Authenticate users and enforce role-based access control across every module and every state/component boundary.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Single sign-on; role and attribute-based access control; multi-factor authentication; federated identity for co-financing institution observers.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The foundational control implementing ISO 27001 access-management requirements and Part 1's Security-by-Design principle; failure here undermines every other module's security claims.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Security &amp; Identity Service (Part 4).</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User provisioning requests; authentication attempts.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Authenticated sessions; access-control decisions.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users, indirectly; ICT Unit, as administrator.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Supports every workflow requiring authorization.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Access Rights Report; Inactive Account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Time to deprovision a departed user's access; multi-factor authentication adoption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Failed login attempts; access request pending approval; password expiry.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Role definition; access-policy configuration; periodic access recertification.</w:t>
            </w:r>
          </w:p>
        </w:tc>
      </w:tr>
    </w:tbl>
    <w:p>
      <w:pPr>
        <w:pStyle w:val="Heading2"/>
        <w:spacing w:after="90" w:before="200"/>
      </w:pPr>
      <w:r>
        <w:t xml:space="preserve">21. Notifications</w:t>
      </w:r>
    </w:p>
    <w:p>
      <w:pPr>
        <w:spacing w:after="100"/>
      </w:pPr>
      <w:r>
        <w:rPr>
          <w:b/>
          <w:bCs/>
          <w:sz w:val="18"/>
          <w:szCs w:val="18"/>
        </w:rPr>
        <w:t xml:space="preserve">Priority: </w:t>
      </w:r>
      <w:r>
        <w:rPr>
          <w:b/>
          <w:bCs/>
          <w:color w:val="1F3864"/>
          <w:sz w:val="18"/>
          <w:szCs w:val="18"/>
        </w:rPr>
        <w:t xml:space="preserve">High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The shared notification service underlying every module's alerting behavior — listed individually because the TOR calls for system-wide notification capability.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Multi-channel delivery (in-app, email, SMS for field users); user-configurable preferences; digest versus real-time delivery.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Ensures time-sensitive items, such as approvals and risk escalations, are not missed, directly addressing the accountability gap in the Client Pain Analysis.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Identity Management, for recipient resolution; every module as an event source.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Events raised by any module.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Delivered notifications across channels.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users.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Notifications (P19).</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Notification Delivery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Notification delivery success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N/A — this module is the notification mechanism itself.</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Channel configuration; template management; user preference defaults.</w:t>
            </w:r>
          </w:p>
        </w:tc>
      </w:tr>
    </w:tbl>
    <w:p>
      <w:pPr>
        <w:pStyle w:val="Heading2"/>
        <w:spacing w:after="90" w:before="200"/>
      </w:pPr>
      <w:r>
        <w:t xml:space="preserve">22. Settings</w:t>
      </w:r>
    </w:p>
    <w:p>
      <w:pPr>
        <w:spacing w:after="100"/>
      </w:pPr>
      <w:r>
        <w:rPr>
          <w:b/>
          <w:bCs/>
          <w:sz w:val="18"/>
          <w:szCs w:val="18"/>
        </w:rPr>
        <w:t xml:space="preserve">Priority: </w:t>
      </w:r>
      <w:r>
        <w:rPr>
          <w:b/>
          <w:bCs/>
          <w:color w:val="1F3864"/>
          <w:sz w:val="18"/>
          <w:szCs w:val="18"/>
        </w:rPr>
        <w:t xml:space="preserve">Medium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user-level and organization-level preference configuration distinct from the deeper Administration console.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Language and locale preferences; personal notification defaults; accessibility settings.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Supports usability across a diverse, multi-state user base with varying digital literacy, consistent with the Master document's user-adoption risk analysis.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Identity Management, for user profile linkage.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User preference selections.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Applied personal or organizational settings.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users, for personal settings; ICT Unit, for organizational defaults.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Not process-mapped; a continuous configuration function.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Not applicable.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Not applicable.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Setting change confirmation.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Default-setting policy configuration.</w:t>
            </w:r>
          </w:p>
        </w:tc>
      </w:tr>
    </w:tbl>
    <w:p>
      <w:pPr>
        <w:pStyle w:val="Heading2"/>
        <w:spacing w:after="90" w:before="200"/>
      </w:pPr>
      <w:r>
        <w:t xml:space="preserve">23. Audit</w:t>
      </w:r>
    </w:p>
    <w:p>
      <w:pPr>
        <w:spacing w:after="100"/>
      </w:pPr>
      <w:r>
        <w:rPr>
          <w:b/>
          <w:bCs/>
          <w:sz w:val="18"/>
          <w:szCs w:val="18"/>
        </w:rPr>
        <w:t xml:space="preserve">Priority: </w:t>
      </w:r>
      <w:r>
        <w:rPr>
          <w:b/>
          <w:bCs/>
          <w:color w:val="1F3864"/>
          <w:sz w:val="18"/>
          <w:szCs w:val="18"/>
        </w:rPr>
        <w:t xml:space="preserve">Critical (Must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Maintain a tamper-evident log of all significant system actions, implementing the Audit process and satisfying donor and ISO 27001 audit-trail requirements.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Immutable action logging; log search and export; anomaly flagging; retention-compliant archiving.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Directly supports the TOR's and Master document's emphasis on defensible, auditable governance and is a specific evidence point evaluators can request.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Every module, as a log source; Identity Management, for actor attribution.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System events from all modules.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Immutable audit records; audit reports for internal or donor review.</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Internal Audit function, Data &amp; Content Governance Board, external auditors on request.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Audit (P17).</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Audit Trail Report; Anomaly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Audit log completeness rate; time to produce an audit extract on request.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Anomalous activity pattern detected.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Retention policy configuration; log-access permission management.</w:t>
            </w:r>
          </w:p>
        </w:tc>
      </w:tr>
    </w:tbl>
    <w:p>
      <w:pPr>
        <w:pStyle w:val="Heading1"/>
        <w:spacing w:after="120" w:before="300"/>
      </w:pPr>
      <w:r>
        <w:t xml:space="preserve">Group F — Capability, Support &amp; Access Layer</w:t>
      </w:r>
    </w:p>
    <w:p>
      <w:pPr>
        <w:spacing w:after="150" w:line="270"/>
      </w:pPr>
      <w:r>
        <w:t xml:space="preserve">The Capability, Support &amp; Access Layer extends the platform's reach and sustainability beyond its core users — into training, day-to-day user support, mobile field access, and public-facing transparency — and is where the Master document's ADKAR change-management analysis and Winning Strategy's Sustainability commitments are operationalized as actual system modules rather than one-off activities.</w:t>
      </w:r>
    </w:p>
    <w:p>
      <w:pPr>
        <w:pStyle w:val="Heading2"/>
        <w:spacing w:after="90" w:before="200"/>
      </w:pPr>
      <w:r>
        <w:t xml:space="preserve">24. Training</w:t>
      </w:r>
    </w:p>
    <w:p>
      <w:pPr>
        <w:spacing w:after="100"/>
      </w:pPr>
      <w:r>
        <w:rPr>
          <w:b/>
          <w:bCs/>
          <w:sz w:val="18"/>
          <w:szCs w:val="18"/>
        </w:rPr>
        <w:t xml:space="preserve">Priority: </w:t>
      </w:r>
      <w:r>
        <w:rPr>
          <w:b/>
          <w:bCs/>
          <w:color w:val="1F3864"/>
          <w:sz w:val="18"/>
          <w:szCs w:val="18"/>
        </w:rPr>
        <w:t xml:space="preserve">High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Deliver and track the platform-adoption training identified as essential in the Master document's ADKAR-based change-management analysis.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Course catalog; e-learning modules; completion tracking; role-specific learning paths; certification records.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Directly mitigates the user-adoption risk the Master document ranks among the highest-probability implementation risks; builds the 'Ability' stage of ADKAR.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Identity Management, for role-based path assignment; Knowledge Repository, as a content source.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Course content; user enrollment and completion data.</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Completion records and certifications.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staff; the Training Coordinator, as content owner.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Training (P12).</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Training Completion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Course completion rate within 30 days of assignment; post-training proficiency assessment score.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Course assigned; completion deadline approaching; certification expiring.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Course catalog management; learning-path configuration.</w:t>
            </w:r>
          </w:p>
        </w:tc>
      </w:tr>
    </w:tbl>
    <w:p>
      <w:pPr>
        <w:pStyle w:val="Heading2"/>
        <w:spacing w:after="90" w:before="200"/>
      </w:pPr>
      <w:r>
        <w:t xml:space="preserve">25. Help Desk</w:t>
      </w:r>
    </w:p>
    <w:p>
      <w:pPr>
        <w:spacing w:after="100"/>
      </w:pPr>
      <w:r>
        <w:rPr>
          <w:b/>
          <w:bCs/>
          <w:sz w:val="18"/>
          <w:szCs w:val="18"/>
        </w:rPr>
        <w:t xml:space="preserve">Priority: </w:t>
      </w:r>
      <w:r>
        <w:rPr>
          <w:b/>
          <w:bCs/>
          <w:color w:val="1F3864"/>
          <w:sz w:val="18"/>
          <w:szCs w:val="18"/>
        </w:rPr>
        <w:t xml:space="preserve">Medium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first-line user support for platform issues, distinct from the Issue Register's programme-level operational issues.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Ticket submission and tracking; knowledge-base-assisted self-service; SLA-based escalation.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Reduces user frustration during the vulnerable early-adoption period the Master document identifies as the highest-risk window.</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Knowledge Repository, for self-service content; Support module, for escalation.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User-submitted support tickets.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Resolved tickets; self-service deflection.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All staff, as requesters; ICT Unit, as first-line support.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Supports Issue Management (P10) for platform-specific issues.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Ticket Volume and Resolution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First-contact resolution rate; average ticket resolution time.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Ticket status updates.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SLA configuration; escalation-tier setup.</w:t>
            </w:r>
          </w:p>
        </w:tc>
      </w:tr>
    </w:tbl>
    <w:p>
      <w:pPr>
        <w:pStyle w:val="Heading2"/>
        <w:spacing w:after="90" w:before="200"/>
      </w:pPr>
      <w:r>
        <w:t xml:space="preserve">26. Support</w:t>
      </w:r>
    </w:p>
    <w:p>
      <w:pPr>
        <w:spacing w:after="100"/>
      </w:pPr>
      <w:r>
        <w:rPr>
          <w:b/>
          <w:bCs/>
          <w:sz w:val="18"/>
          <w:szCs w:val="18"/>
        </w:rPr>
        <w:t xml:space="preserve">Priority: </w:t>
      </w:r>
      <w:r>
        <w:rPr>
          <w:b/>
          <w:bCs/>
          <w:color w:val="1F3864"/>
          <w:sz w:val="18"/>
          <w:szCs w:val="18"/>
        </w:rPr>
        <w:t xml:space="preserve">Medium (Could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the second-tier, vendor-facing escalation path for issues the Help Desk cannot resolve, plus post-handover consultant support tracking.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Vendor ticket escalation; service-level tracking against the awarded consultant's contract; post-handover support-hours ledger.</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Gives NPCO a documented, contract-referenced view of vendor responsiveness — directly relevant to the Governance model established in Part 2.</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Help Desk module, as the escalation source.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Escalated tickets from the Help Desk.</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Vendor SLA performance records.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ICT Unit; NPCO contract managers.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Supports Issue Management (P10) and contract governance.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Vendor SLA Performance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Vendor SLA compliance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SLA breach warning.</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Contract SLA parameter configuration.</w:t>
            </w:r>
          </w:p>
        </w:tc>
      </w:tr>
    </w:tbl>
    <w:p>
      <w:pPr>
        <w:pStyle w:val="Heading2"/>
        <w:spacing w:after="90" w:before="200"/>
      </w:pPr>
      <w:r>
        <w:t xml:space="preserve">27. Mobile</w:t>
      </w:r>
    </w:p>
    <w:p>
      <w:pPr>
        <w:spacing w:after="100"/>
      </w:pPr>
      <w:r>
        <w:rPr>
          <w:b/>
          <w:bCs/>
          <w:sz w:val="18"/>
          <w:szCs w:val="18"/>
        </w:rPr>
        <w:t xml:space="preserve">Priority: </w:t>
      </w:r>
      <w:r>
        <w:rPr>
          <w:b/>
          <w:bCs/>
          <w:color w:val="1F3864"/>
          <w:sz w:val="18"/>
          <w:szCs w:val="18"/>
        </w:rPr>
        <w:t xml:space="preserve">High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Extend core functions to field-based state teams and M&amp;E missions with intermittent connectivity, addressing the multi-state coordination pain point where field staff cannot rely on constant office connectivity.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Offline-capable data capture; photo/media upload from the field; task and approval access; sync-on-reconnect.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Ensures the platform's reach extends to the seven states plus FCT rather than functioning only as a headquarters tool, a distinction the Client Pain Analysis explicitly flags.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Notifications and Identity Management; the underlying application platform's mobile-responsive or native capability (Part 4).</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Field data entries, often captured offline.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Synchronized records once connectivity resumes.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State Teams, M&amp;E field missions.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Supports Monitoring (P13), Tasks, and Document capture in the field.</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Mobile Usage and Sync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Successful sync rate; field-data submission timeliness.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Sync completed; sync conflict requiring resolution.</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Offline data-retention policy; device-management configuration.</w:t>
            </w:r>
          </w:p>
        </w:tc>
      </w:tr>
    </w:tbl>
    <w:p>
      <w:pPr>
        <w:pStyle w:val="Heading2"/>
        <w:spacing w:after="90" w:before="200"/>
      </w:pPr>
      <w:r>
        <w:t xml:space="preserve">28. Public Portal</w:t>
      </w:r>
    </w:p>
    <w:p>
      <w:pPr>
        <w:spacing w:after="100"/>
      </w:pPr>
      <w:r>
        <w:rPr>
          <w:b/>
          <w:bCs/>
          <w:sz w:val="18"/>
          <w:szCs w:val="18"/>
        </w:rPr>
        <w:t xml:space="preserve">Priority: </w:t>
      </w:r>
      <w:r>
        <w:rPr>
          <w:b/>
          <w:bCs/>
          <w:color w:val="1F3864"/>
          <w:sz w:val="18"/>
          <w:szCs w:val="18"/>
        </w:rPr>
        <w:t xml:space="preserve">Medium (Should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shd w:fill="EDEFF4" w:val="clear"/>
            <w:tcMar>
              <w:top w:type="dxa" w:w="80"/>
              <w:left w:type="dxa" w:w="100"/>
              <w:bottom w:type="dxa" w:w="80"/>
              <w:right w:type="dxa" w:w="100"/>
            </w:tcMar>
            <w:vAlign w:val="top"/>
          </w:tcPr>
          <w:p>
            <w:r>
              <w:rPr>
                <w:b/>
                <w:bCs/>
                <w:color w:val="000000"/>
                <w:sz w:val="18"/>
                <w:szCs w:val="18"/>
              </w:rPr>
              <w:t xml:space="preserve">Purpose</w:t>
            </w:r>
          </w:p>
        </w:tc>
        <w:tc>
          <w:tcPr>
            <w:tcW w:type="dxa" w:w="8064"/>
            <w:tcMar>
              <w:top w:type="dxa" w:w="80"/>
              <w:left w:type="dxa" w:w="100"/>
              <w:bottom w:type="dxa" w:w="80"/>
              <w:right w:type="dxa" w:w="100"/>
            </w:tcMar>
            <w:vAlign w:val="top"/>
          </w:tcPr>
          <w:p>
            <w:r>
              <w:rPr>
                <w:b w:val="false"/>
                <w:bCs w:val="false"/>
                <w:color w:val="000000"/>
                <w:sz w:val="18"/>
                <w:szCs w:val="18"/>
              </w:rPr>
              <w:t xml:space="preserve">Provide a curated, public-facing transparency window into approved, non-sensitive programme information, distinct from the internal Knowledge Repository.</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Features</w:t>
            </w:r>
          </w:p>
        </w:tc>
        <w:tc>
          <w:tcPr>
            <w:tcW w:type="dxa" w:w="8064"/>
            <w:tcMar>
              <w:top w:type="dxa" w:w="80"/>
              <w:left w:type="dxa" w:w="100"/>
              <w:bottom w:type="dxa" w:w="80"/>
              <w:right w:type="dxa" w:w="100"/>
            </w:tcMar>
            <w:vAlign w:val="top"/>
          </w:tcPr>
          <w:p>
            <w:r>
              <w:rPr>
                <w:b w:val="false"/>
                <w:bCs w:val="false"/>
                <w:color w:val="000000"/>
                <w:sz w:val="18"/>
                <w:szCs w:val="18"/>
              </w:rPr>
              <w:t xml:space="preserve">Public programme overview; approved success stories and media; downloadable public reports; stakeholder feedback form.</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Business Value</w:t>
            </w:r>
          </w:p>
        </w:tc>
        <w:tc>
          <w:tcPr>
            <w:tcW w:type="dxa" w:w="8064"/>
            <w:tcMar>
              <w:top w:type="dxa" w:w="80"/>
              <w:left w:type="dxa" w:w="100"/>
              <w:bottom w:type="dxa" w:w="80"/>
              <w:right w:type="dxa" w:w="100"/>
            </w:tcMar>
            <w:vAlign w:val="top"/>
          </w:tcPr>
          <w:p>
            <w:r>
              <w:rPr>
                <w:b w:val="false"/>
                <w:bCs w:val="false"/>
                <w:color w:val="000000"/>
                <w:sz w:val="18"/>
                <w:szCs w:val="18"/>
              </w:rPr>
              <w:t xml:space="preserve">Supports donor visibility and public accountability commitments referenced in the Winning Strategy's Sustainability section, without exposing internal or sensitive content.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Dependencies</w:t>
            </w:r>
          </w:p>
        </w:tc>
        <w:tc>
          <w:tcPr>
            <w:tcW w:type="dxa" w:w="8064"/>
            <w:tcMar>
              <w:top w:type="dxa" w:w="80"/>
              <w:left w:type="dxa" w:w="100"/>
              <w:bottom w:type="dxa" w:w="80"/>
              <w:right w:type="dxa" w:w="100"/>
            </w:tcMar>
            <w:vAlign w:val="top"/>
          </w:tcPr>
          <w:p>
            <w:r>
              <w:rPr>
                <w:b w:val="false"/>
                <w:bCs w:val="false"/>
                <w:color w:val="000000"/>
                <w:sz w:val="18"/>
                <w:szCs w:val="18"/>
              </w:rPr>
              <w:t xml:space="preserve">Content Governance workflow, for the publish-to-public approval gate; Media Library and Reports, as content sources.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Inputs</w:t>
            </w:r>
          </w:p>
        </w:tc>
        <w:tc>
          <w:tcPr>
            <w:tcW w:type="dxa" w:w="8064"/>
            <w:tcMar>
              <w:top w:type="dxa" w:w="80"/>
              <w:left w:type="dxa" w:w="100"/>
              <w:bottom w:type="dxa" w:w="80"/>
              <w:right w:type="dxa" w:w="100"/>
            </w:tcMar>
            <w:vAlign w:val="top"/>
          </w:tcPr>
          <w:p>
            <w:r>
              <w:rPr>
                <w:b w:val="false"/>
                <w:bCs w:val="false"/>
                <w:color w:val="000000"/>
                <w:sz w:val="18"/>
                <w:szCs w:val="18"/>
              </w:rPr>
              <w:t xml:space="preserve">Content explicitly approved for public release.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Outputs</w:t>
            </w:r>
          </w:p>
        </w:tc>
        <w:tc>
          <w:tcPr>
            <w:tcW w:type="dxa" w:w="8064"/>
            <w:tcMar>
              <w:top w:type="dxa" w:w="80"/>
              <w:left w:type="dxa" w:w="100"/>
              <w:bottom w:type="dxa" w:w="80"/>
              <w:right w:type="dxa" w:w="100"/>
            </w:tcMar>
            <w:vAlign w:val="top"/>
          </w:tcPr>
          <w:p>
            <w:r>
              <w:rPr>
                <w:b w:val="false"/>
                <w:bCs w:val="false"/>
                <w:color w:val="000000"/>
                <w:sz w:val="18"/>
                <w:szCs w:val="18"/>
              </w:rPr>
              <w:t xml:space="preserve">Published public web content.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Users</w:t>
            </w:r>
          </w:p>
        </w:tc>
        <w:tc>
          <w:tcPr>
            <w:tcW w:type="dxa" w:w="8064"/>
            <w:tcMar>
              <w:top w:type="dxa" w:w="80"/>
              <w:left w:type="dxa" w:w="100"/>
              <w:bottom w:type="dxa" w:w="80"/>
              <w:right w:type="dxa" w:w="100"/>
            </w:tcMar>
            <w:vAlign w:val="top"/>
          </w:tcPr>
          <w:p>
            <w:r>
              <w:rPr>
                <w:b w:val="false"/>
                <w:bCs w:val="false"/>
                <w:color w:val="000000"/>
                <w:sz w:val="18"/>
                <w:szCs w:val="18"/>
              </w:rPr>
              <w:t xml:space="preserve">General public, donor communications staff, beneficiary communities.</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Workflows</w:t>
            </w:r>
          </w:p>
        </w:tc>
        <w:tc>
          <w:tcPr>
            <w:tcW w:type="dxa" w:w="8064"/>
            <w:tcMar>
              <w:top w:type="dxa" w:w="80"/>
              <w:left w:type="dxa" w:w="100"/>
              <w:bottom w:type="dxa" w:w="80"/>
              <w:right w:type="dxa" w:w="100"/>
            </w:tcMar>
            <w:vAlign w:val="top"/>
          </w:tcPr>
          <w:p>
            <w:r>
              <w:rPr>
                <w:b w:val="false"/>
                <w:bCs w:val="false"/>
                <w:color w:val="000000"/>
                <w:sz w:val="18"/>
                <w:szCs w:val="18"/>
              </w:rPr>
              <w:t xml:space="preserve">Content Governance (P16), for the public-release approval gate.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Reports</w:t>
            </w:r>
          </w:p>
        </w:tc>
        <w:tc>
          <w:tcPr>
            <w:tcW w:type="dxa" w:w="8064"/>
            <w:tcMar>
              <w:top w:type="dxa" w:w="80"/>
              <w:left w:type="dxa" w:w="100"/>
              <w:bottom w:type="dxa" w:w="80"/>
              <w:right w:type="dxa" w:w="100"/>
            </w:tcMar>
            <w:vAlign w:val="top"/>
          </w:tcPr>
          <w:p>
            <w:r>
              <w:rPr>
                <w:b w:val="false"/>
                <w:bCs w:val="false"/>
                <w:color w:val="000000"/>
                <w:sz w:val="18"/>
                <w:szCs w:val="18"/>
              </w:rPr>
              <w:t xml:space="preserve">Public Portal Engagement Report.</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KPIs</w:t>
            </w:r>
          </w:p>
        </w:tc>
        <w:tc>
          <w:tcPr>
            <w:tcW w:type="dxa" w:w="8064"/>
            <w:tcMar>
              <w:top w:type="dxa" w:w="80"/>
              <w:left w:type="dxa" w:w="100"/>
              <w:bottom w:type="dxa" w:w="80"/>
              <w:right w:type="dxa" w:w="100"/>
            </w:tcMar>
            <w:vAlign w:val="top"/>
          </w:tcPr>
          <w:p>
            <w:r>
              <w:rPr>
                <w:b w:val="false"/>
                <w:bCs w:val="false"/>
                <w:color w:val="000000"/>
                <w:sz w:val="18"/>
                <w:szCs w:val="18"/>
              </w:rPr>
              <w:t xml:space="preserve">Public portal visitor engagement; public feedback response rate.</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Notifications</w:t>
            </w:r>
          </w:p>
        </w:tc>
        <w:tc>
          <w:tcPr>
            <w:tcW w:type="dxa" w:w="8064"/>
            <w:tcMar>
              <w:top w:type="dxa" w:w="80"/>
              <w:left w:type="dxa" w:w="100"/>
              <w:bottom w:type="dxa" w:w="80"/>
              <w:right w:type="dxa" w:w="100"/>
            </w:tcMar>
            <w:vAlign w:val="top"/>
          </w:tcPr>
          <w:p>
            <w:r>
              <w:rPr>
                <w:b w:val="false"/>
                <w:bCs w:val="false"/>
                <w:color w:val="000000"/>
                <w:sz w:val="18"/>
                <w:szCs w:val="18"/>
              </w:rPr>
              <w:t xml:space="preserve">Content pending public-release approval.</w:t>
            </w:r>
          </w:p>
        </w:tc>
      </w:tr>
      <w:tr>
        <w:tc>
          <w:tcPr>
            <w:tcW w:type="dxa" w:w="2016"/>
            <w:shd w:fill="EDEFF4" w:val="clear"/>
            <w:tcMar>
              <w:top w:type="dxa" w:w="80"/>
              <w:left w:type="dxa" w:w="100"/>
              <w:bottom w:type="dxa" w:w="80"/>
              <w:right w:type="dxa" w:w="100"/>
            </w:tcMar>
            <w:vAlign w:val="top"/>
          </w:tcPr>
          <w:p>
            <w:r>
              <w:rPr>
                <w:b/>
                <w:bCs/>
                <w:color w:val="000000"/>
                <w:sz w:val="18"/>
                <w:szCs w:val="18"/>
              </w:rPr>
              <w:t xml:space="preserve">Administration</w:t>
            </w:r>
          </w:p>
        </w:tc>
        <w:tc>
          <w:tcPr>
            <w:tcW w:type="dxa" w:w="8064"/>
            <w:tcMar>
              <w:top w:type="dxa" w:w="80"/>
              <w:left w:type="dxa" w:w="100"/>
              <w:bottom w:type="dxa" w:w="80"/>
              <w:right w:type="dxa" w:w="100"/>
            </w:tcMar>
            <w:vAlign w:val="top"/>
          </w:tcPr>
          <w:p>
            <w:r>
              <w:rPr>
                <w:b w:val="false"/>
                <w:bCs w:val="false"/>
                <w:color w:val="000000"/>
                <w:sz w:val="18"/>
                <w:szCs w:val="18"/>
              </w:rPr>
              <w:t xml:space="preserve">Public content taxonomy; publish/unpublish permission control.</w:t>
            </w:r>
          </w:p>
        </w:tc>
      </w:tr>
    </w:tbl>
    <w:p>
      <w:pPr>
        <w:pStyle w:val="Heading1"/>
        <w:spacing w:after="120" w:before="300"/>
      </w:pPr>
      <w:r>
        <w:t xml:space="preserve">Continuing This Blueprint</w:t>
      </w:r>
    </w:p>
    <w:p>
      <w:pPr>
        <w:spacing w:after="150" w:line="270"/>
      </w:pPr>
      <w:r>
        <w:t xml:space="preserve">Part 5 completes the functional decomposition of the platform: twenty-eight modules, each traceable to a Part 4 application, a Part 3 process, a Part 2 capability, and — ultimately — a Master-document pain point or scoring criterion. No module was introduced without a corresponding upstream justification, and no upstream artifact from Parts 1 through 4 was left unaddressed by at least one module here.</w:t>
      </w:r>
    </w:p>
    <w:p>
      <w:pPr>
        <w:spacing w:after="150" w:line="270"/>
      </w:pPr>
      <w:r>
        <w:t xml:space="preserve">The remaining parts of this Blueprint move from the functional 'what' established here to the technical 'how': Part 6 will define the Information Architecture (data entities, taxonomies, and the enterprise data model underlying every module's Inputs and Outputs); Part 7 the Integration Architecture (the APIs and data flows connecting these twenty-eight modules and the twelve applications from Part 4); Part 8 the Technology Architecture (infrastructure, platform, and hosting choices); Part 9 the Security Architecture (a deeper elaboration of the identity, audit, and data-protection foundations introduced in this Part's Platform &amp; Administration Layer); Part 10 the Deployment and Migration Architecture; and Part 11 the Architecture Governance and Implementation Roadmap that sequences delivery of everything defined across Parts 1 through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5"/>
      <w:szCs w:val="25"/>
    </w:rPr>
  </w:style>
  <w:style w:type="paragraph" w:styleId="Heading2">
    <w:name w:val="Heading 2"/>
    <w:basedOn w:val="Normal"/>
    <w:next w:val="Normal"/>
    <w:qFormat/>
    <w:pPr>
      <w:spacing w:after="90" w:before="200"/>
    </w:pPr>
    <w:rPr>
      <w:rFonts w:ascii="Arial" w:cs="Arial" w:eastAsia="Arial" w:hAnsi="Arial"/>
      <w:b/>
      <w:bCs/>
      <w:color w:val="2E539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2026-07-17T20:01:17.233Z</dcterms:created>
  <dcterms:modified xsi:type="dcterms:W3CDTF">2026-07-17T20:01:17.234Z</dcterms:modified>
</cp:coreProperties>
</file>

<file path=docProps/custom.xml><?xml version="1.0" encoding="utf-8"?>
<Properties xmlns="http://schemas.openxmlformats.org/officeDocument/2006/custom-properties" xmlns:vt="http://schemas.openxmlformats.org/officeDocument/2006/docPropsVTypes"/>
</file>