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7 of 11 — Data Architecture</w:t>
      </w:r>
    </w:p>
    <w:p>
      <w:pPr>
        <w:spacing w:after="260"/>
        <w:jc w:val="center"/>
      </w:pPr>
      <w:r>
        <w:rPr>
          <w:i/>
          <w:iCs/>
          <w:color w:val="555555"/>
          <w:sz w:val="18"/>
          <w:szCs w:val="18"/>
        </w:rPr>
        <w:t xml:space="preserve">TOGAF ADM Phase C data engineering: 19 artifacts from logical data model through caching</w:t>
      </w:r>
    </w:p>
    <w:p>
      <w:pPr>
        <w:pStyle w:val="Heading1"/>
        <w:spacing w:after="130" w:before="300"/>
      </w:pPr>
      <w:r>
        <w:t xml:space="preserve">Introduction to Part 7</w:t>
      </w:r>
    </w:p>
    <w:p>
      <w:pPr>
        <w:spacing w:after="140" w:line="264"/>
      </w:pPr>
      <w:r>
        <w:t xml:space="preserve">Part 7 moves from Part 6's Information Architecture — which established what information exists, how it is classified, and who owns it — into TOGAF ADM Phase C's data-engineering discipline proper: how that information is actually modeled, stored, moved, protected, and served at the technology level. Where Part 6 spoke the language of a Data Governance Board, Part 7 speaks the language of a database administrator and data engineer, and is written for that audience.</w:t>
      </w:r>
    </w:p>
    <w:p>
      <w:pPr>
        <w:spacing w:after="140" w:line="264"/>
      </w:pPr>
      <w:r>
        <w:t xml:space="preserve">Nineteen artifacts are developed below in four bands: Data Models (Logical Data Model, Physical Data Model, Entity Relationship Model, Data Domains), Data Movement &amp; Quality (Data Pipelines, Data Quality, Data Integration, Data Migration, Data Validation), Data Protection (Data Security, Data Privacy, Backup, Recovery), and Data Platforms (Analytics, Data Warehouse, Operational Database, Document Database, Search Index, Caching).</w:t>
      </w:r>
    </w:p>
    <w:p>
      <w:pPr>
        <w:spacing w:after="140" w:line="264"/>
      </w:pPr>
      <w:r>
        <w:t xml:space="preserve">Every model and platform decision below traces to the Enterprise Information Model, Master Data domains, and Classification scheme established in Part 6, and ultimately to the twelve applications of Part 4 and twenty-eight modules of Part 5. No new business entity is introduced in this Part; entities already named are given concrete schemas, storage technologies, and operational disciplines.</w:t>
      </w:r>
    </w:p>
    <w:p>
      <w:pPr>
        <w:pStyle w:val="Heading1"/>
        <w:spacing w:after="130" w:before="300"/>
      </w:pPr>
      <w:r>
        <w:t xml:space="preserve">Band 1 — Data Models</w:t>
      </w:r>
    </w:p>
    <w:p>
      <w:pPr>
        <w:pStyle w:val="Heading2"/>
        <w:spacing w:after="90" w:before="220"/>
      </w:pPr>
      <w:r>
        <w:t xml:space="preserve">1. Logical Data Model</w:t>
      </w:r>
    </w:p>
    <w:p>
      <w:pPr>
        <w:spacing w:after="140" w:line="264"/>
      </w:pPr>
      <w:r>
        <w:t xml:space="preserve">The Logical Data Model expresses the Enterprise Information Model's entities (Part 6) as normalized logical entities with defined attributes and keys, independent of any specific database technology — the artifact a data modeler hands to a DBA for physical implementation.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Logical Entity</w:t>
            </w:r>
          </w:p>
        </w:tc>
        <w:tc>
          <w:tcPr>
            <w:tcW w:type="dxa" w:w="3838"/>
            <w:shd w:fill="1F3864" w:val="clear"/>
            <w:tcMar>
              <w:top w:type="dxa" w:w="70"/>
              <w:left w:type="dxa" w:w="90"/>
              <w:bottom w:type="dxa" w:w="70"/>
              <w:right w:type="dxa" w:w="90"/>
            </w:tcMar>
            <w:vAlign w:val="top"/>
          </w:tcPr>
          <w:p>
            <w:r>
              <w:rPr>
                <w:b/>
                <w:bCs/>
                <w:color w:val="FFFFFF"/>
                <w:sz w:val="17"/>
                <w:szCs w:val="17"/>
              </w:rPr>
              <w:t xml:space="preserve">Key Attributes</w:t>
            </w:r>
          </w:p>
        </w:tc>
        <w:tc>
          <w:tcPr>
            <w:tcW w:type="dxa" w:w="3838"/>
            <w:shd w:fill="1F3864" w:val="clear"/>
            <w:tcMar>
              <w:top w:type="dxa" w:w="70"/>
              <w:left w:type="dxa" w:w="90"/>
              <w:bottom w:type="dxa" w:w="70"/>
              <w:right w:type="dxa" w:w="90"/>
            </w:tcMar>
            <w:vAlign w:val="top"/>
          </w:tcPr>
          <w:p>
            <w:r>
              <w:rPr>
                <w:b/>
                <w:bCs/>
                <w:color w:val="FFFFFF"/>
                <w:sz w:val="17"/>
                <w:szCs w:val="17"/>
              </w:rPr>
              <w:t xml:space="preserve">Primary Key</w:t>
            </w:r>
          </w:p>
        </w:tc>
        <w:tc>
          <w:tcPr>
            <w:tcW w:type="dxa" w:w="3838"/>
            <w:shd w:fill="1F3864" w:val="clear"/>
            <w:tcMar>
              <w:top w:type="dxa" w:w="70"/>
              <w:left w:type="dxa" w:w="90"/>
              <w:bottom w:type="dxa" w:w="70"/>
              <w:right w:type="dxa" w:w="90"/>
            </w:tcMar>
            <w:vAlign w:val="top"/>
          </w:tcPr>
          <w:p>
            <w:r>
              <w:rPr>
                <w:b/>
                <w:bCs/>
                <w:color w:val="FFFFFF"/>
                <w:sz w:val="17"/>
                <w:szCs w:val="17"/>
              </w:rPr>
              <w:t xml:space="preserve">Foreign Keys</w:t>
            </w:r>
          </w:p>
        </w:tc>
      </w:tr>
      <w:tr>
        <w:tc>
          <w:tcPr>
            <w:tcW w:type="dxa" w:w="2527"/>
            <w:tcMar>
              <w:top w:type="dxa" w:w="70"/>
              <w:left w:type="dxa" w:w="90"/>
              <w:bottom w:type="dxa" w:w="70"/>
              <w:right w:type="dxa" w:w="90"/>
            </w:tcMar>
            <w:vAlign w:val="top"/>
          </w:tcPr>
          <w:p>
            <w:r>
              <w:rPr>
                <w:b/>
                <w:bCs/>
                <w:color w:val="000000"/>
                <w:sz w:val="17"/>
                <w:szCs w:val="17"/>
              </w:rPr>
              <w:t xml:space="preserve">Programme</w:t>
            </w:r>
          </w:p>
        </w:tc>
        <w:tc>
          <w:tcPr>
            <w:tcW w:type="dxa" w:w="3838"/>
            <w:tcMar>
              <w:top w:type="dxa" w:w="70"/>
              <w:left w:type="dxa" w:w="90"/>
              <w:bottom w:type="dxa" w:w="70"/>
              <w:right w:type="dxa" w:w="90"/>
            </w:tcMar>
            <w:vAlign w:val="top"/>
          </w:tcPr>
          <w:p>
            <w:r>
              <w:rPr>
                <w:b w:val="false"/>
                <w:bCs w:val="false"/>
                <w:color w:val="000000"/>
                <w:sz w:val="17"/>
                <w:szCs w:val="17"/>
              </w:rPr>
              <w:t xml:space="preserve">programme_id, name, start_date, end_date, status</w:t>
            </w:r>
          </w:p>
        </w:tc>
        <w:tc>
          <w:tcPr>
            <w:tcW w:type="dxa" w:w="3838"/>
            <w:tcMar>
              <w:top w:type="dxa" w:w="70"/>
              <w:left w:type="dxa" w:w="90"/>
              <w:bottom w:type="dxa" w:w="70"/>
              <w:right w:type="dxa" w:w="90"/>
            </w:tcMar>
            <w:vAlign w:val="top"/>
          </w:tcPr>
          <w:p>
            <w:r>
              <w:rPr>
                <w:b w:val="false"/>
                <w:bCs w:val="false"/>
                <w:color w:val="000000"/>
                <w:sz w:val="17"/>
                <w:szCs w:val="17"/>
              </w:rPr>
              <w:t xml:space="preserve">programme_id</w:t>
            </w:r>
          </w:p>
        </w:tc>
        <w:tc>
          <w:tcPr>
            <w:tcW w:type="dxa" w:w="3838"/>
            <w:tcMar>
              <w:top w:type="dxa" w:w="70"/>
              <w:left w:type="dxa" w:w="90"/>
              <w:bottom w:type="dxa" w:w="70"/>
              <w:right w:type="dxa" w:w="90"/>
            </w:tcMar>
            <w:vAlign w:val="top"/>
          </w:tcPr>
          <w:p>
            <w:r>
              <w:rPr>
                <w:b w:val="false"/>
                <w:bCs w:val="false"/>
                <w:color w:val="000000"/>
                <w:sz w:val="17"/>
                <w:szCs w:val="17"/>
              </w:rPr>
              <w:t xml:space="preserve">—</w:t>
            </w:r>
          </w:p>
        </w:tc>
      </w:tr>
      <w:tr>
        <w:tc>
          <w:tcPr>
            <w:tcW w:type="dxa" w:w="2527"/>
            <w:tcMar>
              <w:top w:type="dxa" w:w="70"/>
              <w:left w:type="dxa" w:w="90"/>
              <w:bottom w:type="dxa" w:w="70"/>
              <w:right w:type="dxa" w:w="90"/>
            </w:tcMar>
            <w:vAlign w:val="top"/>
          </w:tcPr>
          <w:p>
            <w:r>
              <w:rPr>
                <w:b/>
                <w:bCs/>
                <w:color w:val="000000"/>
                <w:sz w:val="17"/>
                <w:szCs w:val="17"/>
              </w:rPr>
              <w:t xml:space="preserve">Component</w:t>
            </w:r>
          </w:p>
        </w:tc>
        <w:tc>
          <w:tcPr>
            <w:tcW w:type="dxa" w:w="3838"/>
            <w:tcMar>
              <w:top w:type="dxa" w:w="70"/>
              <w:left w:type="dxa" w:w="90"/>
              <w:bottom w:type="dxa" w:w="70"/>
              <w:right w:type="dxa" w:w="90"/>
            </w:tcMar>
            <w:vAlign w:val="top"/>
          </w:tcPr>
          <w:p>
            <w:r>
              <w:rPr>
                <w:b w:val="false"/>
                <w:bCs w:val="false"/>
                <w:color w:val="000000"/>
                <w:sz w:val="17"/>
                <w:szCs w:val="17"/>
              </w:rPr>
              <w:t xml:space="preserve">component_id, programme_id, name, objective</w:t>
            </w:r>
          </w:p>
        </w:tc>
        <w:tc>
          <w:tcPr>
            <w:tcW w:type="dxa" w:w="3838"/>
            <w:tcMar>
              <w:top w:type="dxa" w:w="70"/>
              <w:left w:type="dxa" w:w="90"/>
              <w:bottom w:type="dxa" w:w="70"/>
              <w:right w:type="dxa" w:w="90"/>
            </w:tcMar>
            <w:vAlign w:val="top"/>
          </w:tcPr>
          <w:p>
            <w:r>
              <w:rPr>
                <w:b w:val="false"/>
                <w:bCs w:val="false"/>
                <w:color w:val="000000"/>
                <w:sz w:val="17"/>
                <w:szCs w:val="17"/>
              </w:rPr>
              <w:t xml:space="preserve">component_id</w:t>
            </w:r>
          </w:p>
        </w:tc>
        <w:tc>
          <w:tcPr>
            <w:tcW w:type="dxa" w:w="3838"/>
            <w:tcMar>
              <w:top w:type="dxa" w:w="70"/>
              <w:left w:type="dxa" w:w="90"/>
              <w:bottom w:type="dxa" w:w="70"/>
              <w:right w:type="dxa" w:w="90"/>
            </w:tcMar>
            <w:vAlign w:val="top"/>
          </w:tcPr>
          <w:p>
            <w:r>
              <w:rPr>
                <w:b w:val="false"/>
                <w:bCs w:val="false"/>
                <w:color w:val="000000"/>
                <w:sz w:val="17"/>
                <w:szCs w:val="17"/>
              </w:rPr>
              <w:t xml:space="preserve">programme_id → Programme</w:t>
            </w:r>
          </w:p>
        </w:tc>
      </w:tr>
      <w:tr>
        <w:tc>
          <w:tcPr>
            <w:tcW w:type="dxa" w:w="2527"/>
            <w:tcMar>
              <w:top w:type="dxa" w:w="70"/>
              <w:left w:type="dxa" w:w="90"/>
              <w:bottom w:type="dxa" w:w="70"/>
              <w:right w:type="dxa" w:w="90"/>
            </w:tcMar>
            <w:vAlign w:val="top"/>
          </w:tcPr>
          <w:p>
            <w:r>
              <w:rPr>
                <w:b/>
                <w:bCs/>
                <w:color w:val="000000"/>
                <w:sz w:val="17"/>
                <w:szCs w:val="17"/>
              </w:rPr>
              <w:t xml:space="preserve">Project</w:t>
            </w:r>
          </w:p>
        </w:tc>
        <w:tc>
          <w:tcPr>
            <w:tcW w:type="dxa" w:w="3838"/>
            <w:tcMar>
              <w:top w:type="dxa" w:w="70"/>
              <w:left w:type="dxa" w:w="90"/>
              <w:bottom w:type="dxa" w:w="70"/>
              <w:right w:type="dxa" w:w="90"/>
            </w:tcMar>
            <w:vAlign w:val="top"/>
          </w:tcPr>
          <w:p>
            <w:r>
              <w:rPr>
                <w:b w:val="false"/>
                <w:bCs w:val="false"/>
                <w:color w:val="000000"/>
                <w:sz w:val="17"/>
                <w:szCs w:val="17"/>
              </w:rPr>
              <w:t xml:space="preserve">project_id, component_id, state_code, title, status, budget</w:t>
            </w:r>
          </w:p>
        </w:tc>
        <w:tc>
          <w:tcPr>
            <w:tcW w:type="dxa" w:w="3838"/>
            <w:tcMar>
              <w:top w:type="dxa" w:w="70"/>
              <w:left w:type="dxa" w:w="90"/>
              <w:bottom w:type="dxa" w:w="70"/>
              <w:right w:type="dxa" w:w="90"/>
            </w:tcMar>
            <w:vAlign w:val="top"/>
          </w:tcPr>
          <w:p>
            <w:r>
              <w:rPr>
                <w:b w:val="false"/>
                <w:bCs w:val="false"/>
                <w:color w:val="000000"/>
                <w:sz w:val="17"/>
                <w:szCs w:val="17"/>
              </w:rPr>
              <w:t xml:space="preserve">project_id</w:t>
            </w:r>
          </w:p>
        </w:tc>
        <w:tc>
          <w:tcPr>
            <w:tcW w:type="dxa" w:w="3838"/>
            <w:tcMar>
              <w:top w:type="dxa" w:w="70"/>
              <w:left w:type="dxa" w:w="90"/>
              <w:bottom w:type="dxa" w:w="70"/>
              <w:right w:type="dxa" w:w="90"/>
            </w:tcMar>
            <w:vAlign w:val="top"/>
          </w:tcPr>
          <w:p>
            <w:r>
              <w:rPr>
                <w:b w:val="false"/>
                <w:bCs w:val="false"/>
                <w:color w:val="000000"/>
                <w:sz w:val="17"/>
                <w:szCs w:val="17"/>
              </w:rPr>
              <w:t xml:space="preserve">component_id → Component; state_code → State Reference</w:t>
            </w:r>
          </w:p>
        </w:tc>
      </w:tr>
      <w:tr>
        <w:tc>
          <w:tcPr>
            <w:tcW w:type="dxa" w:w="2527"/>
            <w:tcMar>
              <w:top w:type="dxa" w:w="70"/>
              <w:left w:type="dxa" w:w="90"/>
              <w:bottom w:type="dxa" w:w="70"/>
              <w:right w:type="dxa" w:w="90"/>
            </w:tcMar>
            <w:vAlign w:val="top"/>
          </w:tcPr>
          <w:p>
            <w:r>
              <w:rPr>
                <w:b/>
                <w:bCs/>
                <w:color w:val="000000"/>
                <w:sz w:val="17"/>
                <w:szCs w:val="17"/>
              </w:rPr>
              <w:t xml:space="preserve">Task</w:t>
            </w:r>
          </w:p>
        </w:tc>
        <w:tc>
          <w:tcPr>
            <w:tcW w:type="dxa" w:w="3838"/>
            <w:tcMar>
              <w:top w:type="dxa" w:w="70"/>
              <w:left w:type="dxa" w:w="90"/>
              <w:bottom w:type="dxa" w:w="70"/>
              <w:right w:type="dxa" w:w="90"/>
            </w:tcMar>
            <w:vAlign w:val="top"/>
          </w:tcPr>
          <w:p>
            <w:r>
              <w:rPr>
                <w:b w:val="false"/>
                <w:bCs w:val="false"/>
                <w:color w:val="000000"/>
                <w:sz w:val="17"/>
                <w:szCs w:val="17"/>
              </w:rPr>
              <w:t xml:space="preserve">task_id, project_id, title, status, due_date, assignee_id</w:t>
            </w:r>
          </w:p>
        </w:tc>
        <w:tc>
          <w:tcPr>
            <w:tcW w:type="dxa" w:w="3838"/>
            <w:tcMar>
              <w:top w:type="dxa" w:w="70"/>
              <w:left w:type="dxa" w:w="90"/>
              <w:bottom w:type="dxa" w:w="70"/>
              <w:right w:type="dxa" w:w="90"/>
            </w:tcMar>
            <w:vAlign w:val="top"/>
          </w:tcPr>
          <w:p>
            <w:r>
              <w:rPr>
                <w:b w:val="false"/>
                <w:bCs w:val="false"/>
                <w:color w:val="000000"/>
                <w:sz w:val="17"/>
                <w:szCs w:val="17"/>
              </w:rPr>
              <w:t xml:space="preserve">task_id</w:t>
            </w:r>
          </w:p>
        </w:tc>
        <w:tc>
          <w:tcPr>
            <w:tcW w:type="dxa" w:w="3838"/>
            <w:tcMar>
              <w:top w:type="dxa" w:w="70"/>
              <w:left w:type="dxa" w:w="90"/>
              <w:bottom w:type="dxa" w:w="70"/>
              <w:right w:type="dxa" w:w="90"/>
            </w:tcMar>
            <w:vAlign w:val="top"/>
          </w:tcPr>
          <w:p>
            <w:r>
              <w:rPr>
                <w:b w:val="false"/>
                <w:bCs w:val="false"/>
                <w:color w:val="000000"/>
                <w:sz w:val="17"/>
                <w:szCs w:val="17"/>
              </w:rPr>
              <w:t xml:space="preserve">project_id → Project; assignee_id → User</w:t>
            </w:r>
          </w:p>
        </w:tc>
      </w:tr>
      <w:tr>
        <w:tc>
          <w:tcPr>
            <w:tcW w:type="dxa" w:w="2527"/>
            <w:tcMar>
              <w:top w:type="dxa" w:w="70"/>
              <w:left w:type="dxa" w:w="90"/>
              <w:bottom w:type="dxa" w:w="70"/>
              <w:right w:type="dxa" w:w="90"/>
            </w:tcMar>
            <w:vAlign w:val="top"/>
          </w:tcPr>
          <w:p>
            <w:r>
              <w:rPr>
                <w:b/>
                <w:bCs/>
                <w:color w:val="000000"/>
                <w:sz w:val="17"/>
                <w:szCs w:val="17"/>
              </w:rPr>
              <w:t xml:space="preserve">Document</w:t>
            </w:r>
          </w:p>
        </w:tc>
        <w:tc>
          <w:tcPr>
            <w:tcW w:type="dxa" w:w="3838"/>
            <w:tcMar>
              <w:top w:type="dxa" w:w="70"/>
              <w:left w:type="dxa" w:w="90"/>
              <w:bottom w:type="dxa" w:w="70"/>
              <w:right w:type="dxa" w:w="90"/>
            </w:tcMar>
            <w:vAlign w:val="top"/>
          </w:tcPr>
          <w:p>
            <w:r>
              <w:rPr>
                <w:b w:val="false"/>
                <w:bCs w:val="false"/>
                <w:color w:val="000000"/>
                <w:sz w:val="17"/>
                <w:szCs w:val="17"/>
              </w:rPr>
              <w:t xml:space="preserve">document_id, title, classification, owner_id, current_version_id</w:t>
            </w:r>
          </w:p>
        </w:tc>
        <w:tc>
          <w:tcPr>
            <w:tcW w:type="dxa" w:w="3838"/>
            <w:tcMar>
              <w:top w:type="dxa" w:w="70"/>
              <w:left w:type="dxa" w:w="90"/>
              <w:bottom w:type="dxa" w:w="70"/>
              <w:right w:type="dxa" w:w="90"/>
            </w:tcMar>
            <w:vAlign w:val="top"/>
          </w:tcPr>
          <w:p>
            <w:r>
              <w:rPr>
                <w:b w:val="false"/>
                <w:bCs w:val="false"/>
                <w:color w:val="000000"/>
                <w:sz w:val="17"/>
                <w:szCs w:val="17"/>
              </w:rPr>
              <w:t xml:space="preserve">document_id</w:t>
            </w:r>
          </w:p>
        </w:tc>
        <w:tc>
          <w:tcPr>
            <w:tcW w:type="dxa" w:w="3838"/>
            <w:tcMar>
              <w:top w:type="dxa" w:w="70"/>
              <w:left w:type="dxa" w:w="90"/>
              <w:bottom w:type="dxa" w:w="70"/>
              <w:right w:type="dxa" w:w="90"/>
            </w:tcMar>
            <w:vAlign w:val="top"/>
          </w:tcPr>
          <w:p>
            <w:r>
              <w:rPr>
                <w:b w:val="false"/>
                <w:bCs w:val="false"/>
                <w:color w:val="000000"/>
                <w:sz w:val="17"/>
                <w:szCs w:val="17"/>
              </w:rPr>
              <w:t xml:space="preserve">owner_id → User</w:t>
            </w:r>
          </w:p>
        </w:tc>
      </w:tr>
      <w:tr>
        <w:tc>
          <w:tcPr>
            <w:tcW w:type="dxa" w:w="2527"/>
            <w:tcMar>
              <w:top w:type="dxa" w:w="70"/>
              <w:left w:type="dxa" w:w="90"/>
              <w:bottom w:type="dxa" w:w="70"/>
              <w:right w:type="dxa" w:w="90"/>
            </w:tcMar>
            <w:vAlign w:val="top"/>
          </w:tcPr>
          <w:p>
            <w:r>
              <w:rPr>
                <w:b/>
                <w:bCs/>
                <w:color w:val="000000"/>
                <w:sz w:val="17"/>
                <w:szCs w:val="17"/>
              </w:rPr>
              <w:t xml:space="preserve">Document Version</w:t>
            </w:r>
          </w:p>
        </w:tc>
        <w:tc>
          <w:tcPr>
            <w:tcW w:type="dxa" w:w="3838"/>
            <w:tcMar>
              <w:top w:type="dxa" w:w="70"/>
              <w:left w:type="dxa" w:w="90"/>
              <w:bottom w:type="dxa" w:w="70"/>
              <w:right w:type="dxa" w:w="90"/>
            </w:tcMar>
            <w:vAlign w:val="top"/>
          </w:tcPr>
          <w:p>
            <w:r>
              <w:rPr>
                <w:b w:val="false"/>
                <w:bCs w:val="false"/>
                <w:color w:val="000000"/>
                <w:sz w:val="17"/>
                <w:szCs w:val="17"/>
              </w:rPr>
              <w:t xml:space="preserve">version_id, document_id, version_number, state, created_at</w:t>
            </w:r>
          </w:p>
        </w:tc>
        <w:tc>
          <w:tcPr>
            <w:tcW w:type="dxa" w:w="3838"/>
            <w:tcMar>
              <w:top w:type="dxa" w:w="70"/>
              <w:left w:type="dxa" w:w="90"/>
              <w:bottom w:type="dxa" w:w="70"/>
              <w:right w:type="dxa" w:w="90"/>
            </w:tcMar>
            <w:vAlign w:val="top"/>
          </w:tcPr>
          <w:p>
            <w:r>
              <w:rPr>
                <w:b w:val="false"/>
                <w:bCs w:val="false"/>
                <w:color w:val="000000"/>
                <w:sz w:val="17"/>
                <w:szCs w:val="17"/>
              </w:rPr>
              <w:t xml:space="preserve">version_id</w:t>
            </w:r>
          </w:p>
        </w:tc>
        <w:tc>
          <w:tcPr>
            <w:tcW w:type="dxa" w:w="3838"/>
            <w:tcMar>
              <w:top w:type="dxa" w:w="70"/>
              <w:left w:type="dxa" w:w="90"/>
              <w:bottom w:type="dxa" w:w="70"/>
              <w:right w:type="dxa" w:w="90"/>
            </w:tcMar>
            <w:vAlign w:val="top"/>
          </w:tcPr>
          <w:p>
            <w:r>
              <w:rPr>
                <w:b w:val="false"/>
                <w:bCs w:val="false"/>
                <w:color w:val="000000"/>
                <w:sz w:val="17"/>
                <w:szCs w:val="17"/>
              </w:rPr>
              <w:t xml:space="preserve">document_id → Document</w:t>
            </w:r>
          </w:p>
        </w:tc>
      </w:tr>
      <w:tr>
        <w:tc>
          <w:tcPr>
            <w:tcW w:type="dxa" w:w="2527"/>
            <w:tcMar>
              <w:top w:type="dxa" w:w="70"/>
              <w:left w:type="dxa" w:w="90"/>
              <w:bottom w:type="dxa" w:w="70"/>
              <w:right w:type="dxa" w:w="90"/>
            </w:tcMar>
            <w:vAlign w:val="top"/>
          </w:tcPr>
          <w:p>
            <w:r>
              <w:rPr>
                <w:b/>
                <w:bCs/>
                <w:color w:val="000000"/>
                <w:sz w:val="17"/>
                <w:szCs w:val="17"/>
              </w:rPr>
              <w:t xml:space="preserve">Knowledge Asset</w:t>
            </w:r>
          </w:p>
        </w:tc>
        <w:tc>
          <w:tcPr>
            <w:tcW w:type="dxa" w:w="3838"/>
            <w:tcMar>
              <w:top w:type="dxa" w:w="70"/>
              <w:left w:type="dxa" w:w="90"/>
              <w:bottom w:type="dxa" w:w="70"/>
              <w:right w:type="dxa" w:w="90"/>
            </w:tcMar>
            <w:vAlign w:val="top"/>
          </w:tcPr>
          <w:p>
            <w:r>
              <w:rPr>
                <w:b w:val="false"/>
                <w:bCs w:val="false"/>
                <w:color w:val="000000"/>
                <w:sz w:val="17"/>
                <w:szCs w:val="17"/>
              </w:rPr>
              <w:t xml:space="preserve">asset_id, title, type, classification, author_id, published_at</w:t>
            </w:r>
          </w:p>
        </w:tc>
        <w:tc>
          <w:tcPr>
            <w:tcW w:type="dxa" w:w="3838"/>
            <w:tcMar>
              <w:top w:type="dxa" w:w="70"/>
              <w:left w:type="dxa" w:w="90"/>
              <w:bottom w:type="dxa" w:w="70"/>
              <w:right w:type="dxa" w:w="90"/>
            </w:tcMar>
            <w:vAlign w:val="top"/>
          </w:tcPr>
          <w:p>
            <w:r>
              <w:rPr>
                <w:b w:val="false"/>
                <w:bCs w:val="false"/>
                <w:color w:val="000000"/>
                <w:sz w:val="17"/>
                <w:szCs w:val="17"/>
              </w:rPr>
              <w:t xml:space="preserve">asset_id</w:t>
            </w:r>
          </w:p>
        </w:tc>
        <w:tc>
          <w:tcPr>
            <w:tcW w:type="dxa" w:w="3838"/>
            <w:tcMar>
              <w:top w:type="dxa" w:w="70"/>
              <w:left w:type="dxa" w:w="90"/>
              <w:bottom w:type="dxa" w:w="70"/>
              <w:right w:type="dxa" w:w="90"/>
            </w:tcMar>
            <w:vAlign w:val="top"/>
          </w:tcPr>
          <w:p>
            <w:r>
              <w:rPr>
                <w:b w:val="false"/>
                <w:bCs w:val="false"/>
                <w:color w:val="000000"/>
                <w:sz w:val="17"/>
                <w:szCs w:val="17"/>
              </w:rPr>
              <w:t xml:space="preserve">author_id → User</w:t>
            </w:r>
          </w:p>
        </w:tc>
      </w:tr>
      <w:tr>
        <w:tc>
          <w:tcPr>
            <w:tcW w:type="dxa" w:w="2527"/>
            <w:tcMar>
              <w:top w:type="dxa" w:w="70"/>
              <w:left w:type="dxa" w:w="90"/>
              <w:bottom w:type="dxa" w:w="70"/>
              <w:right w:type="dxa" w:w="90"/>
            </w:tcMar>
            <w:vAlign w:val="top"/>
          </w:tcPr>
          <w:p>
            <w:r>
              <w:rPr>
                <w:b/>
                <w:bCs/>
                <w:color w:val="000000"/>
                <w:sz w:val="17"/>
                <w:szCs w:val="17"/>
              </w:rPr>
              <w:t xml:space="preserve">Risk</w:t>
            </w:r>
          </w:p>
        </w:tc>
        <w:tc>
          <w:tcPr>
            <w:tcW w:type="dxa" w:w="3838"/>
            <w:tcMar>
              <w:top w:type="dxa" w:w="70"/>
              <w:left w:type="dxa" w:w="90"/>
              <w:bottom w:type="dxa" w:w="70"/>
              <w:right w:type="dxa" w:w="90"/>
            </w:tcMar>
            <w:vAlign w:val="top"/>
          </w:tcPr>
          <w:p>
            <w:r>
              <w:rPr>
                <w:b w:val="false"/>
                <w:bCs w:val="false"/>
                <w:color w:val="000000"/>
                <w:sz w:val="17"/>
                <w:szCs w:val="17"/>
              </w:rPr>
              <w:t xml:space="preserve">risk_id, project_id, description, probability, impact, status</w:t>
            </w:r>
          </w:p>
        </w:tc>
        <w:tc>
          <w:tcPr>
            <w:tcW w:type="dxa" w:w="3838"/>
            <w:tcMar>
              <w:top w:type="dxa" w:w="70"/>
              <w:left w:type="dxa" w:w="90"/>
              <w:bottom w:type="dxa" w:w="70"/>
              <w:right w:type="dxa" w:w="90"/>
            </w:tcMar>
            <w:vAlign w:val="top"/>
          </w:tcPr>
          <w:p>
            <w:r>
              <w:rPr>
                <w:b w:val="false"/>
                <w:bCs w:val="false"/>
                <w:color w:val="000000"/>
                <w:sz w:val="17"/>
                <w:szCs w:val="17"/>
              </w:rPr>
              <w:t xml:space="preserve">risk_id</w:t>
            </w:r>
          </w:p>
        </w:tc>
        <w:tc>
          <w:tcPr>
            <w:tcW w:type="dxa" w:w="3838"/>
            <w:tcMar>
              <w:top w:type="dxa" w:w="70"/>
              <w:left w:type="dxa" w:w="90"/>
              <w:bottom w:type="dxa" w:w="70"/>
              <w:right w:type="dxa" w:w="90"/>
            </w:tcMar>
            <w:vAlign w:val="top"/>
          </w:tcPr>
          <w:p>
            <w:r>
              <w:rPr>
                <w:b w:val="false"/>
                <w:bCs w:val="false"/>
                <w:color w:val="000000"/>
                <w:sz w:val="17"/>
                <w:szCs w:val="17"/>
              </w:rPr>
              <w:t xml:space="preserve">project_id → Project</w:t>
            </w:r>
          </w:p>
        </w:tc>
      </w:tr>
      <w:tr>
        <w:tc>
          <w:tcPr>
            <w:tcW w:type="dxa" w:w="2527"/>
            <w:tcMar>
              <w:top w:type="dxa" w:w="70"/>
              <w:left w:type="dxa" w:w="90"/>
              <w:bottom w:type="dxa" w:w="70"/>
              <w:right w:type="dxa" w:w="90"/>
            </w:tcMar>
            <w:vAlign w:val="top"/>
          </w:tcPr>
          <w:p>
            <w:r>
              <w:rPr>
                <w:b/>
                <w:bCs/>
                <w:color w:val="000000"/>
                <w:sz w:val="17"/>
                <w:szCs w:val="17"/>
              </w:rPr>
              <w:t xml:space="preserve">Issue</w:t>
            </w:r>
          </w:p>
        </w:tc>
        <w:tc>
          <w:tcPr>
            <w:tcW w:type="dxa" w:w="3838"/>
            <w:tcMar>
              <w:top w:type="dxa" w:w="70"/>
              <w:left w:type="dxa" w:w="90"/>
              <w:bottom w:type="dxa" w:w="70"/>
              <w:right w:type="dxa" w:w="90"/>
            </w:tcMar>
            <w:vAlign w:val="top"/>
          </w:tcPr>
          <w:p>
            <w:r>
              <w:rPr>
                <w:b w:val="false"/>
                <w:bCs w:val="false"/>
                <w:color w:val="000000"/>
                <w:sz w:val="17"/>
                <w:szCs w:val="17"/>
              </w:rPr>
              <w:t xml:space="preserve">issue_id, project_id, risk_id, description, status, assignee_id</w:t>
            </w:r>
          </w:p>
        </w:tc>
        <w:tc>
          <w:tcPr>
            <w:tcW w:type="dxa" w:w="3838"/>
            <w:tcMar>
              <w:top w:type="dxa" w:w="70"/>
              <w:left w:type="dxa" w:w="90"/>
              <w:bottom w:type="dxa" w:w="70"/>
              <w:right w:type="dxa" w:w="90"/>
            </w:tcMar>
            <w:vAlign w:val="top"/>
          </w:tcPr>
          <w:p>
            <w:r>
              <w:rPr>
                <w:b w:val="false"/>
                <w:bCs w:val="false"/>
                <w:color w:val="000000"/>
                <w:sz w:val="17"/>
                <w:szCs w:val="17"/>
              </w:rPr>
              <w:t xml:space="preserve">issue_id</w:t>
            </w:r>
          </w:p>
        </w:tc>
        <w:tc>
          <w:tcPr>
            <w:tcW w:type="dxa" w:w="3838"/>
            <w:tcMar>
              <w:top w:type="dxa" w:w="70"/>
              <w:left w:type="dxa" w:w="90"/>
              <w:bottom w:type="dxa" w:w="70"/>
              <w:right w:type="dxa" w:w="90"/>
            </w:tcMar>
            <w:vAlign w:val="top"/>
          </w:tcPr>
          <w:p>
            <w:r>
              <w:rPr>
                <w:b w:val="false"/>
                <w:bCs w:val="false"/>
                <w:color w:val="000000"/>
                <w:sz w:val="17"/>
                <w:szCs w:val="17"/>
              </w:rPr>
              <w:t xml:space="preserve">project_id → Project; risk_id → Risk (optional)</w:t>
            </w:r>
          </w:p>
        </w:tc>
      </w:tr>
      <w:tr>
        <w:tc>
          <w:tcPr>
            <w:tcW w:type="dxa" w:w="2527"/>
            <w:tcMar>
              <w:top w:type="dxa" w:w="70"/>
              <w:left w:type="dxa" w:w="90"/>
              <w:bottom w:type="dxa" w:w="70"/>
              <w:right w:type="dxa" w:w="90"/>
            </w:tcMar>
            <w:vAlign w:val="top"/>
          </w:tcPr>
          <w:p>
            <w:r>
              <w:rPr>
                <w:b/>
                <w:bCs/>
                <w:color w:val="000000"/>
                <w:sz w:val="17"/>
                <w:szCs w:val="17"/>
              </w:rPr>
              <w:t xml:space="preserve">Decision</w:t>
            </w:r>
          </w:p>
        </w:tc>
        <w:tc>
          <w:tcPr>
            <w:tcW w:type="dxa" w:w="3838"/>
            <w:tcMar>
              <w:top w:type="dxa" w:w="70"/>
              <w:left w:type="dxa" w:w="90"/>
              <w:bottom w:type="dxa" w:w="70"/>
              <w:right w:type="dxa" w:w="90"/>
            </w:tcMar>
            <w:vAlign w:val="top"/>
          </w:tcPr>
          <w:p>
            <w:r>
              <w:rPr>
                <w:b w:val="false"/>
                <w:bCs w:val="false"/>
                <w:color w:val="000000"/>
                <w:sz w:val="17"/>
                <w:szCs w:val="17"/>
              </w:rPr>
              <w:t xml:space="preserve">decision_id, governance_body_id, description, rationale, decided_at</w:t>
            </w:r>
          </w:p>
        </w:tc>
        <w:tc>
          <w:tcPr>
            <w:tcW w:type="dxa" w:w="3838"/>
            <w:tcMar>
              <w:top w:type="dxa" w:w="70"/>
              <w:left w:type="dxa" w:w="90"/>
              <w:bottom w:type="dxa" w:w="70"/>
              <w:right w:type="dxa" w:w="90"/>
            </w:tcMar>
            <w:vAlign w:val="top"/>
          </w:tcPr>
          <w:p>
            <w:r>
              <w:rPr>
                <w:b w:val="false"/>
                <w:bCs w:val="false"/>
                <w:color w:val="000000"/>
                <w:sz w:val="17"/>
                <w:szCs w:val="17"/>
              </w:rPr>
              <w:t xml:space="preserve">decision_id</w:t>
            </w:r>
          </w:p>
        </w:tc>
        <w:tc>
          <w:tcPr>
            <w:tcW w:type="dxa" w:w="3838"/>
            <w:tcMar>
              <w:top w:type="dxa" w:w="70"/>
              <w:left w:type="dxa" w:w="90"/>
              <w:bottom w:type="dxa" w:w="70"/>
              <w:right w:type="dxa" w:w="90"/>
            </w:tcMar>
            <w:vAlign w:val="top"/>
          </w:tcPr>
          <w:p>
            <w:r>
              <w:rPr>
                <w:b w:val="false"/>
                <w:bCs w:val="false"/>
                <w:color w:val="000000"/>
                <w:sz w:val="17"/>
                <w:szCs w:val="17"/>
              </w:rPr>
              <w:t xml:space="preserve">governance_body_id → Organization Unit</w:t>
            </w:r>
          </w:p>
        </w:tc>
      </w:tr>
      <w:tr>
        <w:tc>
          <w:tcPr>
            <w:tcW w:type="dxa" w:w="2527"/>
            <w:tcMar>
              <w:top w:type="dxa" w:w="70"/>
              <w:left w:type="dxa" w:w="90"/>
              <w:bottom w:type="dxa" w:w="70"/>
              <w:right w:type="dxa" w:w="90"/>
            </w:tcMar>
            <w:vAlign w:val="top"/>
          </w:tcPr>
          <w:p>
            <w:r>
              <w:rPr>
                <w:b/>
                <w:bCs/>
                <w:color w:val="000000"/>
                <w:sz w:val="17"/>
                <w:szCs w:val="17"/>
              </w:rPr>
              <w:t xml:space="preserve">User</w:t>
            </w:r>
          </w:p>
        </w:tc>
        <w:tc>
          <w:tcPr>
            <w:tcW w:type="dxa" w:w="3838"/>
            <w:tcMar>
              <w:top w:type="dxa" w:w="70"/>
              <w:left w:type="dxa" w:w="90"/>
              <w:bottom w:type="dxa" w:w="70"/>
              <w:right w:type="dxa" w:w="90"/>
            </w:tcMar>
            <w:vAlign w:val="top"/>
          </w:tcPr>
          <w:p>
            <w:r>
              <w:rPr>
                <w:b w:val="false"/>
                <w:bCs w:val="false"/>
                <w:color w:val="000000"/>
                <w:sz w:val="17"/>
                <w:szCs w:val="17"/>
              </w:rPr>
              <w:t xml:space="preserve">user_id, name, email, role_id, org_unit_id, status</w:t>
            </w:r>
          </w:p>
        </w:tc>
        <w:tc>
          <w:tcPr>
            <w:tcW w:type="dxa" w:w="3838"/>
            <w:tcMar>
              <w:top w:type="dxa" w:w="70"/>
              <w:left w:type="dxa" w:w="90"/>
              <w:bottom w:type="dxa" w:w="70"/>
              <w:right w:type="dxa" w:w="90"/>
            </w:tcMar>
            <w:vAlign w:val="top"/>
          </w:tcPr>
          <w:p>
            <w:r>
              <w:rPr>
                <w:b w:val="false"/>
                <w:bCs w:val="false"/>
                <w:color w:val="000000"/>
                <w:sz w:val="17"/>
                <w:szCs w:val="17"/>
              </w:rPr>
              <w:t xml:space="preserve">user_id</w:t>
            </w:r>
          </w:p>
        </w:tc>
        <w:tc>
          <w:tcPr>
            <w:tcW w:type="dxa" w:w="3838"/>
            <w:tcMar>
              <w:top w:type="dxa" w:w="70"/>
              <w:left w:type="dxa" w:w="90"/>
              <w:bottom w:type="dxa" w:w="70"/>
              <w:right w:type="dxa" w:w="90"/>
            </w:tcMar>
            <w:vAlign w:val="top"/>
          </w:tcPr>
          <w:p>
            <w:r>
              <w:rPr>
                <w:b w:val="false"/>
                <w:bCs w:val="false"/>
                <w:color w:val="000000"/>
                <w:sz w:val="17"/>
                <w:szCs w:val="17"/>
              </w:rPr>
              <w:t xml:space="preserve">role_id → Role; org_unit_id → Organization Unit</w:t>
            </w:r>
          </w:p>
        </w:tc>
      </w:tr>
      <w:tr>
        <w:tc>
          <w:tcPr>
            <w:tcW w:type="dxa" w:w="2527"/>
            <w:tcMar>
              <w:top w:type="dxa" w:w="70"/>
              <w:left w:type="dxa" w:w="90"/>
              <w:bottom w:type="dxa" w:w="70"/>
              <w:right w:type="dxa" w:w="90"/>
            </w:tcMar>
            <w:vAlign w:val="top"/>
          </w:tcPr>
          <w:p>
            <w:r>
              <w:rPr>
                <w:b/>
                <w:bCs/>
                <w:color w:val="000000"/>
                <w:sz w:val="17"/>
                <w:szCs w:val="17"/>
              </w:rPr>
              <w:t xml:space="preserve">Workflow Instance</w:t>
            </w:r>
          </w:p>
        </w:tc>
        <w:tc>
          <w:tcPr>
            <w:tcW w:type="dxa" w:w="3838"/>
            <w:tcMar>
              <w:top w:type="dxa" w:w="70"/>
              <w:left w:type="dxa" w:w="90"/>
              <w:bottom w:type="dxa" w:w="70"/>
              <w:right w:type="dxa" w:w="90"/>
            </w:tcMar>
            <w:vAlign w:val="top"/>
          </w:tcPr>
          <w:p>
            <w:r>
              <w:rPr>
                <w:b w:val="false"/>
                <w:bCs w:val="false"/>
                <w:color w:val="000000"/>
                <w:sz w:val="17"/>
                <w:szCs w:val="17"/>
              </w:rPr>
              <w:t xml:space="preserve">instance_id, workflow_def_id, document_id, current_step, status</w:t>
            </w:r>
          </w:p>
        </w:tc>
        <w:tc>
          <w:tcPr>
            <w:tcW w:type="dxa" w:w="3838"/>
            <w:tcMar>
              <w:top w:type="dxa" w:w="70"/>
              <w:left w:type="dxa" w:w="90"/>
              <w:bottom w:type="dxa" w:w="70"/>
              <w:right w:type="dxa" w:w="90"/>
            </w:tcMar>
            <w:vAlign w:val="top"/>
          </w:tcPr>
          <w:p>
            <w:r>
              <w:rPr>
                <w:b w:val="false"/>
                <w:bCs w:val="false"/>
                <w:color w:val="000000"/>
                <w:sz w:val="17"/>
                <w:szCs w:val="17"/>
              </w:rPr>
              <w:t xml:space="preserve">instance_id</w:t>
            </w:r>
          </w:p>
        </w:tc>
        <w:tc>
          <w:tcPr>
            <w:tcW w:type="dxa" w:w="3838"/>
            <w:tcMar>
              <w:top w:type="dxa" w:w="70"/>
              <w:left w:type="dxa" w:w="90"/>
              <w:bottom w:type="dxa" w:w="70"/>
              <w:right w:type="dxa" w:w="90"/>
            </w:tcMar>
            <w:vAlign w:val="top"/>
          </w:tcPr>
          <w:p>
            <w:r>
              <w:rPr>
                <w:b w:val="false"/>
                <w:bCs w:val="false"/>
                <w:color w:val="000000"/>
                <w:sz w:val="17"/>
                <w:szCs w:val="17"/>
              </w:rPr>
              <w:t xml:space="preserve">workflow_def_id → Workflow Definition; document_id → Document</w:t>
            </w:r>
          </w:p>
        </w:tc>
      </w:tr>
    </w:tbl>
    <w:p>
      <w:pPr>
        <w:pStyle w:val="Heading2"/>
        <w:spacing w:after="90" w:before="220"/>
      </w:pPr>
      <w:r>
        <w:t xml:space="preserve">2. Physical Data Model</w:t>
      </w:r>
    </w:p>
    <w:p>
      <w:pPr>
        <w:spacing w:after="140" w:line="264"/>
      </w:pPr>
      <w:r>
        <w:t xml:space="preserve">The Physical Data Model maps each logical entity onto its target storage technology and concrete schema decisions — indexing, partitioning, and data-type choices — reflecting the polyglot persistence approach this Part's Data Platforms band formalizes (relational for transactional entities, document store for content, search index for retrieval).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Logical Entity</w:t>
            </w:r>
          </w:p>
        </w:tc>
        <w:tc>
          <w:tcPr>
            <w:tcW w:type="dxa" w:w="5476"/>
            <w:shd w:fill="1F3864" w:val="clear"/>
            <w:tcMar>
              <w:top w:type="dxa" w:w="70"/>
              <w:left w:type="dxa" w:w="90"/>
              <w:bottom w:type="dxa" w:w="70"/>
              <w:right w:type="dxa" w:w="90"/>
            </w:tcMar>
            <w:vAlign w:val="top"/>
          </w:tcPr>
          <w:p>
            <w:r>
              <w:rPr>
                <w:b/>
                <w:bCs/>
                <w:color w:val="FFFFFF"/>
                <w:sz w:val="17"/>
                <w:szCs w:val="17"/>
              </w:rPr>
              <w:t xml:space="preserve">Target Platform</w:t>
            </w:r>
          </w:p>
        </w:tc>
        <w:tc>
          <w:tcPr>
            <w:tcW w:type="dxa" w:w="5476"/>
            <w:shd w:fill="1F3864" w:val="clear"/>
            <w:tcMar>
              <w:top w:type="dxa" w:w="70"/>
              <w:left w:type="dxa" w:w="90"/>
              <w:bottom w:type="dxa" w:w="70"/>
              <w:right w:type="dxa" w:w="90"/>
            </w:tcMar>
            <w:vAlign w:val="top"/>
          </w:tcPr>
          <w:p>
            <w:r>
              <w:rPr>
                <w:b/>
                <w:bCs/>
                <w:color w:val="FFFFFF"/>
                <w:sz w:val="17"/>
                <w:szCs w:val="17"/>
              </w:rPr>
              <w:t xml:space="preserve">Physical Design Notes</w:t>
            </w:r>
          </w:p>
        </w:tc>
      </w:tr>
      <w:tr>
        <w:tc>
          <w:tcPr>
            <w:tcW w:type="dxa" w:w="3089"/>
            <w:tcMar>
              <w:top w:type="dxa" w:w="70"/>
              <w:left w:type="dxa" w:w="90"/>
              <w:bottom w:type="dxa" w:w="70"/>
              <w:right w:type="dxa" w:w="90"/>
            </w:tcMar>
            <w:vAlign w:val="top"/>
          </w:tcPr>
          <w:p>
            <w:r>
              <w:rPr>
                <w:b/>
                <w:bCs/>
                <w:color w:val="000000"/>
                <w:sz w:val="17"/>
                <w:szCs w:val="17"/>
              </w:rPr>
              <w:t xml:space="preserve">Programme, Component, Project, Task</w:t>
            </w:r>
          </w:p>
        </w:tc>
        <w:tc>
          <w:tcPr>
            <w:tcW w:type="dxa" w:w="5476"/>
            <w:tcMar>
              <w:top w:type="dxa" w:w="70"/>
              <w:left w:type="dxa" w:w="90"/>
              <w:bottom w:type="dxa" w:w="70"/>
              <w:right w:type="dxa" w:w="90"/>
            </w:tcMar>
            <w:vAlign w:val="top"/>
          </w:tcPr>
          <w:p>
            <w:r>
              <w:rPr>
                <w:b w:val="false"/>
                <w:bCs w:val="false"/>
                <w:color w:val="000000"/>
                <w:sz w:val="17"/>
                <w:szCs w:val="17"/>
              </w:rPr>
              <w:t xml:space="preserve">Operational relational database</w:t>
            </w:r>
          </w:p>
        </w:tc>
        <w:tc>
          <w:tcPr>
            <w:tcW w:type="dxa" w:w="5476"/>
            <w:tcMar>
              <w:top w:type="dxa" w:w="70"/>
              <w:left w:type="dxa" w:w="90"/>
              <w:bottom w:type="dxa" w:w="70"/>
              <w:right w:type="dxa" w:w="90"/>
            </w:tcMar>
            <w:vAlign w:val="top"/>
          </w:tcPr>
          <w:p>
            <w:r>
              <w:rPr>
                <w:b w:val="false"/>
                <w:bCs w:val="false"/>
                <w:color w:val="000000"/>
                <w:sz w:val="17"/>
                <w:szCs w:val="17"/>
              </w:rPr>
              <w:t xml:space="preserve">Normalized to 3NF; indexed on status and date-range fields for dashboard queries; partitioned by programme where volume warrants.</w:t>
            </w:r>
          </w:p>
        </w:tc>
      </w:tr>
      <w:tr>
        <w:tc>
          <w:tcPr>
            <w:tcW w:type="dxa" w:w="3089"/>
            <w:tcMar>
              <w:top w:type="dxa" w:w="70"/>
              <w:left w:type="dxa" w:w="90"/>
              <w:bottom w:type="dxa" w:w="70"/>
              <w:right w:type="dxa" w:w="90"/>
            </w:tcMar>
            <w:vAlign w:val="top"/>
          </w:tcPr>
          <w:p>
            <w:r>
              <w:rPr>
                <w:b/>
                <w:bCs/>
                <w:color w:val="000000"/>
                <w:sz w:val="17"/>
                <w:szCs w:val="17"/>
              </w:rPr>
              <w:t xml:space="preserve">Document metadata</w:t>
            </w:r>
          </w:p>
        </w:tc>
        <w:tc>
          <w:tcPr>
            <w:tcW w:type="dxa" w:w="5476"/>
            <w:tcMar>
              <w:top w:type="dxa" w:w="70"/>
              <w:left w:type="dxa" w:w="90"/>
              <w:bottom w:type="dxa" w:w="70"/>
              <w:right w:type="dxa" w:w="90"/>
            </w:tcMar>
            <w:vAlign w:val="top"/>
          </w:tcPr>
          <w:p>
            <w:r>
              <w:rPr>
                <w:b w:val="false"/>
                <w:bCs w:val="false"/>
                <w:color w:val="000000"/>
                <w:sz w:val="17"/>
                <w:szCs w:val="17"/>
              </w:rPr>
              <w:t xml:space="preserve">Operational relational database</w:t>
            </w:r>
          </w:p>
        </w:tc>
        <w:tc>
          <w:tcPr>
            <w:tcW w:type="dxa" w:w="5476"/>
            <w:tcMar>
              <w:top w:type="dxa" w:w="70"/>
              <w:left w:type="dxa" w:w="90"/>
              <w:bottom w:type="dxa" w:w="70"/>
              <w:right w:type="dxa" w:w="90"/>
            </w:tcMar>
            <w:vAlign w:val="top"/>
          </w:tcPr>
          <w:p>
            <w:r>
              <w:rPr>
                <w:b w:val="false"/>
                <w:bCs w:val="false"/>
                <w:color w:val="000000"/>
                <w:sz w:val="17"/>
                <w:szCs w:val="17"/>
              </w:rPr>
              <w:t xml:space="preserve">Indexed on classification and owner_id; version history as a related table, not a repeating group.</w:t>
            </w:r>
          </w:p>
        </w:tc>
      </w:tr>
      <w:tr>
        <w:tc>
          <w:tcPr>
            <w:tcW w:type="dxa" w:w="3089"/>
            <w:tcMar>
              <w:top w:type="dxa" w:w="70"/>
              <w:left w:type="dxa" w:w="90"/>
              <w:bottom w:type="dxa" w:w="70"/>
              <w:right w:type="dxa" w:w="90"/>
            </w:tcMar>
            <w:vAlign w:val="top"/>
          </w:tcPr>
          <w:p>
            <w:r>
              <w:rPr>
                <w:b/>
                <w:bCs/>
                <w:color w:val="000000"/>
                <w:sz w:val="17"/>
                <w:szCs w:val="17"/>
              </w:rPr>
              <w:t xml:space="preserve">Document binary content</w:t>
            </w:r>
          </w:p>
        </w:tc>
        <w:tc>
          <w:tcPr>
            <w:tcW w:type="dxa" w:w="5476"/>
            <w:tcMar>
              <w:top w:type="dxa" w:w="70"/>
              <w:left w:type="dxa" w:w="90"/>
              <w:bottom w:type="dxa" w:w="70"/>
              <w:right w:type="dxa" w:w="90"/>
            </w:tcMar>
            <w:vAlign w:val="top"/>
          </w:tcPr>
          <w:p>
            <w:r>
              <w:rPr>
                <w:b w:val="false"/>
                <w:bCs w:val="false"/>
                <w:color w:val="000000"/>
                <w:sz w:val="17"/>
                <w:szCs w:val="17"/>
              </w:rPr>
              <w:t xml:space="preserve">Document/object store</w:t>
            </w:r>
          </w:p>
        </w:tc>
        <w:tc>
          <w:tcPr>
            <w:tcW w:type="dxa" w:w="5476"/>
            <w:tcMar>
              <w:top w:type="dxa" w:w="70"/>
              <w:left w:type="dxa" w:w="90"/>
              <w:bottom w:type="dxa" w:w="70"/>
              <w:right w:type="dxa" w:w="90"/>
            </w:tcMar>
            <w:vAlign w:val="top"/>
          </w:tcPr>
          <w:p>
            <w:r>
              <w:rPr>
                <w:b w:val="false"/>
                <w:bCs w:val="false"/>
                <w:color w:val="000000"/>
                <w:sz w:val="17"/>
                <w:szCs w:val="17"/>
              </w:rPr>
              <w:t xml:space="preserve">Content-addressed storage; metadata row in the relational database references the object key.</w:t>
            </w:r>
          </w:p>
        </w:tc>
      </w:tr>
      <w:tr>
        <w:tc>
          <w:tcPr>
            <w:tcW w:type="dxa" w:w="3089"/>
            <w:tcMar>
              <w:top w:type="dxa" w:w="70"/>
              <w:left w:type="dxa" w:w="90"/>
              <w:bottom w:type="dxa" w:w="70"/>
              <w:right w:type="dxa" w:w="90"/>
            </w:tcMar>
            <w:vAlign w:val="top"/>
          </w:tcPr>
          <w:p>
            <w:r>
              <w:rPr>
                <w:b/>
                <w:bCs/>
                <w:color w:val="000000"/>
                <w:sz w:val="17"/>
                <w:szCs w:val="17"/>
              </w:rPr>
              <w:t xml:space="preserve">Knowledge Asset content</w:t>
            </w:r>
          </w:p>
        </w:tc>
        <w:tc>
          <w:tcPr>
            <w:tcW w:type="dxa" w:w="5476"/>
            <w:tcMar>
              <w:top w:type="dxa" w:w="70"/>
              <w:left w:type="dxa" w:w="90"/>
              <w:bottom w:type="dxa" w:w="70"/>
              <w:right w:type="dxa" w:w="90"/>
            </w:tcMar>
            <w:vAlign w:val="top"/>
          </w:tcPr>
          <w:p>
            <w:r>
              <w:rPr>
                <w:b w:val="false"/>
                <w:bCs w:val="false"/>
                <w:color w:val="000000"/>
                <w:sz w:val="17"/>
                <w:szCs w:val="17"/>
              </w:rPr>
              <w:t xml:space="preserve">Document/object store, indexed into Search</w:t>
            </w:r>
          </w:p>
        </w:tc>
        <w:tc>
          <w:tcPr>
            <w:tcW w:type="dxa" w:w="5476"/>
            <w:tcMar>
              <w:top w:type="dxa" w:w="70"/>
              <w:left w:type="dxa" w:w="90"/>
              <w:bottom w:type="dxa" w:w="70"/>
              <w:right w:type="dxa" w:w="90"/>
            </w:tcMar>
            <w:vAlign w:val="top"/>
          </w:tcPr>
          <w:p>
            <w:r>
              <w:rPr>
                <w:b w:val="false"/>
                <w:bCs w:val="false"/>
                <w:color w:val="000000"/>
                <w:sz w:val="17"/>
                <w:szCs w:val="17"/>
              </w:rPr>
              <w:t xml:space="preserve">Structured fields (title, type, author) in the relational database; full content in the document store and search index.</w:t>
            </w:r>
          </w:p>
        </w:tc>
      </w:tr>
      <w:tr>
        <w:tc>
          <w:tcPr>
            <w:tcW w:type="dxa" w:w="3089"/>
            <w:tcMar>
              <w:top w:type="dxa" w:w="70"/>
              <w:left w:type="dxa" w:w="90"/>
              <w:bottom w:type="dxa" w:w="70"/>
              <w:right w:type="dxa" w:w="90"/>
            </w:tcMar>
            <w:vAlign w:val="top"/>
          </w:tcPr>
          <w:p>
            <w:r>
              <w:rPr>
                <w:b/>
                <w:bCs/>
                <w:color w:val="000000"/>
                <w:sz w:val="17"/>
                <w:szCs w:val="17"/>
              </w:rPr>
              <w:t xml:space="preserve">Risk, Issue, Decision</w:t>
            </w:r>
          </w:p>
        </w:tc>
        <w:tc>
          <w:tcPr>
            <w:tcW w:type="dxa" w:w="5476"/>
            <w:tcMar>
              <w:top w:type="dxa" w:w="70"/>
              <w:left w:type="dxa" w:w="90"/>
              <w:bottom w:type="dxa" w:w="70"/>
              <w:right w:type="dxa" w:w="90"/>
            </w:tcMar>
            <w:vAlign w:val="top"/>
          </w:tcPr>
          <w:p>
            <w:r>
              <w:rPr>
                <w:b w:val="false"/>
                <w:bCs w:val="false"/>
                <w:color w:val="000000"/>
                <w:sz w:val="17"/>
                <w:szCs w:val="17"/>
              </w:rPr>
              <w:t xml:space="preserve">Operational relational database</w:t>
            </w:r>
          </w:p>
        </w:tc>
        <w:tc>
          <w:tcPr>
            <w:tcW w:type="dxa" w:w="5476"/>
            <w:tcMar>
              <w:top w:type="dxa" w:w="70"/>
              <w:left w:type="dxa" w:w="90"/>
              <w:bottom w:type="dxa" w:w="70"/>
              <w:right w:type="dxa" w:w="90"/>
            </w:tcMar>
            <w:vAlign w:val="top"/>
          </w:tcPr>
          <w:p>
            <w:r>
              <w:rPr>
                <w:b w:val="false"/>
                <w:bCs w:val="false"/>
                <w:color w:val="000000"/>
                <w:sz w:val="17"/>
                <w:szCs w:val="17"/>
              </w:rPr>
              <w:t xml:space="preserve">Foreign-keyed to Project; indexed on status for register views.</w:t>
            </w:r>
          </w:p>
        </w:tc>
      </w:tr>
      <w:tr>
        <w:tc>
          <w:tcPr>
            <w:tcW w:type="dxa" w:w="3089"/>
            <w:tcMar>
              <w:top w:type="dxa" w:w="70"/>
              <w:left w:type="dxa" w:w="90"/>
              <w:bottom w:type="dxa" w:w="70"/>
              <w:right w:type="dxa" w:w="90"/>
            </w:tcMar>
            <w:vAlign w:val="top"/>
          </w:tcPr>
          <w:p>
            <w:r>
              <w:rPr>
                <w:b/>
                <w:bCs/>
                <w:color w:val="000000"/>
                <w:sz w:val="17"/>
                <w:szCs w:val="17"/>
              </w:rPr>
              <w:t xml:space="preserve">User, Role, Organization Unit</w:t>
            </w:r>
          </w:p>
        </w:tc>
        <w:tc>
          <w:tcPr>
            <w:tcW w:type="dxa" w:w="5476"/>
            <w:tcMar>
              <w:top w:type="dxa" w:w="70"/>
              <w:left w:type="dxa" w:w="90"/>
              <w:bottom w:type="dxa" w:w="70"/>
              <w:right w:type="dxa" w:w="90"/>
            </w:tcMar>
            <w:vAlign w:val="top"/>
          </w:tcPr>
          <w:p>
            <w:r>
              <w:rPr>
                <w:b w:val="false"/>
                <w:bCs w:val="false"/>
                <w:color w:val="000000"/>
                <w:sz w:val="17"/>
                <w:szCs w:val="17"/>
              </w:rPr>
              <w:t xml:space="preserve">Operational relational database, synchronized from Identity Management</w:t>
            </w:r>
          </w:p>
        </w:tc>
        <w:tc>
          <w:tcPr>
            <w:tcW w:type="dxa" w:w="5476"/>
            <w:tcMar>
              <w:top w:type="dxa" w:w="70"/>
              <w:left w:type="dxa" w:w="90"/>
              <w:bottom w:type="dxa" w:w="70"/>
              <w:right w:type="dxa" w:w="90"/>
            </w:tcMar>
            <w:vAlign w:val="top"/>
          </w:tcPr>
          <w:p>
            <w:r>
              <w:rPr>
                <w:b w:val="false"/>
                <w:bCs w:val="false"/>
                <w:color w:val="000000"/>
                <w:sz w:val="17"/>
                <w:szCs w:val="17"/>
              </w:rPr>
              <w:t xml:space="preserve">Treated as a replicated read model where an external identity provider is used; golden source per Part 6's Master Data rules.</w:t>
            </w:r>
          </w:p>
        </w:tc>
      </w:tr>
      <w:tr>
        <w:tc>
          <w:tcPr>
            <w:tcW w:type="dxa" w:w="3089"/>
            <w:tcMar>
              <w:top w:type="dxa" w:w="70"/>
              <w:left w:type="dxa" w:w="90"/>
              <w:bottom w:type="dxa" w:w="70"/>
              <w:right w:type="dxa" w:w="90"/>
            </w:tcMar>
            <w:vAlign w:val="top"/>
          </w:tcPr>
          <w:p>
            <w:r>
              <w:rPr>
                <w:b/>
                <w:bCs/>
                <w:color w:val="000000"/>
                <w:sz w:val="17"/>
                <w:szCs w:val="17"/>
              </w:rPr>
              <w:t xml:space="preserve">Search-optimized content copies</w:t>
            </w:r>
          </w:p>
        </w:tc>
        <w:tc>
          <w:tcPr>
            <w:tcW w:type="dxa" w:w="5476"/>
            <w:tcMar>
              <w:top w:type="dxa" w:w="70"/>
              <w:left w:type="dxa" w:w="90"/>
              <w:bottom w:type="dxa" w:w="70"/>
              <w:right w:type="dxa" w:w="90"/>
            </w:tcMar>
            <w:vAlign w:val="top"/>
          </w:tcPr>
          <w:p>
            <w:r>
              <w:rPr>
                <w:b w:val="false"/>
                <w:bCs w:val="false"/>
                <w:color w:val="000000"/>
                <w:sz w:val="17"/>
                <w:szCs w:val="17"/>
              </w:rPr>
              <w:t xml:space="preserve">Search index (inverted index store)</w:t>
            </w:r>
          </w:p>
        </w:tc>
        <w:tc>
          <w:tcPr>
            <w:tcW w:type="dxa" w:w="5476"/>
            <w:tcMar>
              <w:top w:type="dxa" w:w="70"/>
              <w:left w:type="dxa" w:w="90"/>
              <w:bottom w:type="dxa" w:w="70"/>
              <w:right w:type="dxa" w:w="90"/>
            </w:tcMar>
            <w:vAlign w:val="top"/>
          </w:tcPr>
          <w:p>
            <w:r>
              <w:rPr>
                <w:b w:val="false"/>
                <w:bCs w:val="false"/>
                <w:color w:val="000000"/>
                <w:sz w:val="17"/>
                <w:szCs w:val="17"/>
              </w:rPr>
              <w:t xml:space="preserve">Denormalized, access-permission-tagged documents optimized for query, not for transactional integrity.</w:t>
            </w:r>
          </w:p>
        </w:tc>
      </w:tr>
      <w:tr>
        <w:tc>
          <w:tcPr>
            <w:tcW w:type="dxa" w:w="3089"/>
            <w:tcMar>
              <w:top w:type="dxa" w:w="70"/>
              <w:left w:type="dxa" w:w="90"/>
              <w:bottom w:type="dxa" w:w="70"/>
              <w:right w:type="dxa" w:w="90"/>
            </w:tcMar>
            <w:vAlign w:val="top"/>
          </w:tcPr>
          <w:p>
            <w:r>
              <w:rPr>
                <w:b/>
                <w:bCs/>
                <w:color w:val="000000"/>
                <w:sz w:val="17"/>
                <w:szCs w:val="17"/>
              </w:rPr>
              <w:t xml:space="preserve">Aggregated KPI and report data</w:t>
            </w:r>
          </w:p>
        </w:tc>
        <w:tc>
          <w:tcPr>
            <w:tcW w:type="dxa" w:w="5476"/>
            <w:tcMar>
              <w:top w:type="dxa" w:w="70"/>
              <w:left w:type="dxa" w:w="90"/>
              <w:bottom w:type="dxa" w:w="70"/>
              <w:right w:type="dxa" w:w="90"/>
            </w:tcMar>
            <w:vAlign w:val="top"/>
          </w:tcPr>
          <w:p>
            <w:r>
              <w:rPr>
                <w:b w:val="false"/>
                <w:bCs w:val="false"/>
                <w:color w:val="000000"/>
                <w:sz w:val="17"/>
                <w:szCs w:val="17"/>
              </w:rPr>
              <w:t xml:space="preserve">Data warehouse (columnar)</w:t>
            </w:r>
          </w:p>
        </w:tc>
        <w:tc>
          <w:tcPr>
            <w:tcW w:type="dxa" w:w="5476"/>
            <w:tcMar>
              <w:top w:type="dxa" w:w="70"/>
              <w:left w:type="dxa" w:w="90"/>
              <w:bottom w:type="dxa" w:w="70"/>
              <w:right w:type="dxa" w:w="90"/>
            </w:tcMar>
            <w:vAlign w:val="top"/>
          </w:tcPr>
          <w:p>
            <w:r>
              <w:rPr>
                <w:b w:val="false"/>
                <w:bCs w:val="false"/>
                <w:color w:val="000000"/>
                <w:sz w:val="17"/>
                <w:szCs w:val="17"/>
              </w:rPr>
              <w:t xml:space="preserve">Denormalized star-schema fact and dimension tables, refreshed on a defined cadence, not real-time transactional.</w:t>
            </w:r>
          </w:p>
        </w:tc>
      </w:tr>
    </w:tbl>
    <w:p>
      <w:pPr>
        <w:pStyle w:val="Heading2"/>
        <w:spacing w:after="90" w:before="220"/>
      </w:pPr>
      <w:r>
        <w:t xml:space="preserve">3. Entity Relationship Model</w:t>
      </w:r>
    </w:p>
    <w:p>
      <w:pPr>
        <w:spacing w:after="140" w:line="264"/>
      </w:pPr>
      <w:r>
        <w:t xml:space="preserve">The Entity Relationship Model renders the Ontology from Part 6 into a concrete relational schema view — the diagrammatic artifact a database administrator would draw before generating DDL. Because a full ER diagram is best expressed graphically rather than in prose, this Part instead tabulates its cardinalities and identifies which relationships are enforced by database referential-integrity constraints versus application-level rules.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Relationship</w:t>
            </w:r>
          </w:p>
        </w:tc>
        <w:tc>
          <w:tcPr>
            <w:tcW w:type="dxa" w:w="5476"/>
            <w:shd w:fill="1F3864" w:val="clear"/>
            <w:tcMar>
              <w:top w:type="dxa" w:w="70"/>
              <w:left w:type="dxa" w:w="90"/>
              <w:bottom w:type="dxa" w:w="70"/>
              <w:right w:type="dxa" w:w="90"/>
            </w:tcMar>
            <w:vAlign w:val="top"/>
          </w:tcPr>
          <w:p>
            <w:r>
              <w:rPr>
                <w:b/>
                <w:bCs/>
                <w:color w:val="FFFFFF"/>
                <w:sz w:val="17"/>
                <w:szCs w:val="17"/>
              </w:rPr>
              <w:t xml:space="preserve">Cardinality</w:t>
            </w:r>
          </w:p>
        </w:tc>
        <w:tc>
          <w:tcPr>
            <w:tcW w:type="dxa" w:w="5476"/>
            <w:shd w:fill="1F3864" w:val="clear"/>
            <w:tcMar>
              <w:top w:type="dxa" w:w="70"/>
              <w:left w:type="dxa" w:w="90"/>
              <w:bottom w:type="dxa" w:w="70"/>
              <w:right w:type="dxa" w:w="90"/>
            </w:tcMar>
            <w:vAlign w:val="top"/>
          </w:tcPr>
          <w:p>
            <w:r>
              <w:rPr>
                <w:b/>
                <w:bCs/>
                <w:color w:val="FFFFFF"/>
                <w:sz w:val="17"/>
                <w:szCs w:val="17"/>
              </w:rPr>
              <w:t xml:space="preserve">Enforcement</w:t>
            </w:r>
          </w:p>
        </w:tc>
      </w:tr>
      <w:tr>
        <w:tc>
          <w:tcPr>
            <w:tcW w:type="dxa" w:w="3089"/>
            <w:tcMar>
              <w:top w:type="dxa" w:w="70"/>
              <w:left w:type="dxa" w:w="90"/>
              <w:bottom w:type="dxa" w:w="70"/>
              <w:right w:type="dxa" w:w="90"/>
            </w:tcMar>
            <w:vAlign w:val="top"/>
          </w:tcPr>
          <w:p>
            <w:r>
              <w:rPr>
                <w:b/>
                <w:bCs/>
                <w:color w:val="000000"/>
                <w:sz w:val="17"/>
                <w:szCs w:val="17"/>
              </w:rPr>
              <w:t xml:space="preserve">Programme — Component</w:t>
            </w:r>
          </w:p>
        </w:tc>
        <w:tc>
          <w:tcPr>
            <w:tcW w:type="dxa" w:w="5476"/>
            <w:tcMar>
              <w:top w:type="dxa" w:w="70"/>
              <w:left w:type="dxa" w:w="90"/>
              <w:bottom w:type="dxa" w:w="70"/>
              <w:right w:type="dxa" w:w="90"/>
            </w:tcMar>
            <w:vAlign w:val="top"/>
          </w:tcPr>
          <w:p>
            <w:r>
              <w:rPr>
                <w:b w:val="false"/>
                <w:bCs w:val="false"/>
                <w:color w:val="000000"/>
                <w:sz w:val="17"/>
                <w:szCs w:val="17"/>
              </w:rPr>
              <w:t xml:space="preserve">One-to-many</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RESTRICT</w:t>
            </w:r>
          </w:p>
        </w:tc>
      </w:tr>
      <w:tr>
        <w:tc>
          <w:tcPr>
            <w:tcW w:type="dxa" w:w="3089"/>
            <w:tcMar>
              <w:top w:type="dxa" w:w="70"/>
              <w:left w:type="dxa" w:w="90"/>
              <w:bottom w:type="dxa" w:w="70"/>
              <w:right w:type="dxa" w:w="90"/>
            </w:tcMar>
            <w:vAlign w:val="top"/>
          </w:tcPr>
          <w:p>
            <w:r>
              <w:rPr>
                <w:b/>
                <w:bCs/>
                <w:color w:val="000000"/>
                <w:sz w:val="17"/>
                <w:szCs w:val="17"/>
              </w:rPr>
              <w:t xml:space="preserve">Component — Project</w:t>
            </w:r>
          </w:p>
        </w:tc>
        <w:tc>
          <w:tcPr>
            <w:tcW w:type="dxa" w:w="5476"/>
            <w:tcMar>
              <w:top w:type="dxa" w:w="70"/>
              <w:left w:type="dxa" w:w="90"/>
              <w:bottom w:type="dxa" w:w="70"/>
              <w:right w:type="dxa" w:w="90"/>
            </w:tcMar>
            <w:vAlign w:val="top"/>
          </w:tcPr>
          <w:p>
            <w:r>
              <w:rPr>
                <w:b w:val="false"/>
                <w:bCs w:val="false"/>
                <w:color w:val="000000"/>
                <w:sz w:val="17"/>
                <w:szCs w:val="17"/>
              </w:rPr>
              <w:t xml:space="preserve">One-to-many</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RESTRICT</w:t>
            </w:r>
          </w:p>
        </w:tc>
      </w:tr>
      <w:tr>
        <w:tc>
          <w:tcPr>
            <w:tcW w:type="dxa" w:w="3089"/>
            <w:tcMar>
              <w:top w:type="dxa" w:w="70"/>
              <w:left w:type="dxa" w:w="90"/>
              <w:bottom w:type="dxa" w:w="70"/>
              <w:right w:type="dxa" w:w="90"/>
            </w:tcMar>
            <w:vAlign w:val="top"/>
          </w:tcPr>
          <w:p>
            <w:r>
              <w:rPr>
                <w:b/>
                <w:bCs/>
                <w:color w:val="000000"/>
                <w:sz w:val="17"/>
                <w:szCs w:val="17"/>
              </w:rPr>
              <w:t xml:space="preserve">Project — Task</w:t>
            </w:r>
          </w:p>
        </w:tc>
        <w:tc>
          <w:tcPr>
            <w:tcW w:type="dxa" w:w="5476"/>
            <w:tcMar>
              <w:top w:type="dxa" w:w="70"/>
              <w:left w:type="dxa" w:w="90"/>
              <w:bottom w:type="dxa" w:w="70"/>
              <w:right w:type="dxa" w:w="90"/>
            </w:tcMar>
            <w:vAlign w:val="top"/>
          </w:tcPr>
          <w:p>
            <w:r>
              <w:rPr>
                <w:b w:val="false"/>
                <w:bCs w:val="false"/>
                <w:color w:val="000000"/>
                <w:sz w:val="17"/>
                <w:szCs w:val="17"/>
              </w:rPr>
              <w:t xml:space="preserve">One-to-many</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CASCADE</w:t>
            </w:r>
          </w:p>
        </w:tc>
      </w:tr>
      <w:tr>
        <w:tc>
          <w:tcPr>
            <w:tcW w:type="dxa" w:w="3089"/>
            <w:tcMar>
              <w:top w:type="dxa" w:w="70"/>
              <w:left w:type="dxa" w:w="90"/>
              <w:bottom w:type="dxa" w:w="70"/>
              <w:right w:type="dxa" w:w="90"/>
            </w:tcMar>
            <w:vAlign w:val="top"/>
          </w:tcPr>
          <w:p>
            <w:r>
              <w:rPr>
                <w:b/>
                <w:bCs/>
                <w:color w:val="000000"/>
                <w:sz w:val="17"/>
                <w:szCs w:val="17"/>
              </w:rPr>
              <w:t xml:space="preserve">Project — Risk</w:t>
            </w:r>
          </w:p>
        </w:tc>
        <w:tc>
          <w:tcPr>
            <w:tcW w:type="dxa" w:w="5476"/>
            <w:tcMar>
              <w:top w:type="dxa" w:w="70"/>
              <w:left w:type="dxa" w:w="90"/>
              <w:bottom w:type="dxa" w:w="70"/>
              <w:right w:type="dxa" w:w="90"/>
            </w:tcMar>
            <w:vAlign w:val="top"/>
          </w:tcPr>
          <w:p>
            <w:r>
              <w:rPr>
                <w:b w:val="false"/>
                <w:bCs w:val="false"/>
                <w:color w:val="000000"/>
                <w:sz w:val="17"/>
                <w:szCs w:val="17"/>
              </w:rPr>
              <w:t xml:space="preserve">One-to-many</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RESTRICT</w:t>
            </w:r>
          </w:p>
        </w:tc>
      </w:tr>
      <w:tr>
        <w:tc>
          <w:tcPr>
            <w:tcW w:type="dxa" w:w="3089"/>
            <w:tcMar>
              <w:top w:type="dxa" w:w="70"/>
              <w:left w:type="dxa" w:w="90"/>
              <w:bottom w:type="dxa" w:w="70"/>
              <w:right w:type="dxa" w:w="90"/>
            </w:tcMar>
            <w:vAlign w:val="top"/>
          </w:tcPr>
          <w:p>
            <w:r>
              <w:rPr>
                <w:b/>
                <w:bCs/>
                <w:color w:val="000000"/>
                <w:sz w:val="17"/>
                <w:szCs w:val="17"/>
              </w:rPr>
              <w:t xml:space="preserve">Risk — Issue</w:t>
            </w:r>
          </w:p>
        </w:tc>
        <w:tc>
          <w:tcPr>
            <w:tcW w:type="dxa" w:w="5476"/>
            <w:tcMar>
              <w:top w:type="dxa" w:w="70"/>
              <w:left w:type="dxa" w:w="90"/>
              <w:bottom w:type="dxa" w:w="70"/>
              <w:right w:type="dxa" w:w="90"/>
            </w:tcMar>
            <w:vAlign w:val="top"/>
          </w:tcPr>
          <w:p>
            <w:r>
              <w:rPr>
                <w:b w:val="false"/>
                <w:bCs w:val="false"/>
                <w:color w:val="000000"/>
                <w:sz w:val="17"/>
                <w:szCs w:val="17"/>
              </w:rPr>
              <w:t xml:space="preserve">One-to-many (optional escalation)</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nullable</w:t>
            </w:r>
          </w:p>
        </w:tc>
      </w:tr>
      <w:tr>
        <w:tc>
          <w:tcPr>
            <w:tcW w:type="dxa" w:w="3089"/>
            <w:tcMar>
              <w:top w:type="dxa" w:w="70"/>
              <w:left w:type="dxa" w:w="90"/>
              <w:bottom w:type="dxa" w:w="70"/>
              <w:right w:type="dxa" w:w="90"/>
            </w:tcMar>
            <w:vAlign w:val="top"/>
          </w:tcPr>
          <w:p>
            <w:r>
              <w:rPr>
                <w:b/>
                <w:bCs/>
                <w:color w:val="000000"/>
                <w:sz w:val="17"/>
                <w:szCs w:val="17"/>
              </w:rPr>
              <w:t xml:space="preserve">Document — Document Version</w:t>
            </w:r>
          </w:p>
        </w:tc>
        <w:tc>
          <w:tcPr>
            <w:tcW w:type="dxa" w:w="5476"/>
            <w:tcMar>
              <w:top w:type="dxa" w:w="70"/>
              <w:left w:type="dxa" w:w="90"/>
              <w:bottom w:type="dxa" w:w="70"/>
              <w:right w:type="dxa" w:w="90"/>
            </w:tcMar>
            <w:vAlign w:val="top"/>
          </w:tcPr>
          <w:p>
            <w:r>
              <w:rPr>
                <w:b w:val="false"/>
                <w:bCs w:val="false"/>
                <w:color w:val="000000"/>
                <w:sz w:val="17"/>
                <w:szCs w:val="17"/>
              </w:rPr>
              <w:t xml:space="preserve">One-to-many</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RESTRICT (versions are never deleted)</w:t>
            </w:r>
          </w:p>
        </w:tc>
      </w:tr>
      <w:tr>
        <w:tc>
          <w:tcPr>
            <w:tcW w:type="dxa" w:w="3089"/>
            <w:tcMar>
              <w:top w:type="dxa" w:w="70"/>
              <w:left w:type="dxa" w:w="90"/>
              <w:bottom w:type="dxa" w:w="70"/>
              <w:right w:type="dxa" w:w="90"/>
            </w:tcMar>
            <w:vAlign w:val="top"/>
          </w:tcPr>
          <w:p>
            <w:r>
              <w:rPr>
                <w:b/>
                <w:bCs/>
                <w:color w:val="000000"/>
                <w:sz w:val="17"/>
                <w:szCs w:val="17"/>
              </w:rPr>
              <w:t xml:space="preserve">User — Task (assignee)</w:t>
            </w:r>
          </w:p>
        </w:tc>
        <w:tc>
          <w:tcPr>
            <w:tcW w:type="dxa" w:w="5476"/>
            <w:tcMar>
              <w:top w:type="dxa" w:w="70"/>
              <w:left w:type="dxa" w:w="90"/>
              <w:bottom w:type="dxa" w:w="70"/>
              <w:right w:type="dxa" w:w="90"/>
            </w:tcMar>
            <w:vAlign w:val="top"/>
          </w:tcPr>
          <w:p>
            <w:r>
              <w:rPr>
                <w:b w:val="false"/>
                <w:bCs w:val="false"/>
                <w:color w:val="000000"/>
                <w:sz w:val="17"/>
                <w:szCs w:val="17"/>
              </w:rPr>
              <w:t xml:space="preserve">One-to-many</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SET NULL (reassignment on user removal)</w:t>
            </w:r>
          </w:p>
        </w:tc>
      </w:tr>
      <w:tr>
        <w:tc>
          <w:tcPr>
            <w:tcW w:type="dxa" w:w="3089"/>
            <w:tcMar>
              <w:top w:type="dxa" w:w="70"/>
              <w:left w:type="dxa" w:w="90"/>
              <w:bottom w:type="dxa" w:w="70"/>
              <w:right w:type="dxa" w:w="90"/>
            </w:tcMar>
            <w:vAlign w:val="top"/>
          </w:tcPr>
          <w:p>
            <w:r>
              <w:rPr>
                <w:b/>
                <w:bCs/>
                <w:color w:val="000000"/>
                <w:sz w:val="17"/>
                <w:szCs w:val="17"/>
              </w:rPr>
              <w:t xml:space="preserve">Knowledge Asset — Knowledge Asset (related content)</w:t>
            </w:r>
          </w:p>
        </w:tc>
        <w:tc>
          <w:tcPr>
            <w:tcW w:type="dxa" w:w="5476"/>
            <w:tcMar>
              <w:top w:type="dxa" w:w="70"/>
              <w:left w:type="dxa" w:w="90"/>
              <w:bottom w:type="dxa" w:w="70"/>
              <w:right w:type="dxa" w:w="90"/>
            </w:tcMar>
            <w:vAlign w:val="top"/>
          </w:tcPr>
          <w:p>
            <w:r>
              <w:rPr>
                <w:b w:val="false"/>
                <w:bCs w:val="false"/>
                <w:color w:val="000000"/>
                <w:sz w:val="17"/>
                <w:szCs w:val="17"/>
              </w:rPr>
              <w:t xml:space="preserve">Many-to-many</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relationship table; not database-enforced given evolving semantics</w:t>
            </w:r>
          </w:p>
        </w:tc>
      </w:tr>
      <w:tr>
        <w:tc>
          <w:tcPr>
            <w:tcW w:type="dxa" w:w="3089"/>
            <w:tcMar>
              <w:top w:type="dxa" w:w="70"/>
              <w:left w:type="dxa" w:w="90"/>
              <w:bottom w:type="dxa" w:w="70"/>
              <w:right w:type="dxa" w:w="90"/>
            </w:tcMar>
            <w:vAlign w:val="top"/>
          </w:tcPr>
          <w:p>
            <w:r>
              <w:rPr>
                <w:b/>
                <w:bCs/>
                <w:color w:val="000000"/>
                <w:sz w:val="17"/>
                <w:szCs w:val="17"/>
              </w:rPr>
              <w:t xml:space="preserve">Workflow Instance — Document</w:t>
            </w:r>
          </w:p>
        </w:tc>
        <w:tc>
          <w:tcPr>
            <w:tcW w:type="dxa" w:w="5476"/>
            <w:tcMar>
              <w:top w:type="dxa" w:w="70"/>
              <w:left w:type="dxa" w:w="90"/>
              <w:bottom w:type="dxa" w:w="70"/>
              <w:right w:type="dxa" w:w="90"/>
            </w:tcMar>
            <w:vAlign w:val="top"/>
          </w:tcPr>
          <w:p>
            <w:r>
              <w:rPr>
                <w:b w:val="false"/>
                <w:bCs w:val="false"/>
                <w:color w:val="000000"/>
                <w:sz w:val="17"/>
                <w:szCs w:val="17"/>
              </w:rPr>
              <w:t xml:space="preserve">One-to-one per routing instance</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 key, ON DELETE RESTRICT</w:t>
            </w:r>
          </w:p>
        </w:tc>
      </w:tr>
    </w:tbl>
    <w:p>
      <w:pPr>
        <w:pStyle w:val="Heading2"/>
        <w:spacing w:after="90" w:before="220"/>
      </w:pPr>
      <w:r>
        <w:t xml:space="preserve">4. Data Domains</w:t>
      </w:r>
    </w:p>
    <w:p>
      <w:pPr>
        <w:spacing w:after="140" w:line="264"/>
      </w:pPr>
      <w:r>
        <w:t xml:space="preserve">Data Domains group the Logical Data Model's entities into the ownership and platform boundaries a data engineering team organizes work around — a technical refinement of Part 6's Master Data domains, now annotated with primary platform and access pattern.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Data Domain</w:t>
            </w:r>
          </w:p>
        </w:tc>
        <w:tc>
          <w:tcPr>
            <w:tcW w:type="dxa" w:w="3838"/>
            <w:shd w:fill="1F3864" w:val="clear"/>
            <w:tcMar>
              <w:top w:type="dxa" w:w="70"/>
              <w:left w:type="dxa" w:w="90"/>
              <w:bottom w:type="dxa" w:w="70"/>
              <w:right w:type="dxa" w:w="90"/>
            </w:tcMar>
            <w:vAlign w:val="top"/>
          </w:tcPr>
          <w:p>
            <w:r>
              <w:rPr>
                <w:b/>
                <w:bCs/>
                <w:color w:val="FFFFFF"/>
                <w:sz w:val="17"/>
                <w:szCs w:val="17"/>
              </w:rPr>
              <w:t xml:space="preserve">Entities</w:t>
            </w:r>
          </w:p>
        </w:tc>
        <w:tc>
          <w:tcPr>
            <w:tcW w:type="dxa" w:w="3838"/>
            <w:shd w:fill="1F3864" w:val="clear"/>
            <w:tcMar>
              <w:top w:type="dxa" w:w="70"/>
              <w:left w:type="dxa" w:w="90"/>
              <w:bottom w:type="dxa" w:w="70"/>
              <w:right w:type="dxa" w:w="90"/>
            </w:tcMar>
            <w:vAlign w:val="top"/>
          </w:tcPr>
          <w:p>
            <w:r>
              <w:rPr>
                <w:b/>
                <w:bCs/>
                <w:color w:val="FFFFFF"/>
                <w:sz w:val="17"/>
                <w:szCs w:val="17"/>
              </w:rPr>
              <w:t xml:space="preserve">Primary Platform</w:t>
            </w:r>
          </w:p>
        </w:tc>
        <w:tc>
          <w:tcPr>
            <w:tcW w:type="dxa" w:w="3838"/>
            <w:shd w:fill="1F3864" w:val="clear"/>
            <w:tcMar>
              <w:top w:type="dxa" w:w="70"/>
              <w:left w:type="dxa" w:w="90"/>
              <w:bottom w:type="dxa" w:w="70"/>
              <w:right w:type="dxa" w:w="90"/>
            </w:tcMar>
            <w:vAlign w:val="top"/>
          </w:tcPr>
          <w:p>
            <w:r>
              <w:rPr>
                <w:b/>
                <w:bCs/>
                <w:color w:val="FFFFFF"/>
                <w:sz w:val="17"/>
                <w:szCs w:val="17"/>
              </w:rPr>
              <w:t xml:space="preserve">Dominant Access Pattern</w:t>
            </w:r>
          </w:p>
        </w:tc>
      </w:tr>
      <w:tr>
        <w:tc>
          <w:tcPr>
            <w:tcW w:type="dxa" w:w="2527"/>
            <w:tcMar>
              <w:top w:type="dxa" w:w="70"/>
              <w:left w:type="dxa" w:w="90"/>
              <w:bottom w:type="dxa" w:w="70"/>
              <w:right w:type="dxa" w:w="90"/>
            </w:tcMar>
            <w:vAlign w:val="top"/>
          </w:tcPr>
          <w:p>
            <w:r>
              <w:rPr>
                <w:b/>
                <w:bCs/>
                <w:color w:val="000000"/>
                <w:sz w:val="17"/>
                <w:szCs w:val="17"/>
              </w:rPr>
              <w:t xml:space="preserve">Programme &amp; Project Domain</w:t>
            </w:r>
          </w:p>
        </w:tc>
        <w:tc>
          <w:tcPr>
            <w:tcW w:type="dxa" w:w="3838"/>
            <w:tcMar>
              <w:top w:type="dxa" w:w="70"/>
              <w:left w:type="dxa" w:w="90"/>
              <w:bottom w:type="dxa" w:w="70"/>
              <w:right w:type="dxa" w:w="90"/>
            </w:tcMar>
            <w:vAlign w:val="top"/>
          </w:tcPr>
          <w:p>
            <w:r>
              <w:rPr>
                <w:b w:val="false"/>
                <w:bCs w:val="false"/>
                <w:color w:val="000000"/>
                <w:sz w:val="17"/>
                <w:szCs w:val="17"/>
              </w:rPr>
              <w:t xml:space="preserve">Programme, Component, Project, Task</w:t>
            </w:r>
          </w:p>
        </w:tc>
        <w:tc>
          <w:tcPr>
            <w:tcW w:type="dxa" w:w="3838"/>
            <w:tcMar>
              <w:top w:type="dxa" w:w="70"/>
              <w:left w:type="dxa" w:w="90"/>
              <w:bottom w:type="dxa" w:w="70"/>
              <w:right w:type="dxa" w:w="90"/>
            </w:tcMar>
            <w:vAlign w:val="top"/>
          </w:tcPr>
          <w:p>
            <w:r>
              <w:rPr>
                <w:b w:val="false"/>
                <w:bCs w:val="false"/>
                <w:color w:val="000000"/>
                <w:sz w:val="17"/>
                <w:szCs w:val="17"/>
              </w:rPr>
              <w:t xml:space="preserve">Operational relational database</w:t>
            </w:r>
          </w:p>
        </w:tc>
        <w:tc>
          <w:tcPr>
            <w:tcW w:type="dxa" w:w="3838"/>
            <w:tcMar>
              <w:top w:type="dxa" w:w="70"/>
              <w:left w:type="dxa" w:w="90"/>
              <w:bottom w:type="dxa" w:w="70"/>
              <w:right w:type="dxa" w:w="90"/>
            </w:tcMar>
            <w:vAlign w:val="top"/>
          </w:tcPr>
          <w:p>
            <w:r>
              <w:rPr>
                <w:b w:val="false"/>
                <w:bCs w:val="false"/>
                <w:color w:val="000000"/>
                <w:sz w:val="17"/>
                <w:szCs w:val="17"/>
              </w:rPr>
              <w:t xml:space="preserve">Transactional read/write, dashboard aggregation</w:t>
            </w:r>
          </w:p>
        </w:tc>
      </w:tr>
      <w:tr>
        <w:tc>
          <w:tcPr>
            <w:tcW w:type="dxa" w:w="2527"/>
            <w:tcMar>
              <w:top w:type="dxa" w:w="70"/>
              <w:left w:type="dxa" w:w="90"/>
              <w:bottom w:type="dxa" w:w="70"/>
              <w:right w:type="dxa" w:w="90"/>
            </w:tcMar>
            <w:vAlign w:val="top"/>
          </w:tcPr>
          <w:p>
            <w:r>
              <w:rPr>
                <w:b/>
                <w:bCs/>
                <w:color w:val="000000"/>
                <w:sz w:val="17"/>
                <w:szCs w:val="17"/>
              </w:rPr>
              <w:t xml:space="preserve">Content Domain</w:t>
            </w:r>
          </w:p>
        </w:tc>
        <w:tc>
          <w:tcPr>
            <w:tcW w:type="dxa" w:w="3838"/>
            <w:tcMar>
              <w:top w:type="dxa" w:w="70"/>
              <w:left w:type="dxa" w:w="90"/>
              <w:bottom w:type="dxa" w:w="70"/>
              <w:right w:type="dxa" w:w="90"/>
            </w:tcMar>
            <w:vAlign w:val="top"/>
          </w:tcPr>
          <w:p>
            <w:r>
              <w:rPr>
                <w:b w:val="false"/>
                <w:bCs w:val="false"/>
                <w:color w:val="000000"/>
                <w:sz w:val="17"/>
                <w:szCs w:val="17"/>
              </w:rPr>
              <w:t xml:space="preserve">Document, Document Version, Knowledge Asset, Media Asset</w:t>
            </w:r>
          </w:p>
        </w:tc>
        <w:tc>
          <w:tcPr>
            <w:tcW w:type="dxa" w:w="3838"/>
            <w:tcMar>
              <w:top w:type="dxa" w:w="70"/>
              <w:left w:type="dxa" w:w="90"/>
              <w:bottom w:type="dxa" w:w="70"/>
              <w:right w:type="dxa" w:w="90"/>
            </w:tcMar>
            <w:vAlign w:val="top"/>
          </w:tcPr>
          <w:p>
            <w:r>
              <w:rPr>
                <w:b w:val="false"/>
                <w:bCs w:val="false"/>
                <w:color w:val="000000"/>
                <w:sz w:val="17"/>
                <w:szCs w:val="17"/>
              </w:rPr>
              <w:t xml:space="preserve">Document store + Search index</w:t>
            </w:r>
          </w:p>
        </w:tc>
        <w:tc>
          <w:tcPr>
            <w:tcW w:type="dxa" w:w="3838"/>
            <w:tcMar>
              <w:top w:type="dxa" w:w="70"/>
              <w:left w:type="dxa" w:w="90"/>
              <w:bottom w:type="dxa" w:w="70"/>
              <w:right w:type="dxa" w:w="90"/>
            </w:tcMar>
            <w:vAlign w:val="top"/>
          </w:tcPr>
          <w:p>
            <w:r>
              <w:rPr>
                <w:b w:val="false"/>
                <w:bCs w:val="false"/>
                <w:color w:val="000000"/>
                <w:sz w:val="17"/>
                <w:szCs w:val="17"/>
              </w:rPr>
              <w:t xml:space="preserve">Write-once-read-many, search-heavy</w:t>
            </w:r>
          </w:p>
        </w:tc>
      </w:tr>
      <w:tr>
        <w:tc>
          <w:tcPr>
            <w:tcW w:type="dxa" w:w="2527"/>
            <w:tcMar>
              <w:top w:type="dxa" w:w="70"/>
              <w:left w:type="dxa" w:w="90"/>
              <w:bottom w:type="dxa" w:w="70"/>
              <w:right w:type="dxa" w:w="90"/>
            </w:tcMar>
            <w:vAlign w:val="top"/>
          </w:tcPr>
          <w:p>
            <w:r>
              <w:rPr>
                <w:b/>
                <w:bCs/>
                <w:color w:val="000000"/>
                <w:sz w:val="17"/>
                <w:szCs w:val="17"/>
              </w:rPr>
              <w:t xml:space="preserve">Governance Domain</w:t>
            </w:r>
          </w:p>
        </w:tc>
        <w:tc>
          <w:tcPr>
            <w:tcW w:type="dxa" w:w="3838"/>
            <w:tcMar>
              <w:top w:type="dxa" w:w="70"/>
              <w:left w:type="dxa" w:w="90"/>
              <w:bottom w:type="dxa" w:w="70"/>
              <w:right w:type="dxa" w:w="90"/>
            </w:tcMar>
            <w:vAlign w:val="top"/>
          </w:tcPr>
          <w:p>
            <w:r>
              <w:rPr>
                <w:b w:val="false"/>
                <w:bCs w:val="false"/>
                <w:color w:val="000000"/>
                <w:sz w:val="17"/>
                <w:szCs w:val="17"/>
              </w:rPr>
              <w:t xml:space="preserve">Risk, Issue, Decision, Workflow Instance</w:t>
            </w:r>
          </w:p>
        </w:tc>
        <w:tc>
          <w:tcPr>
            <w:tcW w:type="dxa" w:w="3838"/>
            <w:tcMar>
              <w:top w:type="dxa" w:w="70"/>
              <w:left w:type="dxa" w:w="90"/>
              <w:bottom w:type="dxa" w:w="70"/>
              <w:right w:type="dxa" w:w="90"/>
            </w:tcMar>
            <w:vAlign w:val="top"/>
          </w:tcPr>
          <w:p>
            <w:r>
              <w:rPr>
                <w:b w:val="false"/>
                <w:bCs w:val="false"/>
                <w:color w:val="000000"/>
                <w:sz w:val="17"/>
                <w:szCs w:val="17"/>
              </w:rPr>
              <w:t xml:space="preserve">Operational relational database</w:t>
            </w:r>
          </w:p>
        </w:tc>
        <w:tc>
          <w:tcPr>
            <w:tcW w:type="dxa" w:w="3838"/>
            <w:tcMar>
              <w:top w:type="dxa" w:w="70"/>
              <w:left w:type="dxa" w:w="90"/>
              <w:bottom w:type="dxa" w:w="70"/>
              <w:right w:type="dxa" w:w="90"/>
            </w:tcMar>
            <w:vAlign w:val="top"/>
          </w:tcPr>
          <w:p>
            <w:r>
              <w:rPr>
                <w:b w:val="false"/>
                <w:bCs w:val="false"/>
                <w:color w:val="000000"/>
                <w:sz w:val="17"/>
                <w:szCs w:val="17"/>
              </w:rPr>
              <w:t xml:space="preserve">Transactional read/write, register views</w:t>
            </w:r>
          </w:p>
        </w:tc>
      </w:tr>
      <w:tr>
        <w:tc>
          <w:tcPr>
            <w:tcW w:type="dxa" w:w="2527"/>
            <w:tcMar>
              <w:top w:type="dxa" w:w="70"/>
              <w:left w:type="dxa" w:w="90"/>
              <w:bottom w:type="dxa" w:w="70"/>
              <w:right w:type="dxa" w:w="90"/>
            </w:tcMar>
            <w:vAlign w:val="top"/>
          </w:tcPr>
          <w:p>
            <w:r>
              <w:rPr>
                <w:b/>
                <w:bCs/>
                <w:color w:val="000000"/>
                <w:sz w:val="17"/>
                <w:szCs w:val="17"/>
              </w:rPr>
              <w:t xml:space="preserve">Identity Domain</w:t>
            </w:r>
          </w:p>
        </w:tc>
        <w:tc>
          <w:tcPr>
            <w:tcW w:type="dxa" w:w="3838"/>
            <w:tcMar>
              <w:top w:type="dxa" w:w="70"/>
              <w:left w:type="dxa" w:w="90"/>
              <w:bottom w:type="dxa" w:w="70"/>
              <w:right w:type="dxa" w:w="90"/>
            </w:tcMar>
            <w:vAlign w:val="top"/>
          </w:tcPr>
          <w:p>
            <w:r>
              <w:rPr>
                <w:b w:val="false"/>
                <w:bCs w:val="false"/>
                <w:color w:val="000000"/>
                <w:sz w:val="17"/>
                <w:szCs w:val="17"/>
              </w:rPr>
              <w:t xml:space="preserve">User, Role, Organization Unit</w:t>
            </w:r>
          </w:p>
        </w:tc>
        <w:tc>
          <w:tcPr>
            <w:tcW w:type="dxa" w:w="3838"/>
            <w:tcMar>
              <w:top w:type="dxa" w:w="70"/>
              <w:left w:type="dxa" w:w="90"/>
              <w:bottom w:type="dxa" w:w="70"/>
              <w:right w:type="dxa" w:w="90"/>
            </w:tcMar>
            <w:vAlign w:val="top"/>
          </w:tcPr>
          <w:p>
            <w:r>
              <w:rPr>
                <w:b w:val="false"/>
                <w:bCs w:val="false"/>
                <w:color w:val="000000"/>
                <w:sz w:val="17"/>
                <w:szCs w:val="17"/>
              </w:rPr>
              <w:t xml:space="preserve">Operational relational database, federated from Identity Management</w:t>
            </w:r>
          </w:p>
        </w:tc>
        <w:tc>
          <w:tcPr>
            <w:tcW w:type="dxa" w:w="3838"/>
            <w:tcMar>
              <w:top w:type="dxa" w:w="70"/>
              <w:left w:type="dxa" w:w="90"/>
              <w:bottom w:type="dxa" w:w="70"/>
              <w:right w:type="dxa" w:w="90"/>
            </w:tcMar>
            <w:vAlign w:val="top"/>
          </w:tcPr>
          <w:p>
            <w:r>
              <w:rPr>
                <w:b w:val="false"/>
                <w:bCs w:val="false"/>
                <w:color w:val="000000"/>
                <w:sz w:val="17"/>
                <w:szCs w:val="17"/>
              </w:rPr>
              <w:t xml:space="preserve">High-frequency read, low-frequency write</w:t>
            </w:r>
          </w:p>
        </w:tc>
      </w:tr>
      <w:tr>
        <w:tc>
          <w:tcPr>
            <w:tcW w:type="dxa" w:w="2527"/>
            <w:tcMar>
              <w:top w:type="dxa" w:w="70"/>
              <w:left w:type="dxa" w:w="90"/>
              <w:bottom w:type="dxa" w:w="70"/>
              <w:right w:type="dxa" w:w="90"/>
            </w:tcMar>
            <w:vAlign w:val="top"/>
          </w:tcPr>
          <w:p>
            <w:r>
              <w:rPr>
                <w:b/>
                <w:bCs/>
                <w:color w:val="000000"/>
                <w:sz w:val="17"/>
                <w:szCs w:val="17"/>
              </w:rPr>
              <w:t xml:space="preserve">Analytical Domain</w:t>
            </w:r>
          </w:p>
        </w:tc>
        <w:tc>
          <w:tcPr>
            <w:tcW w:type="dxa" w:w="3838"/>
            <w:tcMar>
              <w:top w:type="dxa" w:w="70"/>
              <w:left w:type="dxa" w:w="90"/>
              <w:bottom w:type="dxa" w:w="70"/>
              <w:right w:type="dxa" w:w="90"/>
            </w:tcMar>
            <w:vAlign w:val="top"/>
          </w:tcPr>
          <w:p>
            <w:r>
              <w:rPr>
                <w:b w:val="false"/>
                <w:bCs w:val="false"/>
                <w:color w:val="000000"/>
                <w:sz w:val="17"/>
                <w:szCs w:val="17"/>
              </w:rPr>
              <w:t xml:space="preserve">Aggregated KPI facts, report snapshots</w:t>
            </w:r>
          </w:p>
        </w:tc>
        <w:tc>
          <w:tcPr>
            <w:tcW w:type="dxa" w:w="3838"/>
            <w:tcMar>
              <w:top w:type="dxa" w:w="70"/>
              <w:left w:type="dxa" w:w="90"/>
              <w:bottom w:type="dxa" w:w="70"/>
              <w:right w:type="dxa" w:w="90"/>
            </w:tcMar>
            <w:vAlign w:val="top"/>
          </w:tcPr>
          <w:p>
            <w:r>
              <w:rPr>
                <w:b w:val="false"/>
                <w:bCs w:val="false"/>
                <w:color w:val="000000"/>
                <w:sz w:val="17"/>
                <w:szCs w:val="17"/>
              </w:rPr>
              <w:t xml:space="preserve">Data warehouse</w:t>
            </w:r>
          </w:p>
        </w:tc>
        <w:tc>
          <w:tcPr>
            <w:tcW w:type="dxa" w:w="3838"/>
            <w:tcMar>
              <w:top w:type="dxa" w:w="70"/>
              <w:left w:type="dxa" w:w="90"/>
              <w:bottom w:type="dxa" w:w="70"/>
              <w:right w:type="dxa" w:w="90"/>
            </w:tcMar>
            <w:vAlign w:val="top"/>
          </w:tcPr>
          <w:p>
            <w:r>
              <w:rPr>
                <w:b w:val="false"/>
                <w:bCs w:val="false"/>
                <w:color w:val="000000"/>
                <w:sz w:val="17"/>
                <w:szCs w:val="17"/>
              </w:rPr>
              <w:t xml:space="preserve">Batch write, heavy read for Reports/Analytics/BI</w:t>
            </w:r>
          </w:p>
        </w:tc>
      </w:tr>
    </w:tbl>
    <w:p>
      <w:pPr>
        <w:pStyle w:val="Heading1"/>
        <w:spacing w:after="130" w:before="300"/>
      </w:pPr>
      <w:r>
        <w:t xml:space="preserve">Band 2 — Data Movement &amp; Quality</w:t>
      </w:r>
    </w:p>
    <w:p>
      <w:pPr>
        <w:pStyle w:val="Heading2"/>
        <w:spacing w:after="90" w:before="220"/>
      </w:pPr>
      <w:r>
        <w:t xml:space="preserve">5. Data Pipelines</w:t>
      </w:r>
    </w:p>
    <w:p>
      <w:pPr>
        <w:spacing w:after="140" w:line="264"/>
      </w:pPr>
      <w:r>
        <w:t xml:space="preserve">Data Pipelines move information between the Data Domains established above and into the Data Warehouse and Search Index, implementing the Information Flow map from Part 6 as concrete, schedulable jobs rather than illustrative flows.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Pipeline</w:t>
            </w:r>
          </w:p>
        </w:tc>
        <w:tc>
          <w:tcPr>
            <w:tcW w:type="dxa" w:w="3838"/>
            <w:shd w:fill="1F3864" w:val="clear"/>
            <w:tcMar>
              <w:top w:type="dxa" w:w="70"/>
              <w:left w:type="dxa" w:w="90"/>
              <w:bottom w:type="dxa" w:w="70"/>
              <w:right w:type="dxa" w:w="90"/>
            </w:tcMar>
            <w:vAlign w:val="top"/>
          </w:tcPr>
          <w:p>
            <w:r>
              <w:rPr>
                <w:b/>
                <w:bCs/>
                <w:color w:val="FFFFFF"/>
                <w:sz w:val="17"/>
                <w:szCs w:val="17"/>
              </w:rPr>
              <w:t xml:space="preserve">Source</w:t>
            </w:r>
          </w:p>
        </w:tc>
        <w:tc>
          <w:tcPr>
            <w:tcW w:type="dxa" w:w="3838"/>
            <w:shd w:fill="1F3864" w:val="clear"/>
            <w:tcMar>
              <w:top w:type="dxa" w:w="70"/>
              <w:left w:type="dxa" w:w="90"/>
              <w:bottom w:type="dxa" w:w="70"/>
              <w:right w:type="dxa" w:w="90"/>
            </w:tcMar>
            <w:vAlign w:val="top"/>
          </w:tcPr>
          <w:p>
            <w:r>
              <w:rPr>
                <w:b/>
                <w:bCs/>
                <w:color w:val="FFFFFF"/>
                <w:sz w:val="17"/>
                <w:szCs w:val="17"/>
              </w:rPr>
              <w:t xml:space="preserve">Target</w:t>
            </w:r>
          </w:p>
        </w:tc>
        <w:tc>
          <w:tcPr>
            <w:tcW w:type="dxa" w:w="3838"/>
            <w:shd w:fill="1F3864" w:val="clear"/>
            <w:tcMar>
              <w:top w:type="dxa" w:w="70"/>
              <w:left w:type="dxa" w:w="90"/>
              <w:bottom w:type="dxa" w:w="70"/>
              <w:right w:type="dxa" w:w="90"/>
            </w:tcMar>
            <w:vAlign w:val="top"/>
          </w:tcPr>
          <w:p>
            <w:r>
              <w:rPr>
                <w:b/>
                <w:bCs/>
                <w:color w:val="FFFFFF"/>
                <w:sz w:val="17"/>
                <w:szCs w:val="17"/>
              </w:rPr>
              <w:t xml:space="preserve">Pattern</w:t>
            </w:r>
          </w:p>
        </w:tc>
      </w:tr>
      <w:tr>
        <w:tc>
          <w:tcPr>
            <w:tcW w:type="dxa" w:w="2527"/>
            <w:tcMar>
              <w:top w:type="dxa" w:w="70"/>
              <w:left w:type="dxa" w:w="90"/>
              <w:bottom w:type="dxa" w:w="70"/>
              <w:right w:type="dxa" w:w="90"/>
            </w:tcMar>
            <w:vAlign w:val="top"/>
          </w:tcPr>
          <w:p>
            <w:r>
              <w:rPr>
                <w:b/>
                <w:bCs/>
                <w:color w:val="000000"/>
                <w:sz w:val="17"/>
                <w:szCs w:val="17"/>
              </w:rPr>
              <w:t xml:space="preserve">Operational-to-Warehouse ETL</w:t>
            </w:r>
          </w:p>
        </w:tc>
        <w:tc>
          <w:tcPr>
            <w:tcW w:type="dxa" w:w="3838"/>
            <w:tcMar>
              <w:top w:type="dxa" w:w="70"/>
              <w:left w:type="dxa" w:w="90"/>
              <w:bottom w:type="dxa" w:w="70"/>
              <w:right w:type="dxa" w:w="90"/>
            </w:tcMar>
            <w:vAlign w:val="top"/>
          </w:tcPr>
          <w:p>
            <w:r>
              <w:rPr>
                <w:b w:val="false"/>
                <w:bCs w:val="false"/>
                <w:color w:val="000000"/>
                <w:sz w:val="17"/>
                <w:szCs w:val="17"/>
              </w:rPr>
              <w:t xml:space="preserve">Operational relational database</w:t>
            </w:r>
          </w:p>
        </w:tc>
        <w:tc>
          <w:tcPr>
            <w:tcW w:type="dxa" w:w="3838"/>
            <w:tcMar>
              <w:top w:type="dxa" w:w="70"/>
              <w:left w:type="dxa" w:w="90"/>
              <w:bottom w:type="dxa" w:w="70"/>
              <w:right w:type="dxa" w:w="90"/>
            </w:tcMar>
            <w:vAlign w:val="top"/>
          </w:tcPr>
          <w:p>
            <w:r>
              <w:rPr>
                <w:b w:val="false"/>
                <w:bCs w:val="false"/>
                <w:color w:val="000000"/>
                <w:sz w:val="17"/>
                <w:szCs w:val="17"/>
              </w:rPr>
              <w:t xml:space="preserve">Data Warehouse</w:t>
            </w:r>
          </w:p>
        </w:tc>
        <w:tc>
          <w:tcPr>
            <w:tcW w:type="dxa" w:w="3838"/>
            <w:tcMar>
              <w:top w:type="dxa" w:w="70"/>
              <w:left w:type="dxa" w:w="90"/>
              <w:bottom w:type="dxa" w:w="70"/>
              <w:right w:type="dxa" w:w="90"/>
            </w:tcMar>
            <w:vAlign w:val="top"/>
          </w:tcPr>
          <w:p>
            <w:r>
              <w:rPr>
                <w:b w:val="false"/>
                <w:bCs w:val="false"/>
                <w:color w:val="000000"/>
                <w:sz w:val="17"/>
                <w:szCs w:val="17"/>
              </w:rPr>
              <w:t xml:space="preserve">Batch, nightly incremental load</w:t>
            </w:r>
          </w:p>
        </w:tc>
      </w:tr>
      <w:tr>
        <w:tc>
          <w:tcPr>
            <w:tcW w:type="dxa" w:w="2527"/>
            <w:tcMar>
              <w:top w:type="dxa" w:w="70"/>
              <w:left w:type="dxa" w:w="90"/>
              <w:bottom w:type="dxa" w:w="70"/>
              <w:right w:type="dxa" w:w="90"/>
            </w:tcMar>
            <w:vAlign w:val="top"/>
          </w:tcPr>
          <w:p>
            <w:r>
              <w:rPr>
                <w:b/>
                <w:bCs/>
                <w:color w:val="000000"/>
                <w:sz w:val="17"/>
                <w:szCs w:val="17"/>
              </w:rPr>
              <w:t xml:space="preserve">Content Indexing Pipeline</w:t>
            </w:r>
          </w:p>
        </w:tc>
        <w:tc>
          <w:tcPr>
            <w:tcW w:type="dxa" w:w="3838"/>
            <w:tcMar>
              <w:top w:type="dxa" w:w="70"/>
              <w:left w:type="dxa" w:w="90"/>
              <w:bottom w:type="dxa" w:w="70"/>
              <w:right w:type="dxa" w:w="90"/>
            </w:tcMar>
            <w:vAlign w:val="top"/>
          </w:tcPr>
          <w:p>
            <w:r>
              <w:rPr>
                <w:b w:val="false"/>
                <w:bCs w:val="false"/>
                <w:color w:val="000000"/>
                <w:sz w:val="17"/>
                <w:szCs w:val="17"/>
              </w:rPr>
              <w:t xml:space="preserve">Document store, Knowledge Repository</w:t>
            </w:r>
          </w:p>
        </w:tc>
        <w:tc>
          <w:tcPr>
            <w:tcW w:type="dxa" w:w="3838"/>
            <w:tcMar>
              <w:top w:type="dxa" w:w="70"/>
              <w:left w:type="dxa" w:w="90"/>
              <w:bottom w:type="dxa" w:w="70"/>
              <w:right w:type="dxa" w:w="90"/>
            </w:tcMar>
            <w:vAlign w:val="top"/>
          </w:tcPr>
          <w:p>
            <w:r>
              <w:rPr>
                <w:b w:val="false"/>
                <w:bCs w:val="false"/>
                <w:color w:val="000000"/>
                <w:sz w:val="17"/>
                <w:szCs w:val="17"/>
              </w:rPr>
              <w:t xml:space="preserve">Search Index</w:t>
            </w:r>
          </w:p>
        </w:tc>
        <w:tc>
          <w:tcPr>
            <w:tcW w:type="dxa" w:w="3838"/>
            <w:tcMar>
              <w:top w:type="dxa" w:w="70"/>
              <w:left w:type="dxa" w:w="90"/>
              <w:bottom w:type="dxa" w:w="70"/>
              <w:right w:type="dxa" w:w="90"/>
            </w:tcMar>
            <w:vAlign w:val="top"/>
          </w:tcPr>
          <w:p>
            <w:r>
              <w:rPr>
                <w:b w:val="false"/>
                <w:bCs w:val="false"/>
                <w:color w:val="000000"/>
                <w:sz w:val="17"/>
                <w:szCs w:val="17"/>
              </w:rPr>
              <w:t xml:space="preserve">Near-real-time, event-triggered on publish</w:t>
            </w:r>
          </w:p>
        </w:tc>
      </w:tr>
      <w:tr>
        <w:tc>
          <w:tcPr>
            <w:tcW w:type="dxa" w:w="2527"/>
            <w:tcMar>
              <w:top w:type="dxa" w:w="70"/>
              <w:left w:type="dxa" w:w="90"/>
              <w:bottom w:type="dxa" w:w="70"/>
              <w:right w:type="dxa" w:w="90"/>
            </w:tcMar>
            <w:vAlign w:val="top"/>
          </w:tcPr>
          <w:p>
            <w:r>
              <w:rPr>
                <w:b/>
                <w:bCs/>
                <w:color w:val="000000"/>
                <w:sz w:val="17"/>
                <w:szCs w:val="17"/>
              </w:rPr>
              <w:t xml:space="preserve">Identity Synchronization</w:t>
            </w:r>
          </w:p>
        </w:tc>
        <w:tc>
          <w:tcPr>
            <w:tcW w:type="dxa" w:w="3838"/>
            <w:tcMar>
              <w:top w:type="dxa" w:w="70"/>
              <w:left w:type="dxa" w:w="90"/>
              <w:bottom w:type="dxa" w:w="70"/>
              <w:right w:type="dxa" w:w="90"/>
            </w:tcMar>
            <w:vAlign w:val="top"/>
          </w:tcPr>
          <w:p>
            <w:r>
              <w:rPr>
                <w:b w:val="false"/>
                <w:bCs w:val="false"/>
                <w:color w:val="000000"/>
                <w:sz w:val="17"/>
                <w:szCs w:val="17"/>
              </w:rPr>
              <w:t xml:space="preserve">External identity provider</w:t>
            </w:r>
          </w:p>
        </w:tc>
        <w:tc>
          <w:tcPr>
            <w:tcW w:type="dxa" w:w="3838"/>
            <w:tcMar>
              <w:top w:type="dxa" w:w="70"/>
              <w:left w:type="dxa" w:w="90"/>
              <w:bottom w:type="dxa" w:w="70"/>
              <w:right w:type="dxa" w:w="90"/>
            </w:tcMar>
            <w:vAlign w:val="top"/>
          </w:tcPr>
          <w:p>
            <w:r>
              <w:rPr>
                <w:b w:val="false"/>
                <w:bCs w:val="false"/>
                <w:color w:val="000000"/>
                <w:sz w:val="17"/>
                <w:szCs w:val="17"/>
              </w:rPr>
              <w:t xml:space="preserve">Operational relational database (User, Role tables)</w:t>
            </w:r>
          </w:p>
        </w:tc>
        <w:tc>
          <w:tcPr>
            <w:tcW w:type="dxa" w:w="3838"/>
            <w:tcMar>
              <w:top w:type="dxa" w:w="70"/>
              <w:left w:type="dxa" w:w="90"/>
              <w:bottom w:type="dxa" w:w="70"/>
              <w:right w:type="dxa" w:w="90"/>
            </w:tcMar>
            <w:vAlign w:val="top"/>
          </w:tcPr>
          <w:p>
            <w:r>
              <w:rPr>
                <w:b w:val="false"/>
                <w:bCs w:val="false"/>
                <w:color w:val="000000"/>
                <w:sz w:val="17"/>
                <w:szCs w:val="17"/>
              </w:rPr>
              <w:t xml:space="preserve">Near-real-time, event-driven with periodic reconciliation</w:t>
            </w:r>
          </w:p>
        </w:tc>
      </w:tr>
      <w:tr>
        <w:tc>
          <w:tcPr>
            <w:tcW w:type="dxa" w:w="2527"/>
            <w:tcMar>
              <w:top w:type="dxa" w:w="70"/>
              <w:left w:type="dxa" w:w="90"/>
              <w:bottom w:type="dxa" w:w="70"/>
              <w:right w:type="dxa" w:w="90"/>
            </w:tcMar>
            <w:vAlign w:val="top"/>
          </w:tcPr>
          <w:p>
            <w:r>
              <w:rPr>
                <w:b/>
                <w:bCs/>
                <w:color w:val="000000"/>
                <w:sz w:val="17"/>
                <w:szCs w:val="17"/>
              </w:rPr>
              <w:t xml:space="preserve">Mobile Sync Pipeline</w:t>
            </w:r>
          </w:p>
        </w:tc>
        <w:tc>
          <w:tcPr>
            <w:tcW w:type="dxa" w:w="3838"/>
            <w:tcMar>
              <w:top w:type="dxa" w:w="70"/>
              <w:left w:type="dxa" w:w="90"/>
              <w:bottom w:type="dxa" w:w="70"/>
              <w:right w:type="dxa" w:w="90"/>
            </w:tcMar>
            <w:vAlign w:val="top"/>
          </w:tcPr>
          <w:p>
            <w:r>
              <w:rPr>
                <w:b w:val="false"/>
                <w:bCs w:val="false"/>
                <w:color w:val="000000"/>
                <w:sz w:val="17"/>
                <w:szCs w:val="17"/>
              </w:rPr>
              <w:t xml:space="preserve">Mobile module offline store</w:t>
            </w:r>
          </w:p>
        </w:tc>
        <w:tc>
          <w:tcPr>
            <w:tcW w:type="dxa" w:w="3838"/>
            <w:tcMar>
              <w:top w:type="dxa" w:w="70"/>
              <w:left w:type="dxa" w:w="90"/>
              <w:bottom w:type="dxa" w:w="70"/>
              <w:right w:type="dxa" w:w="90"/>
            </w:tcMar>
            <w:vAlign w:val="top"/>
          </w:tcPr>
          <w:p>
            <w:r>
              <w:rPr>
                <w:b w:val="false"/>
                <w:bCs w:val="false"/>
                <w:color w:val="000000"/>
                <w:sz w:val="17"/>
                <w:szCs w:val="17"/>
              </w:rPr>
              <w:t xml:space="preserve">Operational relational database, Document store</w:t>
            </w:r>
          </w:p>
        </w:tc>
        <w:tc>
          <w:tcPr>
            <w:tcW w:type="dxa" w:w="3838"/>
            <w:tcMar>
              <w:top w:type="dxa" w:w="70"/>
              <w:left w:type="dxa" w:w="90"/>
              <w:bottom w:type="dxa" w:w="70"/>
              <w:right w:type="dxa" w:w="90"/>
            </w:tcMar>
            <w:vAlign w:val="top"/>
          </w:tcPr>
          <w:p>
            <w:r>
              <w:rPr>
                <w:b w:val="false"/>
                <w:bCs w:val="false"/>
                <w:color w:val="000000"/>
                <w:sz w:val="17"/>
                <w:szCs w:val="17"/>
              </w:rPr>
              <w:t xml:space="preserve">Batch, triggered on connectivity restoration</w:t>
            </w:r>
          </w:p>
        </w:tc>
      </w:tr>
      <w:tr>
        <w:tc>
          <w:tcPr>
            <w:tcW w:type="dxa" w:w="2527"/>
            <w:tcMar>
              <w:top w:type="dxa" w:w="70"/>
              <w:left w:type="dxa" w:w="90"/>
              <w:bottom w:type="dxa" w:w="70"/>
              <w:right w:type="dxa" w:w="90"/>
            </w:tcMar>
            <w:vAlign w:val="top"/>
          </w:tcPr>
          <w:p>
            <w:r>
              <w:rPr>
                <w:b/>
                <w:bCs/>
                <w:color w:val="000000"/>
                <w:sz w:val="17"/>
                <w:szCs w:val="17"/>
              </w:rPr>
              <w:t xml:space="preserve">Notification Event Pipeline</w:t>
            </w:r>
          </w:p>
        </w:tc>
        <w:tc>
          <w:tcPr>
            <w:tcW w:type="dxa" w:w="3838"/>
            <w:tcMar>
              <w:top w:type="dxa" w:w="70"/>
              <w:left w:type="dxa" w:w="90"/>
              <w:bottom w:type="dxa" w:w="70"/>
              <w:right w:type="dxa" w:w="90"/>
            </w:tcMar>
            <w:vAlign w:val="top"/>
          </w:tcPr>
          <w:p>
            <w:r>
              <w:rPr>
                <w:b w:val="false"/>
                <w:bCs w:val="false"/>
                <w:color w:val="000000"/>
                <w:sz w:val="17"/>
                <w:szCs w:val="17"/>
              </w:rPr>
              <w:t xml:space="preserve">All modules (event bus)</w:t>
            </w:r>
          </w:p>
        </w:tc>
        <w:tc>
          <w:tcPr>
            <w:tcW w:type="dxa" w:w="3838"/>
            <w:tcMar>
              <w:top w:type="dxa" w:w="70"/>
              <w:left w:type="dxa" w:w="90"/>
              <w:bottom w:type="dxa" w:w="70"/>
              <w:right w:type="dxa" w:w="90"/>
            </w:tcMar>
            <w:vAlign w:val="top"/>
          </w:tcPr>
          <w:p>
            <w:r>
              <w:rPr>
                <w:b w:val="false"/>
                <w:bCs w:val="false"/>
                <w:color w:val="000000"/>
                <w:sz w:val="17"/>
                <w:szCs w:val="17"/>
              </w:rPr>
              <w:t xml:space="preserve">Notifications module</w:t>
            </w:r>
          </w:p>
        </w:tc>
        <w:tc>
          <w:tcPr>
            <w:tcW w:type="dxa" w:w="3838"/>
            <w:tcMar>
              <w:top w:type="dxa" w:w="70"/>
              <w:left w:type="dxa" w:w="90"/>
              <w:bottom w:type="dxa" w:w="70"/>
              <w:right w:type="dxa" w:w="90"/>
            </w:tcMar>
            <w:vAlign w:val="top"/>
          </w:tcPr>
          <w:p>
            <w:r>
              <w:rPr>
                <w:b w:val="false"/>
                <w:bCs w:val="false"/>
                <w:color w:val="000000"/>
                <w:sz w:val="17"/>
                <w:szCs w:val="17"/>
              </w:rPr>
              <w:t xml:space="preserve">Real-time, event-driven</w:t>
            </w:r>
          </w:p>
        </w:tc>
      </w:tr>
    </w:tbl>
    <w:p>
      <w:pPr>
        <w:pStyle w:val="Heading2"/>
        <w:spacing w:after="90" w:before="220"/>
      </w:pPr>
      <w:r>
        <w:t xml:space="preserve">6. Data Quality</w:t>
      </w:r>
    </w:p>
    <w:p>
      <w:pPr>
        <w:spacing w:after="140" w:line="264"/>
      </w:pPr>
      <w:r>
        <w:t xml:space="preserve">Data Quality defines the measurable dimensions and rules the platform enforces, operationalizing Part 6's Data Governance policy on quality thresholds (Governance Policy Area: Data Quality Threshold) into concrete, testable rules.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Quality Dimension</w:t>
            </w:r>
          </w:p>
        </w:tc>
        <w:tc>
          <w:tcPr>
            <w:tcW w:type="dxa" w:w="5476"/>
            <w:shd w:fill="1F3864" w:val="clear"/>
            <w:tcMar>
              <w:top w:type="dxa" w:w="70"/>
              <w:left w:type="dxa" w:w="90"/>
              <w:bottom w:type="dxa" w:w="70"/>
              <w:right w:type="dxa" w:w="90"/>
            </w:tcMar>
            <w:vAlign w:val="top"/>
          </w:tcPr>
          <w:p>
            <w:r>
              <w:rPr>
                <w:b/>
                <w:bCs/>
                <w:color w:val="FFFFFF"/>
                <w:sz w:val="17"/>
                <w:szCs w:val="17"/>
              </w:rPr>
              <w:t xml:space="preserve">Rule Example</w:t>
            </w:r>
          </w:p>
        </w:tc>
        <w:tc>
          <w:tcPr>
            <w:tcW w:type="dxa" w:w="5476"/>
            <w:shd w:fill="1F3864" w:val="clear"/>
            <w:tcMar>
              <w:top w:type="dxa" w:w="70"/>
              <w:left w:type="dxa" w:w="90"/>
              <w:bottom w:type="dxa" w:w="70"/>
              <w:right w:type="dxa" w:w="90"/>
            </w:tcMar>
            <w:vAlign w:val="top"/>
          </w:tcPr>
          <w:p>
            <w:r>
              <w:rPr>
                <w:b/>
                <w:bCs/>
                <w:color w:val="FFFFFF"/>
                <w:sz w:val="17"/>
                <w:szCs w:val="17"/>
              </w:rPr>
              <w:t xml:space="preserve">Enforcement Point</w:t>
            </w:r>
          </w:p>
        </w:tc>
      </w:tr>
      <w:tr>
        <w:tc>
          <w:tcPr>
            <w:tcW w:type="dxa" w:w="3089"/>
            <w:tcMar>
              <w:top w:type="dxa" w:w="70"/>
              <w:left w:type="dxa" w:w="90"/>
              <w:bottom w:type="dxa" w:w="70"/>
              <w:right w:type="dxa" w:w="90"/>
            </w:tcMar>
            <w:vAlign w:val="top"/>
          </w:tcPr>
          <w:p>
            <w:r>
              <w:rPr>
                <w:b/>
                <w:bCs/>
                <w:color w:val="000000"/>
                <w:sz w:val="17"/>
                <w:szCs w:val="17"/>
              </w:rPr>
              <w:t xml:space="preserve">Completeness</w:t>
            </w:r>
          </w:p>
        </w:tc>
        <w:tc>
          <w:tcPr>
            <w:tcW w:type="dxa" w:w="5476"/>
            <w:tcMar>
              <w:top w:type="dxa" w:w="70"/>
              <w:left w:type="dxa" w:w="90"/>
              <w:bottom w:type="dxa" w:w="70"/>
              <w:right w:type="dxa" w:w="90"/>
            </w:tcMar>
            <w:vAlign w:val="top"/>
          </w:tcPr>
          <w:p>
            <w:r>
              <w:rPr>
                <w:b w:val="false"/>
                <w:bCs w:val="false"/>
                <w:color w:val="000000"/>
                <w:sz w:val="17"/>
                <w:szCs w:val="17"/>
              </w:rPr>
              <w:t xml:space="preserve">Project records must have a non-null budget and state_code before approval.</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validation at workflow submission</w:t>
            </w:r>
          </w:p>
        </w:tc>
      </w:tr>
      <w:tr>
        <w:tc>
          <w:tcPr>
            <w:tcW w:type="dxa" w:w="3089"/>
            <w:tcMar>
              <w:top w:type="dxa" w:w="70"/>
              <w:left w:type="dxa" w:w="90"/>
              <w:bottom w:type="dxa" w:w="70"/>
              <w:right w:type="dxa" w:w="90"/>
            </w:tcMar>
            <w:vAlign w:val="top"/>
          </w:tcPr>
          <w:p>
            <w:r>
              <w:rPr>
                <w:b/>
                <w:bCs/>
                <w:color w:val="000000"/>
                <w:sz w:val="17"/>
                <w:szCs w:val="17"/>
              </w:rPr>
              <w:t xml:space="preserve">Accuracy</w:t>
            </w:r>
          </w:p>
        </w:tc>
        <w:tc>
          <w:tcPr>
            <w:tcW w:type="dxa" w:w="5476"/>
            <w:tcMar>
              <w:top w:type="dxa" w:w="70"/>
              <w:left w:type="dxa" w:w="90"/>
              <w:bottom w:type="dxa" w:w="70"/>
              <w:right w:type="dxa" w:w="90"/>
            </w:tcMar>
            <w:vAlign w:val="top"/>
          </w:tcPr>
          <w:p>
            <w:r>
              <w:rPr>
                <w:b w:val="false"/>
                <w:bCs w:val="false"/>
                <w:color w:val="000000"/>
                <w:sz w:val="17"/>
                <w:szCs w:val="17"/>
              </w:rPr>
              <w:t xml:space="preserve">State_code must exist in the State Reference data set.</w:t>
            </w:r>
          </w:p>
        </w:tc>
        <w:tc>
          <w:tcPr>
            <w:tcW w:type="dxa" w:w="5476"/>
            <w:tcMar>
              <w:top w:type="dxa" w:w="70"/>
              <w:left w:type="dxa" w:w="90"/>
              <w:bottom w:type="dxa" w:w="70"/>
              <w:right w:type="dxa" w:w="90"/>
            </w:tcMar>
            <w:vAlign w:val="top"/>
          </w:tcPr>
          <w:p>
            <w:r>
              <w:rPr>
                <w:b w:val="false"/>
                <w:bCs w:val="false"/>
                <w:color w:val="000000"/>
                <w:sz w:val="17"/>
                <w:szCs w:val="17"/>
              </w:rPr>
              <w:t xml:space="preserve">Database foreign-key constraint</w:t>
            </w:r>
          </w:p>
        </w:tc>
      </w:tr>
      <w:tr>
        <w:tc>
          <w:tcPr>
            <w:tcW w:type="dxa" w:w="3089"/>
            <w:tcMar>
              <w:top w:type="dxa" w:w="70"/>
              <w:left w:type="dxa" w:w="90"/>
              <w:bottom w:type="dxa" w:w="70"/>
              <w:right w:type="dxa" w:w="90"/>
            </w:tcMar>
            <w:vAlign w:val="top"/>
          </w:tcPr>
          <w:p>
            <w:r>
              <w:rPr>
                <w:b/>
                <w:bCs/>
                <w:color w:val="000000"/>
                <w:sz w:val="17"/>
                <w:szCs w:val="17"/>
              </w:rPr>
              <w:t xml:space="preserve">Consistency</w:t>
            </w:r>
          </w:p>
        </w:tc>
        <w:tc>
          <w:tcPr>
            <w:tcW w:type="dxa" w:w="5476"/>
            <w:tcMar>
              <w:top w:type="dxa" w:w="70"/>
              <w:left w:type="dxa" w:w="90"/>
              <w:bottom w:type="dxa" w:w="70"/>
              <w:right w:type="dxa" w:w="90"/>
            </w:tcMar>
            <w:vAlign w:val="top"/>
          </w:tcPr>
          <w:p>
            <w:r>
              <w:rPr>
                <w:b w:val="false"/>
                <w:bCs w:val="false"/>
                <w:color w:val="000000"/>
                <w:sz w:val="17"/>
                <w:szCs w:val="17"/>
              </w:rPr>
              <w:t xml:space="preserve">A Document's classification must not be less restrictive than the classification of any Knowledge Asset derived from it.</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business rule</w:t>
            </w:r>
          </w:p>
        </w:tc>
      </w:tr>
      <w:tr>
        <w:tc>
          <w:tcPr>
            <w:tcW w:type="dxa" w:w="3089"/>
            <w:tcMar>
              <w:top w:type="dxa" w:w="70"/>
              <w:left w:type="dxa" w:w="90"/>
              <w:bottom w:type="dxa" w:w="70"/>
              <w:right w:type="dxa" w:w="90"/>
            </w:tcMar>
            <w:vAlign w:val="top"/>
          </w:tcPr>
          <w:p>
            <w:r>
              <w:rPr>
                <w:b/>
                <w:bCs/>
                <w:color w:val="000000"/>
                <w:sz w:val="17"/>
                <w:szCs w:val="17"/>
              </w:rPr>
              <w:t xml:space="preserve">Timeliness</w:t>
            </w:r>
          </w:p>
        </w:tc>
        <w:tc>
          <w:tcPr>
            <w:tcW w:type="dxa" w:w="5476"/>
            <w:tcMar>
              <w:top w:type="dxa" w:w="70"/>
              <w:left w:type="dxa" w:w="90"/>
              <w:bottom w:type="dxa" w:w="70"/>
              <w:right w:type="dxa" w:w="90"/>
            </w:tcMar>
            <w:vAlign w:val="top"/>
          </w:tcPr>
          <w:p>
            <w:r>
              <w:rPr>
                <w:b w:val="false"/>
                <w:bCs w:val="false"/>
                <w:color w:val="000000"/>
                <w:sz w:val="17"/>
                <w:szCs w:val="17"/>
              </w:rPr>
              <w:t xml:space="preserve">KPI facts in the Data Warehouse must not be more than 24 hours stale.</w:t>
            </w:r>
          </w:p>
        </w:tc>
        <w:tc>
          <w:tcPr>
            <w:tcW w:type="dxa" w:w="5476"/>
            <w:tcMar>
              <w:top w:type="dxa" w:w="70"/>
              <w:left w:type="dxa" w:w="90"/>
              <w:bottom w:type="dxa" w:w="70"/>
              <w:right w:type="dxa" w:w="90"/>
            </w:tcMar>
            <w:vAlign w:val="top"/>
          </w:tcPr>
          <w:p>
            <w:r>
              <w:rPr>
                <w:b w:val="false"/>
                <w:bCs w:val="false"/>
                <w:color w:val="000000"/>
                <w:sz w:val="17"/>
                <w:szCs w:val="17"/>
              </w:rPr>
              <w:t xml:space="preserve">Pipeline monitoring, alerting on missed load</w:t>
            </w:r>
          </w:p>
        </w:tc>
      </w:tr>
      <w:tr>
        <w:tc>
          <w:tcPr>
            <w:tcW w:type="dxa" w:w="3089"/>
            <w:tcMar>
              <w:top w:type="dxa" w:w="70"/>
              <w:left w:type="dxa" w:w="90"/>
              <w:bottom w:type="dxa" w:w="70"/>
              <w:right w:type="dxa" w:w="90"/>
            </w:tcMar>
            <w:vAlign w:val="top"/>
          </w:tcPr>
          <w:p>
            <w:r>
              <w:rPr>
                <w:b/>
                <w:bCs/>
                <w:color w:val="000000"/>
                <w:sz w:val="17"/>
                <w:szCs w:val="17"/>
              </w:rPr>
              <w:t xml:space="preserve">Uniqueness</w:t>
            </w:r>
          </w:p>
        </w:tc>
        <w:tc>
          <w:tcPr>
            <w:tcW w:type="dxa" w:w="5476"/>
            <w:tcMar>
              <w:top w:type="dxa" w:w="70"/>
              <w:left w:type="dxa" w:w="90"/>
              <w:bottom w:type="dxa" w:w="70"/>
              <w:right w:type="dxa" w:w="90"/>
            </w:tcMar>
            <w:vAlign w:val="top"/>
          </w:tcPr>
          <w:p>
            <w:r>
              <w:rPr>
                <w:b w:val="false"/>
                <w:bCs w:val="false"/>
                <w:color w:val="000000"/>
                <w:sz w:val="17"/>
                <w:szCs w:val="17"/>
              </w:rPr>
              <w:t xml:space="preserve">No duplicate User records for the same email address.</w:t>
            </w:r>
          </w:p>
        </w:tc>
        <w:tc>
          <w:tcPr>
            <w:tcW w:type="dxa" w:w="5476"/>
            <w:tcMar>
              <w:top w:type="dxa" w:w="70"/>
              <w:left w:type="dxa" w:w="90"/>
              <w:bottom w:type="dxa" w:w="70"/>
              <w:right w:type="dxa" w:w="90"/>
            </w:tcMar>
            <w:vAlign w:val="top"/>
          </w:tcPr>
          <w:p>
            <w:r>
              <w:rPr>
                <w:b w:val="false"/>
                <w:bCs w:val="false"/>
                <w:color w:val="000000"/>
                <w:sz w:val="17"/>
                <w:szCs w:val="17"/>
              </w:rPr>
              <w:t xml:space="preserve">Database unique constraint</w:t>
            </w:r>
          </w:p>
        </w:tc>
      </w:tr>
    </w:tbl>
    <w:p>
      <w:pPr>
        <w:pStyle w:val="Heading2"/>
        <w:spacing w:after="90" w:before="220"/>
      </w:pPr>
      <w:r>
        <w:t xml:space="preserve">7. Data Integration</w:t>
      </w:r>
    </w:p>
    <w:p>
      <w:pPr>
        <w:spacing w:after="140" w:line="264"/>
      </w:pPr>
      <w:r>
        <w:t xml:space="preserve">Data Integration defines the patterns by which the twelve applications of Part 4 exchange data, extending Part 6's Information Flow into concrete integration technology choices.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Integration Pattern</w:t>
            </w:r>
          </w:p>
        </w:tc>
        <w:tc>
          <w:tcPr>
            <w:tcW w:type="dxa" w:w="5476"/>
            <w:shd w:fill="1F3864" w:val="clear"/>
            <w:tcMar>
              <w:top w:type="dxa" w:w="70"/>
              <w:left w:type="dxa" w:w="90"/>
              <w:bottom w:type="dxa" w:w="70"/>
              <w:right w:type="dxa" w:w="90"/>
            </w:tcMar>
            <w:vAlign w:val="top"/>
          </w:tcPr>
          <w:p>
            <w:r>
              <w:rPr>
                <w:b/>
                <w:bCs/>
                <w:color w:val="FFFFFF"/>
                <w:sz w:val="17"/>
                <w:szCs w:val="17"/>
              </w:rPr>
              <w:t xml:space="preserve">Used For</w:t>
            </w:r>
          </w:p>
        </w:tc>
        <w:tc>
          <w:tcPr>
            <w:tcW w:type="dxa" w:w="5476"/>
            <w:shd w:fill="1F3864" w:val="clear"/>
            <w:tcMar>
              <w:top w:type="dxa" w:w="70"/>
              <w:left w:type="dxa" w:w="90"/>
              <w:bottom w:type="dxa" w:w="70"/>
              <w:right w:type="dxa" w:w="90"/>
            </w:tcMar>
            <w:vAlign w:val="top"/>
          </w:tcPr>
          <w:p>
            <w:r>
              <w:rPr>
                <w:b/>
                <w:bCs/>
                <w:color w:val="FFFFFF"/>
                <w:sz w:val="17"/>
                <w:szCs w:val="17"/>
              </w:rPr>
              <w:t xml:space="preserve">Technology Approach</w:t>
            </w:r>
          </w:p>
        </w:tc>
      </w:tr>
      <w:tr>
        <w:tc>
          <w:tcPr>
            <w:tcW w:type="dxa" w:w="3089"/>
            <w:tcMar>
              <w:top w:type="dxa" w:w="70"/>
              <w:left w:type="dxa" w:w="90"/>
              <w:bottom w:type="dxa" w:w="70"/>
              <w:right w:type="dxa" w:w="90"/>
            </w:tcMar>
            <w:vAlign w:val="top"/>
          </w:tcPr>
          <w:p>
            <w:r>
              <w:rPr>
                <w:b/>
                <w:bCs/>
                <w:color w:val="000000"/>
                <w:sz w:val="17"/>
                <w:szCs w:val="17"/>
              </w:rPr>
              <w:t xml:space="preserve">Synchronous REST API</w:t>
            </w:r>
          </w:p>
        </w:tc>
        <w:tc>
          <w:tcPr>
            <w:tcW w:type="dxa" w:w="5476"/>
            <w:tcMar>
              <w:top w:type="dxa" w:w="70"/>
              <w:left w:type="dxa" w:w="90"/>
              <w:bottom w:type="dxa" w:w="70"/>
              <w:right w:type="dxa" w:w="90"/>
            </w:tcMar>
            <w:vAlign w:val="top"/>
          </w:tcPr>
          <w:p>
            <w:r>
              <w:rPr>
                <w:b w:val="false"/>
                <w:bCs w:val="false"/>
                <w:color w:val="000000"/>
                <w:sz w:val="17"/>
                <w:szCs w:val="17"/>
              </w:rPr>
              <w:t xml:space="preserve">Real-time request/response between modules, e.g., Approvals querying Identity Management for role.</w:t>
            </w:r>
          </w:p>
        </w:tc>
        <w:tc>
          <w:tcPr>
            <w:tcW w:type="dxa" w:w="5476"/>
            <w:tcMar>
              <w:top w:type="dxa" w:w="70"/>
              <w:left w:type="dxa" w:w="90"/>
              <w:bottom w:type="dxa" w:w="70"/>
              <w:right w:type="dxa" w:w="90"/>
            </w:tcMar>
            <w:vAlign w:val="top"/>
          </w:tcPr>
          <w:p>
            <w:r>
              <w:rPr>
                <w:b w:val="false"/>
                <w:bCs w:val="false"/>
                <w:color w:val="000000"/>
                <w:sz w:val="17"/>
                <w:szCs w:val="17"/>
              </w:rPr>
              <w:t xml:space="preserve">Internal REST APIs behind an API gateway</w:t>
            </w:r>
          </w:p>
        </w:tc>
      </w:tr>
      <w:tr>
        <w:tc>
          <w:tcPr>
            <w:tcW w:type="dxa" w:w="3089"/>
            <w:tcMar>
              <w:top w:type="dxa" w:w="70"/>
              <w:left w:type="dxa" w:w="90"/>
              <w:bottom w:type="dxa" w:w="70"/>
              <w:right w:type="dxa" w:w="90"/>
            </w:tcMar>
            <w:vAlign w:val="top"/>
          </w:tcPr>
          <w:p>
            <w:r>
              <w:rPr>
                <w:b/>
                <w:bCs/>
                <w:color w:val="000000"/>
                <w:sz w:val="17"/>
                <w:szCs w:val="17"/>
              </w:rPr>
              <w:t xml:space="preserve">Asynchronous event bus (publish/subscribe)</w:t>
            </w:r>
          </w:p>
        </w:tc>
        <w:tc>
          <w:tcPr>
            <w:tcW w:type="dxa" w:w="5476"/>
            <w:tcMar>
              <w:top w:type="dxa" w:w="70"/>
              <w:left w:type="dxa" w:w="90"/>
              <w:bottom w:type="dxa" w:w="70"/>
              <w:right w:type="dxa" w:w="90"/>
            </w:tcMar>
            <w:vAlign w:val="top"/>
          </w:tcPr>
          <w:p>
            <w:r>
              <w:rPr>
                <w:b w:val="false"/>
                <w:bCs w:val="false"/>
                <w:color w:val="000000"/>
                <w:sz w:val="17"/>
                <w:szCs w:val="17"/>
              </w:rPr>
              <w:t xml:space="preserve">Cross-module notification and loosely coupled updates, e.g., document published → search index update.</w:t>
            </w:r>
          </w:p>
        </w:tc>
        <w:tc>
          <w:tcPr>
            <w:tcW w:type="dxa" w:w="5476"/>
            <w:tcMar>
              <w:top w:type="dxa" w:w="70"/>
              <w:left w:type="dxa" w:w="90"/>
              <w:bottom w:type="dxa" w:w="70"/>
              <w:right w:type="dxa" w:w="90"/>
            </w:tcMar>
            <w:vAlign w:val="top"/>
          </w:tcPr>
          <w:p>
            <w:r>
              <w:rPr>
                <w:b w:val="false"/>
                <w:bCs w:val="false"/>
                <w:color w:val="000000"/>
                <w:sz w:val="17"/>
                <w:szCs w:val="17"/>
              </w:rPr>
              <w:t xml:space="preserve">Message broker (e.g., a managed queue/topic service)</w:t>
            </w:r>
          </w:p>
        </w:tc>
      </w:tr>
      <w:tr>
        <w:tc>
          <w:tcPr>
            <w:tcW w:type="dxa" w:w="3089"/>
            <w:tcMar>
              <w:top w:type="dxa" w:w="70"/>
              <w:left w:type="dxa" w:w="90"/>
              <w:bottom w:type="dxa" w:w="70"/>
              <w:right w:type="dxa" w:w="90"/>
            </w:tcMar>
            <w:vAlign w:val="top"/>
          </w:tcPr>
          <w:p>
            <w:r>
              <w:rPr>
                <w:b/>
                <w:bCs/>
                <w:color w:val="000000"/>
                <w:sz w:val="17"/>
                <w:szCs w:val="17"/>
              </w:rPr>
              <w:t xml:space="preserve">Batch file/API integration</w:t>
            </w:r>
          </w:p>
        </w:tc>
        <w:tc>
          <w:tcPr>
            <w:tcW w:type="dxa" w:w="5476"/>
            <w:tcMar>
              <w:top w:type="dxa" w:w="70"/>
              <w:left w:type="dxa" w:w="90"/>
              <w:bottom w:type="dxa" w:w="70"/>
              <w:right w:type="dxa" w:w="90"/>
            </w:tcMar>
            <w:vAlign w:val="top"/>
          </w:tcPr>
          <w:p>
            <w:r>
              <w:rPr>
                <w:b w:val="false"/>
                <w:bCs w:val="false"/>
                <w:color w:val="000000"/>
                <w:sz w:val="17"/>
                <w:szCs w:val="17"/>
              </w:rPr>
              <w:t xml:space="preserve">External system exchange, e.g., government financial management system reconciliation.</w:t>
            </w:r>
          </w:p>
        </w:tc>
        <w:tc>
          <w:tcPr>
            <w:tcW w:type="dxa" w:w="5476"/>
            <w:tcMar>
              <w:top w:type="dxa" w:w="70"/>
              <w:left w:type="dxa" w:w="90"/>
              <w:bottom w:type="dxa" w:w="70"/>
              <w:right w:type="dxa" w:w="90"/>
            </w:tcMar>
            <w:vAlign w:val="top"/>
          </w:tcPr>
          <w:p>
            <w:r>
              <w:rPr>
                <w:b w:val="false"/>
                <w:bCs w:val="false"/>
                <w:color w:val="000000"/>
                <w:sz w:val="17"/>
                <w:szCs w:val="17"/>
              </w:rPr>
              <w:t xml:space="preserve">Scheduled batch jobs with reconciliation reports</w:t>
            </w:r>
          </w:p>
        </w:tc>
      </w:tr>
      <w:tr>
        <w:tc>
          <w:tcPr>
            <w:tcW w:type="dxa" w:w="3089"/>
            <w:tcMar>
              <w:top w:type="dxa" w:w="70"/>
              <w:left w:type="dxa" w:w="90"/>
              <w:bottom w:type="dxa" w:w="70"/>
              <w:right w:type="dxa" w:w="90"/>
            </w:tcMar>
            <w:vAlign w:val="top"/>
          </w:tcPr>
          <w:p>
            <w:r>
              <w:rPr>
                <w:b/>
                <w:bCs/>
                <w:color w:val="000000"/>
                <w:sz w:val="17"/>
                <w:szCs w:val="17"/>
              </w:rPr>
              <w:t xml:space="preserve">Webhook callbacks</w:t>
            </w:r>
          </w:p>
        </w:tc>
        <w:tc>
          <w:tcPr>
            <w:tcW w:type="dxa" w:w="5476"/>
            <w:tcMar>
              <w:top w:type="dxa" w:w="70"/>
              <w:left w:type="dxa" w:w="90"/>
              <w:bottom w:type="dxa" w:w="70"/>
              <w:right w:type="dxa" w:w="90"/>
            </w:tcMar>
            <w:vAlign w:val="top"/>
          </w:tcPr>
          <w:p>
            <w:r>
              <w:rPr>
                <w:b w:val="false"/>
                <w:bCs w:val="false"/>
                <w:color w:val="000000"/>
                <w:sz w:val="17"/>
                <w:szCs w:val="17"/>
              </w:rPr>
              <w:t xml:space="preserve">Third-party donor portal submissions, where supported.</w:t>
            </w:r>
          </w:p>
        </w:tc>
        <w:tc>
          <w:tcPr>
            <w:tcW w:type="dxa" w:w="5476"/>
            <w:tcMar>
              <w:top w:type="dxa" w:w="70"/>
              <w:left w:type="dxa" w:w="90"/>
              <w:bottom w:type="dxa" w:w="70"/>
              <w:right w:type="dxa" w:w="90"/>
            </w:tcMar>
            <w:vAlign w:val="top"/>
          </w:tcPr>
          <w:p>
            <w:r>
              <w:rPr>
                <w:b w:val="false"/>
                <w:bCs w:val="false"/>
                <w:color w:val="000000"/>
                <w:sz w:val="17"/>
                <w:szCs w:val="17"/>
              </w:rPr>
              <w:t xml:space="preserve">Outbound webhook with retry and dead-letter handling</w:t>
            </w:r>
          </w:p>
        </w:tc>
      </w:tr>
    </w:tbl>
    <w:p>
      <w:pPr>
        <w:pStyle w:val="Heading2"/>
        <w:spacing w:after="90" w:before="220"/>
      </w:pPr>
      <w:r>
        <w:t xml:space="preserve">8. Data Migration</w:t>
      </w:r>
    </w:p>
    <w:p>
      <w:pPr>
        <w:spacing w:after="140" w:line="264"/>
      </w:pPr>
      <w:r>
        <w:t xml:space="preserve">Data Migration addresses the one-time movement of existing SAPZ programme data — currently held in the fragmented spreadsheets, shared drives, and email attachments the Client Pain Analysis names — into the new platform at go-live.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Migration Phase</w:t>
            </w:r>
          </w:p>
        </w:tc>
        <w:tc>
          <w:tcPr>
            <w:tcW w:type="dxa" w:w="5476"/>
            <w:shd w:fill="1F3864" w:val="clear"/>
            <w:tcMar>
              <w:top w:type="dxa" w:w="70"/>
              <w:left w:type="dxa" w:w="90"/>
              <w:bottom w:type="dxa" w:w="70"/>
              <w:right w:type="dxa" w:w="90"/>
            </w:tcMar>
            <w:vAlign w:val="top"/>
          </w:tcPr>
          <w:p>
            <w:r>
              <w:rPr>
                <w:b/>
                <w:bCs/>
                <w:color w:val="FFFFFF"/>
                <w:sz w:val="17"/>
                <w:szCs w:val="17"/>
              </w:rPr>
              <w:t xml:space="preserve">Scope</w:t>
            </w:r>
          </w:p>
        </w:tc>
        <w:tc>
          <w:tcPr>
            <w:tcW w:type="dxa" w:w="5476"/>
            <w:shd w:fill="1F3864" w:val="clear"/>
            <w:tcMar>
              <w:top w:type="dxa" w:w="70"/>
              <w:left w:type="dxa" w:w="90"/>
              <w:bottom w:type="dxa" w:w="70"/>
              <w:right w:type="dxa" w:w="90"/>
            </w:tcMar>
            <w:vAlign w:val="top"/>
          </w:tcPr>
          <w:p>
            <w:r>
              <w:rPr>
                <w:b/>
                <w:bCs/>
                <w:color w:val="FFFFFF"/>
                <w:sz w:val="17"/>
                <w:szCs w:val="17"/>
              </w:rPr>
              <w:t xml:space="preserve">Key Risk &amp; Mitigation</w:t>
            </w:r>
          </w:p>
        </w:tc>
      </w:tr>
      <w:tr>
        <w:tc>
          <w:tcPr>
            <w:tcW w:type="dxa" w:w="3089"/>
            <w:tcMar>
              <w:top w:type="dxa" w:w="70"/>
              <w:left w:type="dxa" w:w="90"/>
              <w:bottom w:type="dxa" w:w="70"/>
              <w:right w:type="dxa" w:w="90"/>
            </w:tcMar>
            <w:vAlign w:val="top"/>
          </w:tcPr>
          <w:p>
            <w:r>
              <w:rPr>
                <w:b/>
                <w:bCs/>
                <w:color w:val="000000"/>
                <w:sz w:val="17"/>
                <w:szCs w:val="17"/>
              </w:rPr>
              <w:t xml:space="preserve">Phase 1 — Inventory &amp; Assessment</w:t>
            </w:r>
          </w:p>
        </w:tc>
        <w:tc>
          <w:tcPr>
            <w:tcW w:type="dxa" w:w="5476"/>
            <w:tcMar>
              <w:top w:type="dxa" w:w="70"/>
              <w:left w:type="dxa" w:w="90"/>
              <w:bottom w:type="dxa" w:w="70"/>
              <w:right w:type="dxa" w:w="90"/>
            </w:tcMar>
            <w:vAlign w:val="top"/>
          </w:tcPr>
          <w:p>
            <w:r>
              <w:rPr>
                <w:b w:val="false"/>
                <w:bCs w:val="false"/>
                <w:color w:val="000000"/>
                <w:sz w:val="17"/>
                <w:szCs w:val="17"/>
              </w:rPr>
              <w:t xml:space="preserve">Catalogue all existing spreadsheets, shared-drive folders, and legacy records across NPCO and state teams.</w:t>
            </w:r>
          </w:p>
        </w:tc>
        <w:tc>
          <w:tcPr>
            <w:tcW w:type="dxa" w:w="5476"/>
            <w:tcMar>
              <w:top w:type="dxa" w:w="70"/>
              <w:left w:type="dxa" w:w="90"/>
              <w:bottom w:type="dxa" w:w="70"/>
              <w:right w:type="dxa" w:w="90"/>
            </w:tcMar>
            <w:vAlign w:val="top"/>
          </w:tcPr>
          <w:p>
            <w:r>
              <w:rPr>
                <w:b w:val="false"/>
                <w:bCs w:val="false"/>
                <w:color w:val="000000"/>
                <w:sz w:val="17"/>
                <w:szCs w:val="17"/>
              </w:rPr>
              <w:t xml:space="preserve">Incomplete inventory if state teams under-report holdings; mitigated by a mandatory declaration exercise tied to Change Management (P11).</w:t>
            </w:r>
          </w:p>
        </w:tc>
      </w:tr>
      <w:tr>
        <w:tc>
          <w:tcPr>
            <w:tcW w:type="dxa" w:w="3089"/>
            <w:tcMar>
              <w:top w:type="dxa" w:w="70"/>
              <w:left w:type="dxa" w:w="90"/>
              <w:bottom w:type="dxa" w:w="70"/>
              <w:right w:type="dxa" w:w="90"/>
            </w:tcMar>
            <w:vAlign w:val="top"/>
          </w:tcPr>
          <w:p>
            <w:r>
              <w:rPr>
                <w:b/>
                <w:bCs/>
                <w:color w:val="000000"/>
                <w:sz w:val="17"/>
                <w:szCs w:val="17"/>
              </w:rPr>
              <w:t xml:space="preserve">Phase 2 — Cleansing &amp; Mapping</w:t>
            </w:r>
          </w:p>
        </w:tc>
        <w:tc>
          <w:tcPr>
            <w:tcW w:type="dxa" w:w="5476"/>
            <w:tcMar>
              <w:top w:type="dxa" w:w="70"/>
              <w:left w:type="dxa" w:w="90"/>
              <w:bottom w:type="dxa" w:w="70"/>
              <w:right w:type="dxa" w:w="90"/>
            </w:tcMar>
            <w:vAlign w:val="top"/>
          </w:tcPr>
          <w:p>
            <w:r>
              <w:rPr>
                <w:b w:val="false"/>
                <w:bCs w:val="false"/>
                <w:color w:val="000000"/>
                <w:sz w:val="17"/>
                <w:szCs w:val="17"/>
              </w:rPr>
              <w:t xml:space="preserve">Map legacy fields to the Logical Data Model; deduplicate and standardize (e.g., inconsistent state-name spellings).</w:t>
            </w:r>
          </w:p>
        </w:tc>
        <w:tc>
          <w:tcPr>
            <w:tcW w:type="dxa" w:w="5476"/>
            <w:tcMar>
              <w:top w:type="dxa" w:w="70"/>
              <w:left w:type="dxa" w:w="90"/>
              <w:bottom w:type="dxa" w:w="70"/>
              <w:right w:type="dxa" w:w="90"/>
            </w:tcMar>
            <w:vAlign w:val="top"/>
          </w:tcPr>
          <w:p>
            <w:r>
              <w:rPr>
                <w:b w:val="false"/>
                <w:bCs w:val="false"/>
                <w:color w:val="000000"/>
                <w:sz w:val="17"/>
                <w:szCs w:val="17"/>
              </w:rPr>
              <w:t xml:space="preserve">Data quality issues surfacing late; mitigated by running Data Quality rules against staged data before load.</w:t>
            </w:r>
          </w:p>
        </w:tc>
      </w:tr>
      <w:tr>
        <w:tc>
          <w:tcPr>
            <w:tcW w:type="dxa" w:w="3089"/>
            <w:tcMar>
              <w:top w:type="dxa" w:w="70"/>
              <w:left w:type="dxa" w:w="90"/>
              <w:bottom w:type="dxa" w:w="70"/>
              <w:right w:type="dxa" w:w="90"/>
            </w:tcMar>
            <w:vAlign w:val="top"/>
          </w:tcPr>
          <w:p>
            <w:r>
              <w:rPr>
                <w:b/>
                <w:bCs/>
                <w:color w:val="000000"/>
                <w:sz w:val="17"/>
                <w:szCs w:val="17"/>
              </w:rPr>
              <w:t xml:space="preserve">Phase 3 — Trial Migration</w:t>
            </w:r>
          </w:p>
        </w:tc>
        <w:tc>
          <w:tcPr>
            <w:tcW w:type="dxa" w:w="5476"/>
            <w:tcMar>
              <w:top w:type="dxa" w:w="70"/>
              <w:left w:type="dxa" w:w="90"/>
              <w:bottom w:type="dxa" w:w="70"/>
              <w:right w:type="dxa" w:w="90"/>
            </w:tcMar>
            <w:vAlign w:val="top"/>
          </w:tcPr>
          <w:p>
            <w:r>
              <w:rPr>
                <w:b w:val="false"/>
                <w:bCs w:val="false"/>
                <w:color w:val="000000"/>
                <w:sz w:val="17"/>
                <w:szCs w:val="17"/>
              </w:rPr>
              <w:t xml:space="preserve">Load a representative subset into a non-production environment; validate against Data Validation rules (below).</w:t>
            </w:r>
          </w:p>
        </w:tc>
        <w:tc>
          <w:tcPr>
            <w:tcW w:type="dxa" w:w="5476"/>
            <w:tcMar>
              <w:top w:type="dxa" w:w="70"/>
              <w:left w:type="dxa" w:w="90"/>
              <w:bottom w:type="dxa" w:w="70"/>
              <w:right w:type="dxa" w:w="90"/>
            </w:tcMar>
            <w:vAlign w:val="top"/>
          </w:tcPr>
          <w:p>
            <w:r>
              <w:rPr>
                <w:b w:val="false"/>
                <w:bCs w:val="false"/>
                <w:color w:val="000000"/>
                <w:sz w:val="17"/>
                <w:szCs w:val="17"/>
              </w:rPr>
              <w:t xml:space="preserve">Underestimating volume or malformed-data edge cases; mitigated by a dedicated trial cycle, not skipped even under schedule pressure.</w:t>
            </w:r>
          </w:p>
        </w:tc>
      </w:tr>
      <w:tr>
        <w:tc>
          <w:tcPr>
            <w:tcW w:type="dxa" w:w="3089"/>
            <w:tcMar>
              <w:top w:type="dxa" w:w="70"/>
              <w:left w:type="dxa" w:w="90"/>
              <w:bottom w:type="dxa" w:w="70"/>
              <w:right w:type="dxa" w:w="90"/>
            </w:tcMar>
            <w:vAlign w:val="top"/>
          </w:tcPr>
          <w:p>
            <w:r>
              <w:rPr>
                <w:b/>
                <w:bCs/>
                <w:color w:val="000000"/>
                <w:sz w:val="17"/>
                <w:szCs w:val="17"/>
              </w:rPr>
              <w:t xml:space="preserve">Phase 4 — Cutover Migration</w:t>
            </w:r>
          </w:p>
        </w:tc>
        <w:tc>
          <w:tcPr>
            <w:tcW w:type="dxa" w:w="5476"/>
            <w:tcMar>
              <w:top w:type="dxa" w:w="70"/>
              <w:left w:type="dxa" w:w="90"/>
              <w:bottom w:type="dxa" w:w="70"/>
              <w:right w:type="dxa" w:w="90"/>
            </w:tcMar>
            <w:vAlign w:val="top"/>
          </w:tcPr>
          <w:p>
            <w:r>
              <w:rPr>
                <w:b w:val="false"/>
                <w:bCs w:val="false"/>
                <w:color w:val="000000"/>
                <w:sz w:val="17"/>
                <w:szCs w:val="17"/>
              </w:rPr>
              <w:t xml:space="preserve">Full migration during a defined cutover window, with legacy systems frozen to read-only.</w:t>
            </w:r>
          </w:p>
        </w:tc>
        <w:tc>
          <w:tcPr>
            <w:tcW w:type="dxa" w:w="5476"/>
            <w:tcMar>
              <w:top w:type="dxa" w:w="70"/>
              <w:left w:type="dxa" w:w="90"/>
              <w:bottom w:type="dxa" w:w="70"/>
              <w:right w:type="dxa" w:w="90"/>
            </w:tcMar>
            <w:vAlign w:val="top"/>
          </w:tcPr>
          <w:p>
            <w:r>
              <w:rPr>
                <w:b w:val="false"/>
                <w:bCs w:val="false"/>
                <w:color w:val="000000"/>
                <w:sz w:val="17"/>
                <w:szCs w:val="17"/>
              </w:rPr>
              <w:t xml:space="preserve">Extended downtime; mitigated by a rehearsed runbook and a defined rollback point.</w:t>
            </w:r>
          </w:p>
        </w:tc>
      </w:tr>
      <w:tr>
        <w:tc>
          <w:tcPr>
            <w:tcW w:type="dxa" w:w="3089"/>
            <w:tcMar>
              <w:top w:type="dxa" w:w="70"/>
              <w:left w:type="dxa" w:w="90"/>
              <w:bottom w:type="dxa" w:w="70"/>
              <w:right w:type="dxa" w:w="90"/>
            </w:tcMar>
            <w:vAlign w:val="top"/>
          </w:tcPr>
          <w:p>
            <w:r>
              <w:rPr>
                <w:b/>
                <w:bCs/>
                <w:color w:val="000000"/>
                <w:sz w:val="17"/>
                <w:szCs w:val="17"/>
              </w:rPr>
              <w:t xml:space="preserve">Phase 5 — Post-Migration Reconciliation</w:t>
            </w:r>
          </w:p>
        </w:tc>
        <w:tc>
          <w:tcPr>
            <w:tcW w:type="dxa" w:w="5476"/>
            <w:tcMar>
              <w:top w:type="dxa" w:w="70"/>
              <w:left w:type="dxa" w:w="90"/>
              <w:bottom w:type="dxa" w:w="70"/>
              <w:right w:type="dxa" w:w="90"/>
            </w:tcMar>
            <w:vAlign w:val="top"/>
          </w:tcPr>
          <w:p>
            <w:r>
              <w:rPr>
                <w:b w:val="false"/>
                <w:bCs w:val="false"/>
                <w:color w:val="000000"/>
                <w:sz w:val="17"/>
                <w:szCs w:val="17"/>
              </w:rPr>
              <w:t xml:space="preserve">Reconcile record counts and spot-check content fidelity against the legacy source.</w:t>
            </w:r>
          </w:p>
        </w:tc>
        <w:tc>
          <w:tcPr>
            <w:tcW w:type="dxa" w:w="5476"/>
            <w:tcMar>
              <w:top w:type="dxa" w:w="70"/>
              <w:left w:type="dxa" w:w="90"/>
              <w:bottom w:type="dxa" w:w="70"/>
              <w:right w:type="dxa" w:w="90"/>
            </w:tcMar>
            <w:vAlign w:val="top"/>
          </w:tcPr>
          <w:p>
            <w:r>
              <w:rPr>
                <w:b w:val="false"/>
                <w:bCs w:val="false"/>
                <w:color w:val="000000"/>
                <w:sz w:val="17"/>
                <w:szCs w:val="17"/>
              </w:rPr>
              <w:t xml:space="preserve">Silent data loss; mitigated by automated count reconciliation plus manual spot-checks by each Component Lead.</w:t>
            </w:r>
          </w:p>
        </w:tc>
      </w:tr>
    </w:tbl>
    <w:p>
      <w:pPr>
        <w:pStyle w:val="Heading2"/>
        <w:spacing w:after="90" w:before="220"/>
      </w:pPr>
      <w:r>
        <w:t xml:space="preserve">9. Data Validation</w:t>
      </w:r>
    </w:p>
    <w:p>
      <w:pPr>
        <w:spacing w:after="140" w:line="264"/>
      </w:pPr>
      <w:r>
        <w:t xml:space="preserve">Data Validation specifies the rules applied at the point of data entry and at migration load, distinguishing structural validation (does the data conform to the schema) from business validation (does the data make sense given programme rules).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Validation Type</w:t>
            </w:r>
          </w:p>
        </w:tc>
        <w:tc>
          <w:tcPr>
            <w:tcW w:type="dxa" w:w="5476"/>
            <w:shd w:fill="1F3864" w:val="clear"/>
            <w:tcMar>
              <w:top w:type="dxa" w:w="70"/>
              <w:left w:type="dxa" w:w="90"/>
              <w:bottom w:type="dxa" w:w="70"/>
              <w:right w:type="dxa" w:w="90"/>
            </w:tcMar>
            <w:vAlign w:val="top"/>
          </w:tcPr>
          <w:p>
            <w:r>
              <w:rPr>
                <w:b/>
                <w:bCs/>
                <w:color w:val="FFFFFF"/>
                <w:sz w:val="17"/>
                <w:szCs w:val="17"/>
              </w:rPr>
              <w:t xml:space="preserve">Example Rule</w:t>
            </w:r>
          </w:p>
        </w:tc>
        <w:tc>
          <w:tcPr>
            <w:tcW w:type="dxa" w:w="5476"/>
            <w:shd w:fill="1F3864" w:val="clear"/>
            <w:tcMar>
              <w:top w:type="dxa" w:w="70"/>
              <w:left w:type="dxa" w:w="90"/>
              <w:bottom w:type="dxa" w:w="70"/>
              <w:right w:type="dxa" w:w="90"/>
            </w:tcMar>
            <w:vAlign w:val="top"/>
          </w:tcPr>
          <w:p>
            <w:r>
              <w:rPr>
                <w:b/>
                <w:bCs/>
                <w:color w:val="FFFFFF"/>
                <w:sz w:val="17"/>
                <w:szCs w:val="17"/>
              </w:rPr>
              <w:t xml:space="preserve">Applied At</w:t>
            </w:r>
          </w:p>
        </w:tc>
      </w:tr>
      <w:tr>
        <w:tc>
          <w:tcPr>
            <w:tcW w:type="dxa" w:w="3089"/>
            <w:tcMar>
              <w:top w:type="dxa" w:w="70"/>
              <w:left w:type="dxa" w:w="90"/>
              <w:bottom w:type="dxa" w:w="70"/>
              <w:right w:type="dxa" w:w="90"/>
            </w:tcMar>
            <w:vAlign w:val="top"/>
          </w:tcPr>
          <w:p>
            <w:r>
              <w:rPr>
                <w:b/>
                <w:bCs/>
                <w:color w:val="000000"/>
                <w:sz w:val="17"/>
                <w:szCs w:val="17"/>
              </w:rPr>
              <w:t xml:space="preserve">Structural</w:t>
            </w:r>
          </w:p>
        </w:tc>
        <w:tc>
          <w:tcPr>
            <w:tcW w:type="dxa" w:w="5476"/>
            <w:tcMar>
              <w:top w:type="dxa" w:w="70"/>
              <w:left w:type="dxa" w:w="90"/>
              <w:bottom w:type="dxa" w:w="70"/>
              <w:right w:type="dxa" w:w="90"/>
            </w:tcMar>
            <w:vAlign w:val="top"/>
          </w:tcPr>
          <w:p>
            <w:r>
              <w:rPr>
                <w:b w:val="false"/>
                <w:bCs w:val="false"/>
                <w:color w:val="000000"/>
                <w:sz w:val="17"/>
                <w:szCs w:val="17"/>
              </w:rPr>
              <w:t xml:space="preserve">Required fields present; data types correct; foreign keys resolve.</w:t>
            </w:r>
          </w:p>
        </w:tc>
        <w:tc>
          <w:tcPr>
            <w:tcW w:type="dxa" w:w="5476"/>
            <w:tcMar>
              <w:top w:type="dxa" w:w="70"/>
              <w:left w:type="dxa" w:w="90"/>
              <w:bottom w:type="dxa" w:w="70"/>
              <w:right w:type="dxa" w:w="90"/>
            </w:tcMar>
            <w:vAlign w:val="top"/>
          </w:tcPr>
          <w:p>
            <w:r>
              <w:rPr>
                <w:b w:val="false"/>
                <w:bCs w:val="false"/>
                <w:color w:val="000000"/>
                <w:sz w:val="17"/>
                <w:szCs w:val="17"/>
              </w:rPr>
              <w:t xml:space="preserve">Application form layer and database constraints</w:t>
            </w:r>
          </w:p>
        </w:tc>
      </w:tr>
      <w:tr>
        <w:tc>
          <w:tcPr>
            <w:tcW w:type="dxa" w:w="3089"/>
            <w:tcMar>
              <w:top w:type="dxa" w:w="70"/>
              <w:left w:type="dxa" w:w="90"/>
              <w:bottom w:type="dxa" w:w="70"/>
              <w:right w:type="dxa" w:w="90"/>
            </w:tcMar>
            <w:vAlign w:val="top"/>
          </w:tcPr>
          <w:p>
            <w:r>
              <w:rPr>
                <w:b/>
                <w:bCs/>
                <w:color w:val="000000"/>
                <w:sz w:val="17"/>
                <w:szCs w:val="17"/>
              </w:rPr>
              <w:t xml:space="preserve">Business Rule</w:t>
            </w:r>
          </w:p>
        </w:tc>
        <w:tc>
          <w:tcPr>
            <w:tcW w:type="dxa" w:w="5476"/>
            <w:tcMar>
              <w:top w:type="dxa" w:w="70"/>
              <w:left w:type="dxa" w:w="90"/>
              <w:bottom w:type="dxa" w:w="70"/>
              <w:right w:type="dxa" w:w="90"/>
            </w:tcMar>
            <w:vAlign w:val="top"/>
          </w:tcPr>
          <w:p>
            <w:r>
              <w:rPr>
                <w:b w:val="false"/>
                <w:bCs w:val="false"/>
                <w:color w:val="000000"/>
                <w:sz w:val="17"/>
                <w:szCs w:val="17"/>
              </w:rPr>
              <w:t xml:space="preserve">A project's end_date must not precede its start_date; budget must be non-negative.</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validation</w:t>
            </w:r>
          </w:p>
        </w:tc>
      </w:tr>
      <w:tr>
        <w:tc>
          <w:tcPr>
            <w:tcW w:type="dxa" w:w="3089"/>
            <w:tcMar>
              <w:top w:type="dxa" w:w="70"/>
              <w:left w:type="dxa" w:w="90"/>
              <w:bottom w:type="dxa" w:w="70"/>
              <w:right w:type="dxa" w:w="90"/>
            </w:tcMar>
            <w:vAlign w:val="top"/>
          </w:tcPr>
          <w:p>
            <w:r>
              <w:rPr>
                <w:b/>
                <w:bCs/>
                <w:color w:val="000000"/>
                <w:sz w:val="17"/>
                <w:szCs w:val="17"/>
              </w:rPr>
              <w:t xml:space="preserve">Referential</w:t>
            </w:r>
          </w:p>
        </w:tc>
        <w:tc>
          <w:tcPr>
            <w:tcW w:type="dxa" w:w="5476"/>
            <w:tcMar>
              <w:top w:type="dxa" w:w="70"/>
              <w:left w:type="dxa" w:w="90"/>
              <w:bottom w:type="dxa" w:w="70"/>
              <w:right w:type="dxa" w:w="90"/>
            </w:tcMar>
            <w:vAlign w:val="top"/>
          </w:tcPr>
          <w:p>
            <w:r>
              <w:rPr>
                <w:b w:val="false"/>
                <w:bCs w:val="false"/>
                <w:color w:val="000000"/>
                <w:sz w:val="17"/>
                <w:szCs w:val="17"/>
              </w:rPr>
              <w:t xml:space="preserve">A Task's project_id must reference an existing, non-closed Project.</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validation plus database foreign key</w:t>
            </w:r>
          </w:p>
        </w:tc>
      </w:tr>
      <w:tr>
        <w:tc>
          <w:tcPr>
            <w:tcW w:type="dxa" w:w="3089"/>
            <w:tcMar>
              <w:top w:type="dxa" w:w="70"/>
              <w:left w:type="dxa" w:w="90"/>
              <w:bottom w:type="dxa" w:w="70"/>
              <w:right w:type="dxa" w:w="90"/>
            </w:tcMar>
            <w:vAlign w:val="top"/>
          </w:tcPr>
          <w:p>
            <w:r>
              <w:rPr>
                <w:b/>
                <w:bCs/>
                <w:color w:val="000000"/>
                <w:sz w:val="17"/>
                <w:szCs w:val="17"/>
              </w:rPr>
              <w:t xml:space="preserve">Cross-Field Consistency</w:t>
            </w:r>
          </w:p>
        </w:tc>
        <w:tc>
          <w:tcPr>
            <w:tcW w:type="dxa" w:w="5476"/>
            <w:tcMar>
              <w:top w:type="dxa" w:w="70"/>
              <w:left w:type="dxa" w:w="90"/>
              <w:bottom w:type="dxa" w:w="70"/>
              <w:right w:type="dxa" w:w="90"/>
            </w:tcMar>
            <w:vAlign w:val="top"/>
          </w:tcPr>
          <w:p>
            <w:r>
              <w:rPr>
                <w:b w:val="false"/>
                <w:bCs w:val="false"/>
                <w:color w:val="000000"/>
                <w:sz w:val="17"/>
                <w:szCs w:val="17"/>
              </w:rPr>
              <w:t xml:space="preserve">A Document marked Restricted classification cannot be linked to a Public-tagged Knowledge Asset.</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business rule (see Data Quality, above)</w:t>
            </w:r>
          </w:p>
        </w:tc>
      </w:tr>
      <w:tr>
        <w:tc>
          <w:tcPr>
            <w:tcW w:type="dxa" w:w="3089"/>
            <w:tcMar>
              <w:top w:type="dxa" w:w="70"/>
              <w:left w:type="dxa" w:w="90"/>
              <w:bottom w:type="dxa" w:w="70"/>
              <w:right w:type="dxa" w:w="90"/>
            </w:tcMar>
            <w:vAlign w:val="top"/>
          </w:tcPr>
          <w:p>
            <w:r>
              <w:rPr>
                <w:b/>
                <w:bCs/>
                <w:color w:val="000000"/>
                <w:sz w:val="17"/>
                <w:szCs w:val="17"/>
              </w:rPr>
              <w:t xml:space="preserve">Migration-Specific</w:t>
            </w:r>
          </w:p>
        </w:tc>
        <w:tc>
          <w:tcPr>
            <w:tcW w:type="dxa" w:w="5476"/>
            <w:tcMar>
              <w:top w:type="dxa" w:w="70"/>
              <w:left w:type="dxa" w:w="90"/>
              <w:bottom w:type="dxa" w:w="70"/>
              <w:right w:type="dxa" w:w="90"/>
            </w:tcMar>
            <w:vAlign w:val="top"/>
          </w:tcPr>
          <w:p>
            <w:r>
              <w:rPr>
                <w:b w:val="false"/>
                <w:bCs w:val="false"/>
                <w:color w:val="000000"/>
                <w:sz w:val="17"/>
                <w:szCs w:val="17"/>
              </w:rPr>
              <w:t xml:space="preserve">Migrated record counts match source system counts within an agreed tolerance.</w:t>
            </w:r>
          </w:p>
        </w:tc>
        <w:tc>
          <w:tcPr>
            <w:tcW w:type="dxa" w:w="5476"/>
            <w:tcMar>
              <w:top w:type="dxa" w:w="70"/>
              <w:left w:type="dxa" w:w="90"/>
              <w:bottom w:type="dxa" w:w="70"/>
              <w:right w:type="dxa" w:w="90"/>
            </w:tcMar>
            <w:vAlign w:val="top"/>
          </w:tcPr>
          <w:p>
            <w:r>
              <w:rPr>
                <w:b w:val="false"/>
                <w:bCs w:val="false"/>
                <w:color w:val="000000"/>
                <w:sz w:val="17"/>
                <w:szCs w:val="17"/>
              </w:rPr>
              <w:t xml:space="preserve">Migration reconciliation step (Phase 5, above)</w:t>
            </w:r>
          </w:p>
        </w:tc>
      </w:tr>
    </w:tbl>
    <w:p>
      <w:pPr>
        <w:pStyle w:val="Heading1"/>
        <w:spacing w:after="130" w:before="300"/>
      </w:pPr>
      <w:r>
        <w:t xml:space="preserve">Band 3 — Data Protection</w:t>
      </w:r>
    </w:p>
    <w:p>
      <w:pPr>
        <w:pStyle w:val="Heading2"/>
        <w:spacing w:after="90" w:before="220"/>
      </w:pPr>
      <w:r>
        <w:t xml:space="preserve">10. Data Security</w:t>
      </w:r>
    </w:p>
    <w:p>
      <w:pPr>
        <w:spacing w:after="140" w:line="264"/>
      </w:pPr>
      <w:r>
        <w:t xml:space="preserve">Data Security implements the Classification scheme and access-control principles from Part 6 at the data-platform level — encryption, access enforcement, and monitoring — consistent with ISO 27001 and Part 1's Security-by-Design principle.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Security Control</w:t>
            </w:r>
          </w:p>
        </w:tc>
        <w:tc>
          <w:tcPr>
            <w:tcW w:type="dxa" w:w="5476"/>
            <w:shd w:fill="1F3864" w:val="clear"/>
            <w:tcMar>
              <w:top w:type="dxa" w:w="70"/>
              <w:left w:type="dxa" w:w="90"/>
              <w:bottom w:type="dxa" w:w="70"/>
              <w:right w:type="dxa" w:w="90"/>
            </w:tcMar>
            <w:vAlign w:val="top"/>
          </w:tcPr>
          <w:p>
            <w:r>
              <w:rPr>
                <w:b/>
                <w:bCs/>
                <w:color w:val="FFFFFF"/>
                <w:sz w:val="17"/>
                <w:szCs w:val="17"/>
              </w:rPr>
              <w:t xml:space="preserve">Applies To</w:t>
            </w:r>
          </w:p>
        </w:tc>
        <w:tc>
          <w:tcPr>
            <w:tcW w:type="dxa" w:w="5476"/>
            <w:shd w:fill="1F3864" w:val="clear"/>
            <w:tcMar>
              <w:top w:type="dxa" w:w="70"/>
              <w:left w:type="dxa" w:w="90"/>
              <w:bottom w:type="dxa" w:w="70"/>
              <w:right w:type="dxa" w:w="90"/>
            </w:tcMar>
            <w:vAlign w:val="top"/>
          </w:tcPr>
          <w:p>
            <w:r>
              <w:rPr>
                <w:b/>
                <w:bCs/>
                <w:color w:val="FFFFFF"/>
                <w:sz w:val="17"/>
                <w:szCs w:val="17"/>
              </w:rPr>
              <w:t xml:space="preserve">Implementation</w:t>
            </w:r>
          </w:p>
        </w:tc>
      </w:tr>
      <w:tr>
        <w:tc>
          <w:tcPr>
            <w:tcW w:type="dxa" w:w="3089"/>
            <w:tcMar>
              <w:top w:type="dxa" w:w="70"/>
              <w:left w:type="dxa" w:w="90"/>
              <w:bottom w:type="dxa" w:w="70"/>
              <w:right w:type="dxa" w:w="90"/>
            </w:tcMar>
            <w:vAlign w:val="top"/>
          </w:tcPr>
          <w:p>
            <w:r>
              <w:rPr>
                <w:b/>
                <w:bCs/>
                <w:color w:val="000000"/>
                <w:sz w:val="17"/>
                <w:szCs w:val="17"/>
              </w:rPr>
              <w:t xml:space="preserve">Encryption at rest</w:t>
            </w:r>
          </w:p>
        </w:tc>
        <w:tc>
          <w:tcPr>
            <w:tcW w:type="dxa" w:w="5476"/>
            <w:tcMar>
              <w:top w:type="dxa" w:w="70"/>
              <w:left w:type="dxa" w:w="90"/>
              <w:bottom w:type="dxa" w:w="70"/>
              <w:right w:type="dxa" w:w="90"/>
            </w:tcMar>
            <w:vAlign w:val="top"/>
          </w:tcPr>
          <w:p>
            <w:r>
              <w:rPr>
                <w:b w:val="false"/>
                <w:bCs w:val="false"/>
                <w:color w:val="000000"/>
                <w:sz w:val="17"/>
                <w:szCs w:val="17"/>
              </w:rPr>
              <w:t xml:space="preserve">All persistent data stores (relational database, document store, data warehouse, search index).</w:t>
            </w:r>
          </w:p>
        </w:tc>
        <w:tc>
          <w:tcPr>
            <w:tcW w:type="dxa" w:w="5476"/>
            <w:tcMar>
              <w:top w:type="dxa" w:w="70"/>
              <w:left w:type="dxa" w:w="90"/>
              <w:bottom w:type="dxa" w:w="70"/>
              <w:right w:type="dxa" w:w="90"/>
            </w:tcMar>
            <w:vAlign w:val="top"/>
          </w:tcPr>
          <w:p>
            <w:r>
              <w:rPr>
                <w:b w:val="false"/>
                <w:bCs w:val="false"/>
                <w:color w:val="000000"/>
                <w:sz w:val="17"/>
                <w:szCs w:val="17"/>
              </w:rPr>
              <w:t xml:space="preserve">Storage-level encryption using platform-managed or customer-managed keys.</w:t>
            </w:r>
          </w:p>
        </w:tc>
      </w:tr>
      <w:tr>
        <w:tc>
          <w:tcPr>
            <w:tcW w:type="dxa" w:w="3089"/>
            <w:tcMar>
              <w:top w:type="dxa" w:w="70"/>
              <w:left w:type="dxa" w:w="90"/>
              <w:bottom w:type="dxa" w:w="70"/>
              <w:right w:type="dxa" w:w="90"/>
            </w:tcMar>
            <w:vAlign w:val="top"/>
          </w:tcPr>
          <w:p>
            <w:r>
              <w:rPr>
                <w:b/>
                <w:bCs/>
                <w:color w:val="000000"/>
                <w:sz w:val="17"/>
                <w:szCs w:val="17"/>
              </w:rPr>
              <w:t xml:space="preserve">Encryption in transit</w:t>
            </w:r>
          </w:p>
        </w:tc>
        <w:tc>
          <w:tcPr>
            <w:tcW w:type="dxa" w:w="5476"/>
            <w:tcMar>
              <w:top w:type="dxa" w:w="70"/>
              <w:left w:type="dxa" w:w="90"/>
              <w:bottom w:type="dxa" w:w="70"/>
              <w:right w:type="dxa" w:w="90"/>
            </w:tcMar>
            <w:vAlign w:val="top"/>
          </w:tcPr>
          <w:p>
            <w:r>
              <w:rPr>
                <w:b w:val="false"/>
                <w:bCs w:val="false"/>
                <w:color w:val="000000"/>
                <w:sz w:val="17"/>
                <w:szCs w:val="17"/>
              </w:rPr>
              <w:t xml:space="preserve">All internal and external data movement.</w:t>
            </w:r>
          </w:p>
        </w:tc>
        <w:tc>
          <w:tcPr>
            <w:tcW w:type="dxa" w:w="5476"/>
            <w:tcMar>
              <w:top w:type="dxa" w:w="70"/>
              <w:left w:type="dxa" w:w="90"/>
              <w:bottom w:type="dxa" w:w="70"/>
              <w:right w:type="dxa" w:w="90"/>
            </w:tcMar>
            <w:vAlign w:val="top"/>
          </w:tcPr>
          <w:p>
            <w:r>
              <w:rPr>
                <w:b w:val="false"/>
                <w:bCs w:val="false"/>
                <w:color w:val="000000"/>
                <w:sz w:val="17"/>
                <w:szCs w:val="17"/>
              </w:rPr>
              <w:t xml:space="preserve">TLS for all API, database, and pipeline connections.</w:t>
            </w:r>
          </w:p>
        </w:tc>
      </w:tr>
      <w:tr>
        <w:tc>
          <w:tcPr>
            <w:tcW w:type="dxa" w:w="3089"/>
            <w:tcMar>
              <w:top w:type="dxa" w:w="70"/>
              <w:left w:type="dxa" w:w="90"/>
              <w:bottom w:type="dxa" w:w="70"/>
              <w:right w:type="dxa" w:w="90"/>
            </w:tcMar>
            <w:vAlign w:val="top"/>
          </w:tcPr>
          <w:p>
            <w:r>
              <w:rPr>
                <w:b/>
                <w:bCs/>
                <w:color w:val="000000"/>
                <w:sz w:val="17"/>
                <w:szCs w:val="17"/>
              </w:rPr>
              <w:t xml:space="preserve">Field-level encryption</w:t>
            </w:r>
          </w:p>
        </w:tc>
        <w:tc>
          <w:tcPr>
            <w:tcW w:type="dxa" w:w="5476"/>
            <w:tcMar>
              <w:top w:type="dxa" w:w="70"/>
              <w:left w:type="dxa" w:w="90"/>
              <w:bottom w:type="dxa" w:w="70"/>
              <w:right w:type="dxa" w:w="90"/>
            </w:tcMar>
            <w:vAlign w:val="top"/>
          </w:tcPr>
          <w:p>
            <w:r>
              <w:rPr>
                <w:b w:val="false"/>
                <w:bCs w:val="false"/>
                <w:color w:val="000000"/>
                <w:sz w:val="17"/>
                <w:szCs w:val="17"/>
              </w:rPr>
              <w:t xml:space="preserve">Restricted-classification fields (e.g., pre-award evaluation scores).</w:t>
            </w:r>
          </w:p>
        </w:tc>
        <w:tc>
          <w:tcPr>
            <w:tcW w:type="dxa" w:w="5476"/>
            <w:tcMar>
              <w:top w:type="dxa" w:w="70"/>
              <w:left w:type="dxa" w:w="90"/>
              <w:bottom w:type="dxa" w:w="70"/>
              <w:right w:type="dxa" w:w="90"/>
            </w:tcMar>
            <w:vAlign w:val="top"/>
          </w:tcPr>
          <w:p>
            <w:r>
              <w:rPr>
                <w:b w:val="false"/>
                <w:bCs w:val="false"/>
                <w:color w:val="000000"/>
                <w:sz w:val="17"/>
                <w:szCs w:val="17"/>
              </w:rPr>
              <w:t xml:space="preserve">Application-level encryption for specific sensitive fields, beyond storage-level encryption.</w:t>
            </w:r>
          </w:p>
        </w:tc>
      </w:tr>
      <w:tr>
        <w:tc>
          <w:tcPr>
            <w:tcW w:type="dxa" w:w="3089"/>
            <w:tcMar>
              <w:top w:type="dxa" w:w="70"/>
              <w:left w:type="dxa" w:w="90"/>
              <w:bottom w:type="dxa" w:w="70"/>
              <w:right w:type="dxa" w:w="90"/>
            </w:tcMar>
            <w:vAlign w:val="top"/>
          </w:tcPr>
          <w:p>
            <w:r>
              <w:rPr>
                <w:b/>
                <w:bCs/>
                <w:color w:val="000000"/>
                <w:sz w:val="17"/>
                <w:szCs w:val="17"/>
              </w:rPr>
              <w:t xml:space="preserve">Access enforcement</w:t>
            </w:r>
          </w:p>
        </w:tc>
        <w:tc>
          <w:tcPr>
            <w:tcW w:type="dxa" w:w="5476"/>
            <w:tcMar>
              <w:top w:type="dxa" w:w="70"/>
              <w:left w:type="dxa" w:w="90"/>
              <w:bottom w:type="dxa" w:w="70"/>
              <w:right w:type="dxa" w:w="90"/>
            </w:tcMar>
            <w:vAlign w:val="top"/>
          </w:tcPr>
          <w:p>
            <w:r>
              <w:rPr>
                <w:b w:val="false"/>
                <w:bCs w:val="false"/>
                <w:color w:val="000000"/>
                <w:sz w:val="17"/>
                <w:szCs w:val="17"/>
              </w:rPr>
              <w:t xml:space="preserve">Every query against classified data.</w:t>
            </w:r>
          </w:p>
        </w:tc>
        <w:tc>
          <w:tcPr>
            <w:tcW w:type="dxa" w:w="5476"/>
            <w:tcMar>
              <w:top w:type="dxa" w:w="70"/>
              <w:left w:type="dxa" w:w="90"/>
              <w:bottom w:type="dxa" w:w="70"/>
              <w:right w:type="dxa" w:w="90"/>
            </w:tcMar>
            <w:vAlign w:val="top"/>
          </w:tcPr>
          <w:p>
            <w:r>
              <w:rPr>
                <w:b w:val="false"/>
                <w:bCs w:val="false"/>
                <w:color w:val="000000"/>
                <w:sz w:val="17"/>
                <w:szCs w:val="17"/>
              </w:rPr>
              <w:t xml:space="preserve">Row-level and column-level security tied to Identity Management roles, per the Classification tier.</w:t>
            </w:r>
          </w:p>
        </w:tc>
      </w:tr>
      <w:tr>
        <w:tc>
          <w:tcPr>
            <w:tcW w:type="dxa" w:w="3089"/>
            <w:tcMar>
              <w:top w:type="dxa" w:w="70"/>
              <w:left w:type="dxa" w:w="90"/>
              <w:bottom w:type="dxa" w:w="70"/>
              <w:right w:type="dxa" w:w="90"/>
            </w:tcMar>
            <w:vAlign w:val="top"/>
          </w:tcPr>
          <w:p>
            <w:r>
              <w:rPr>
                <w:b/>
                <w:bCs/>
                <w:color w:val="000000"/>
                <w:sz w:val="17"/>
                <w:szCs w:val="17"/>
              </w:rPr>
              <w:t xml:space="preserve">Database activity monitoring</w:t>
            </w:r>
          </w:p>
        </w:tc>
        <w:tc>
          <w:tcPr>
            <w:tcW w:type="dxa" w:w="5476"/>
            <w:tcMar>
              <w:top w:type="dxa" w:w="70"/>
              <w:left w:type="dxa" w:w="90"/>
              <w:bottom w:type="dxa" w:w="70"/>
              <w:right w:type="dxa" w:w="90"/>
            </w:tcMar>
            <w:vAlign w:val="top"/>
          </w:tcPr>
          <w:p>
            <w:r>
              <w:rPr>
                <w:b w:val="false"/>
                <w:bCs w:val="false"/>
                <w:color w:val="000000"/>
                <w:sz w:val="17"/>
                <w:szCs w:val="17"/>
              </w:rPr>
              <w:t xml:space="preserve">All production data stores.</w:t>
            </w:r>
          </w:p>
        </w:tc>
        <w:tc>
          <w:tcPr>
            <w:tcW w:type="dxa" w:w="5476"/>
            <w:tcMar>
              <w:top w:type="dxa" w:w="70"/>
              <w:left w:type="dxa" w:w="90"/>
              <w:bottom w:type="dxa" w:w="70"/>
              <w:right w:type="dxa" w:w="90"/>
            </w:tcMar>
            <w:vAlign w:val="top"/>
          </w:tcPr>
          <w:p>
            <w:r>
              <w:rPr>
                <w:b w:val="false"/>
                <w:bCs w:val="false"/>
                <w:color w:val="000000"/>
                <w:sz w:val="17"/>
                <w:szCs w:val="17"/>
              </w:rPr>
              <w:t xml:space="preserve">Query and access logging feeding the Audit module (Part 5, Module 23).</w:t>
            </w:r>
          </w:p>
        </w:tc>
      </w:tr>
    </w:tbl>
    <w:p>
      <w:pPr>
        <w:pStyle w:val="Heading2"/>
        <w:spacing w:after="90" w:before="220"/>
      </w:pPr>
      <w:r>
        <w:t xml:space="preserve">11. Data Privacy</w:t>
      </w:r>
    </w:p>
    <w:p>
      <w:pPr>
        <w:spacing w:after="140" w:line="264"/>
      </w:pPr>
      <w:r>
        <w:t xml:space="preserve">Data Privacy addresses the personal-data protection obligations relevant to any user or beneficiary information the platform holds, principally under Nigeria's Data Protection Act 2023 and the Nigeria Data Protection Regulation, and by extension the comparable expectations of AfDB, IFAD, and IsDB as co-financiers. This section should be treated as a starting framework, to be confirmed against current NDPC guidance and each donor's specific data-protection requirements at implementation time.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Privacy Principle</w:t>
            </w:r>
          </w:p>
        </w:tc>
        <w:tc>
          <w:tcPr>
            <w:tcW w:type="dxa" w:w="10951"/>
            <w:shd w:fill="1F3864" w:val="clear"/>
            <w:tcMar>
              <w:top w:type="dxa" w:w="70"/>
              <w:left w:type="dxa" w:w="90"/>
              <w:bottom w:type="dxa" w:w="70"/>
              <w:right w:type="dxa" w:w="90"/>
            </w:tcMar>
            <w:vAlign w:val="top"/>
          </w:tcPr>
          <w:p>
            <w:r>
              <w:rPr>
                <w:b/>
                <w:bCs/>
                <w:color w:val="FFFFFF"/>
                <w:sz w:val="17"/>
                <w:szCs w:val="17"/>
              </w:rPr>
              <w:t xml:space="preserve">Platform Implementation</w:t>
            </w:r>
          </w:p>
        </w:tc>
      </w:tr>
      <w:tr>
        <w:tc>
          <w:tcPr>
            <w:tcW w:type="dxa" w:w="3089"/>
            <w:tcMar>
              <w:top w:type="dxa" w:w="70"/>
              <w:left w:type="dxa" w:w="90"/>
              <w:bottom w:type="dxa" w:w="70"/>
              <w:right w:type="dxa" w:w="90"/>
            </w:tcMar>
            <w:vAlign w:val="top"/>
          </w:tcPr>
          <w:p>
            <w:r>
              <w:rPr>
                <w:b/>
                <w:bCs/>
                <w:color w:val="000000"/>
                <w:sz w:val="17"/>
                <w:szCs w:val="17"/>
              </w:rPr>
              <w:t xml:space="preserve">Lawful basis and purpose limitation</w:t>
            </w:r>
          </w:p>
        </w:tc>
        <w:tc>
          <w:tcPr>
            <w:tcW w:type="dxa" w:w="10951"/>
            <w:tcMar>
              <w:top w:type="dxa" w:w="70"/>
              <w:left w:type="dxa" w:w="90"/>
              <w:bottom w:type="dxa" w:w="70"/>
              <w:right w:type="dxa" w:w="90"/>
            </w:tcMar>
            <w:vAlign w:val="top"/>
          </w:tcPr>
          <w:p>
            <w:r>
              <w:rPr>
                <w:b w:val="false"/>
                <w:bCs w:val="false"/>
                <w:color w:val="000000"/>
                <w:sz w:val="17"/>
                <w:szCs w:val="17"/>
              </w:rPr>
              <w:t xml:space="preserve">User and stakeholder data collected only for defined programme-management purposes, documented in a data processing register.</w:t>
            </w:r>
          </w:p>
        </w:tc>
      </w:tr>
      <w:tr>
        <w:tc>
          <w:tcPr>
            <w:tcW w:type="dxa" w:w="3089"/>
            <w:tcMar>
              <w:top w:type="dxa" w:w="70"/>
              <w:left w:type="dxa" w:w="90"/>
              <w:bottom w:type="dxa" w:w="70"/>
              <w:right w:type="dxa" w:w="90"/>
            </w:tcMar>
            <w:vAlign w:val="top"/>
          </w:tcPr>
          <w:p>
            <w:r>
              <w:rPr>
                <w:b/>
                <w:bCs/>
                <w:color w:val="000000"/>
                <w:sz w:val="17"/>
                <w:szCs w:val="17"/>
              </w:rPr>
              <w:t xml:space="preserve">Data minimization</w:t>
            </w:r>
          </w:p>
        </w:tc>
        <w:tc>
          <w:tcPr>
            <w:tcW w:type="dxa" w:w="10951"/>
            <w:tcMar>
              <w:top w:type="dxa" w:w="70"/>
              <w:left w:type="dxa" w:w="90"/>
              <w:bottom w:type="dxa" w:w="70"/>
              <w:right w:type="dxa" w:w="90"/>
            </w:tcMar>
            <w:vAlign w:val="top"/>
          </w:tcPr>
          <w:p>
            <w:r>
              <w:rPr>
                <w:b w:val="false"/>
                <w:bCs w:val="false"/>
                <w:color w:val="000000"/>
                <w:sz w:val="17"/>
                <w:szCs w:val="17"/>
              </w:rPr>
              <w:t xml:space="preserve">The Logical Data Model deliberately excludes fields not needed for programme management (e.g., no unnecessary demographic data collection).</w:t>
            </w:r>
          </w:p>
        </w:tc>
      </w:tr>
      <w:tr>
        <w:tc>
          <w:tcPr>
            <w:tcW w:type="dxa" w:w="3089"/>
            <w:tcMar>
              <w:top w:type="dxa" w:w="70"/>
              <w:left w:type="dxa" w:w="90"/>
              <w:bottom w:type="dxa" w:w="70"/>
              <w:right w:type="dxa" w:w="90"/>
            </w:tcMar>
            <w:vAlign w:val="top"/>
          </w:tcPr>
          <w:p>
            <w:r>
              <w:rPr>
                <w:b/>
                <w:bCs/>
                <w:color w:val="000000"/>
                <w:sz w:val="17"/>
                <w:szCs w:val="17"/>
              </w:rPr>
              <w:t xml:space="preserve">Consent and notice</w:t>
            </w:r>
          </w:p>
        </w:tc>
        <w:tc>
          <w:tcPr>
            <w:tcW w:type="dxa" w:w="10951"/>
            <w:tcMar>
              <w:top w:type="dxa" w:w="70"/>
              <w:left w:type="dxa" w:w="90"/>
              <w:bottom w:type="dxa" w:w="70"/>
              <w:right w:type="dxa" w:w="90"/>
            </w:tcMar>
            <w:vAlign w:val="top"/>
          </w:tcPr>
          <w:p>
            <w:r>
              <w:rPr>
                <w:b w:val="false"/>
                <w:bCs w:val="false"/>
                <w:color w:val="000000"/>
                <w:sz w:val="17"/>
                <w:szCs w:val="17"/>
              </w:rPr>
              <w:t xml:space="preserve">Where the Public Portal collects stakeholder feedback, a clear notice of use is presented at the point of collection.</w:t>
            </w:r>
          </w:p>
        </w:tc>
      </w:tr>
      <w:tr>
        <w:tc>
          <w:tcPr>
            <w:tcW w:type="dxa" w:w="3089"/>
            <w:tcMar>
              <w:top w:type="dxa" w:w="70"/>
              <w:left w:type="dxa" w:w="90"/>
              <w:bottom w:type="dxa" w:w="70"/>
              <w:right w:type="dxa" w:w="90"/>
            </w:tcMar>
            <w:vAlign w:val="top"/>
          </w:tcPr>
          <w:p>
            <w:r>
              <w:rPr>
                <w:b/>
                <w:bCs/>
                <w:color w:val="000000"/>
                <w:sz w:val="17"/>
                <w:szCs w:val="17"/>
              </w:rPr>
              <w:t xml:space="preserve">Data subject rights</w:t>
            </w:r>
          </w:p>
        </w:tc>
        <w:tc>
          <w:tcPr>
            <w:tcW w:type="dxa" w:w="10951"/>
            <w:tcMar>
              <w:top w:type="dxa" w:w="70"/>
              <w:left w:type="dxa" w:w="90"/>
              <w:bottom w:type="dxa" w:w="70"/>
              <w:right w:type="dxa" w:w="90"/>
            </w:tcMar>
            <w:vAlign w:val="top"/>
          </w:tcPr>
          <w:p>
            <w:r>
              <w:rPr>
                <w:b w:val="false"/>
                <w:bCs w:val="false"/>
                <w:color w:val="000000"/>
                <w:sz w:val="17"/>
                <w:szCs w:val="17"/>
              </w:rPr>
              <w:t xml:space="preserve">Identity Management supports access, correction, and deletion requests for personal data, subject to Records Management retention obligations.</w:t>
            </w:r>
          </w:p>
        </w:tc>
      </w:tr>
      <w:tr>
        <w:tc>
          <w:tcPr>
            <w:tcW w:type="dxa" w:w="3089"/>
            <w:tcMar>
              <w:top w:type="dxa" w:w="70"/>
              <w:left w:type="dxa" w:w="90"/>
              <w:bottom w:type="dxa" w:w="70"/>
              <w:right w:type="dxa" w:w="90"/>
            </w:tcMar>
            <w:vAlign w:val="top"/>
          </w:tcPr>
          <w:p>
            <w:r>
              <w:rPr>
                <w:b/>
                <w:bCs/>
                <w:color w:val="000000"/>
                <w:sz w:val="17"/>
                <w:szCs w:val="17"/>
              </w:rPr>
              <w:t xml:space="preserve">Data Protection Officer designation</w:t>
            </w:r>
          </w:p>
        </w:tc>
        <w:tc>
          <w:tcPr>
            <w:tcW w:type="dxa" w:w="10951"/>
            <w:tcMar>
              <w:top w:type="dxa" w:w="70"/>
              <w:left w:type="dxa" w:w="90"/>
              <w:bottom w:type="dxa" w:w="70"/>
              <w:right w:type="dxa" w:w="90"/>
            </w:tcMar>
            <w:vAlign w:val="top"/>
          </w:tcPr>
          <w:p>
            <w:r>
              <w:rPr>
                <w:b w:val="false"/>
                <w:bCs w:val="false"/>
                <w:color w:val="000000"/>
                <w:sz w:val="17"/>
                <w:szCs w:val="17"/>
              </w:rPr>
              <w:t xml:space="preserve">NPCO to designate a Data Protection Officer role, coordinating with the Data &amp; Content Governance Board established in Part 2.</w:t>
            </w:r>
          </w:p>
        </w:tc>
      </w:tr>
      <w:tr>
        <w:tc>
          <w:tcPr>
            <w:tcW w:type="dxa" w:w="3089"/>
            <w:tcMar>
              <w:top w:type="dxa" w:w="70"/>
              <w:left w:type="dxa" w:w="90"/>
              <w:bottom w:type="dxa" w:w="70"/>
              <w:right w:type="dxa" w:w="90"/>
            </w:tcMar>
            <w:vAlign w:val="top"/>
          </w:tcPr>
          <w:p>
            <w:r>
              <w:rPr>
                <w:b/>
                <w:bCs/>
                <w:color w:val="000000"/>
                <w:sz w:val="17"/>
                <w:szCs w:val="17"/>
              </w:rPr>
              <w:t xml:space="preserve">Cross-border data transfer</w:t>
            </w:r>
          </w:p>
        </w:tc>
        <w:tc>
          <w:tcPr>
            <w:tcW w:type="dxa" w:w="10951"/>
            <w:tcMar>
              <w:top w:type="dxa" w:w="70"/>
              <w:left w:type="dxa" w:w="90"/>
              <w:bottom w:type="dxa" w:w="70"/>
              <w:right w:type="dxa" w:w="90"/>
            </w:tcMar>
            <w:vAlign w:val="top"/>
          </w:tcPr>
          <w:p>
            <w:r>
              <w:rPr>
                <w:b w:val="false"/>
                <w:bCs w:val="false"/>
                <w:color w:val="000000"/>
                <w:sz w:val="17"/>
                <w:szCs w:val="17"/>
              </w:rPr>
              <w:t xml:space="preserve">Where hosting infrastructure is not Nigeria-based, transfer safeguards under NDPR are to be confirmed and documented before go-live.</w:t>
            </w:r>
          </w:p>
        </w:tc>
      </w:tr>
    </w:tbl>
    <w:p>
      <w:pPr>
        <w:pStyle w:val="Heading2"/>
        <w:spacing w:after="90" w:before="220"/>
      </w:pPr>
      <w:r>
        <w:t xml:space="preserve">12. Backup</w:t>
      </w:r>
    </w:p>
    <w:p>
      <w:pPr>
        <w:spacing w:after="140" w:line="264"/>
      </w:pPr>
      <w:r>
        <w:t xml:space="preserve">Backup defines the platform's protection against data loss from failure, error, or corruption, expressed as concrete objectives for each Data Domain rather than a single platform-wide statement.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Data Domain / Store</w:t>
            </w:r>
          </w:p>
        </w:tc>
        <w:tc>
          <w:tcPr>
            <w:tcW w:type="dxa" w:w="5476"/>
            <w:shd w:fill="1F3864" w:val="clear"/>
            <w:tcMar>
              <w:top w:type="dxa" w:w="70"/>
              <w:left w:type="dxa" w:w="90"/>
              <w:bottom w:type="dxa" w:w="70"/>
              <w:right w:type="dxa" w:w="90"/>
            </w:tcMar>
            <w:vAlign w:val="top"/>
          </w:tcPr>
          <w:p>
            <w:r>
              <w:rPr>
                <w:b/>
                <w:bCs/>
                <w:color w:val="FFFFFF"/>
                <w:sz w:val="17"/>
                <w:szCs w:val="17"/>
              </w:rPr>
              <w:t xml:space="preserve">Backup Frequency</w:t>
            </w:r>
          </w:p>
        </w:tc>
        <w:tc>
          <w:tcPr>
            <w:tcW w:type="dxa" w:w="5476"/>
            <w:shd w:fill="1F3864" w:val="clear"/>
            <w:tcMar>
              <w:top w:type="dxa" w:w="70"/>
              <w:left w:type="dxa" w:w="90"/>
              <w:bottom w:type="dxa" w:w="70"/>
              <w:right w:type="dxa" w:w="90"/>
            </w:tcMar>
            <w:vAlign w:val="top"/>
          </w:tcPr>
          <w:p>
            <w:r>
              <w:rPr>
                <w:b/>
                <w:bCs/>
                <w:color w:val="FFFFFF"/>
                <w:sz w:val="17"/>
                <w:szCs w:val="17"/>
              </w:rPr>
              <w:t xml:space="preserve">Retention of Backups</w:t>
            </w:r>
          </w:p>
        </w:tc>
      </w:tr>
      <w:tr>
        <w:tc>
          <w:tcPr>
            <w:tcW w:type="dxa" w:w="3089"/>
            <w:tcMar>
              <w:top w:type="dxa" w:w="70"/>
              <w:left w:type="dxa" w:w="90"/>
              <w:bottom w:type="dxa" w:w="70"/>
              <w:right w:type="dxa" w:w="90"/>
            </w:tcMar>
            <w:vAlign w:val="top"/>
          </w:tcPr>
          <w:p>
            <w:r>
              <w:rPr>
                <w:b/>
                <w:bCs/>
                <w:color w:val="000000"/>
                <w:sz w:val="17"/>
                <w:szCs w:val="17"/>
              </w:rPr>
              <w:t xml:space="preserve">Operational relational database</w:t>
            </w:r>
          </w:p>
        </w:tc>
        <w:tc>
          <w:tcPr>
            <w:tcW w:type="dxa" w:w="5476"/>
            <w:tcMar>
              <w:top w:type="dxa" w:w="70"/>
              <w:left w:type="dxa" w:w="90"/>
              <w:bottom w:type="dxa" w:w="70"/>
              <w:right w:type="dxa" w:w="90"/>
            </w:tcMar>
            <w:vAlign w:val="top"/>
          </w:tcPr>
          <w:p>
            <w:r>
              <w:rPr>
                <w:b w:val="false"/>
                <w:bCs w:val="false"/>
                <w:color w:val="000000"/>
                <w:sz w:val="17"/>
                <w:szCs w:val="17"/>
              </w:rPr>
              <w:t xml:space="preserve">Continuous transaction-log backup plus daily full snapshot</w:t>
            </w:r>
          </w:p>
        </w:tc>
        <w:tc>
          <w:tcPr>
            <w:tcW w:type="dxa" w:w="5476"/>
            <w:tcMar>
              <w:top w:type="dxa" w:w="70"/>
              <w:left w:type="dxa" w:w="90"/>
              <w:bottom w:type="dxa" w:w="70"/>
              <w:right w:type="dxa" w:w="90"/>
            </w:tcMar>
            <w:vAlign w:val="top"/>
          </w:tcPr>
          <w:p>
            <w:r>
              <w:rPr>
                <w:b w:val="false"/>
                <w:bCs w:val="false"/>
                <w:color w:val="000000"/>
                <w:sz w:val="17"/>
                <w:szCs w:val="17"/>
              </w:rPr>
              <w:t xml:space="preserve">30 days rolling, plus monthly snapshots retained 1 year</w:t>
            </w:r>
          </w:p>
        </w:tc>
      </w:tr>
      <w:tr>
        <w:tc>
          <w:tcPr>
            <w:tcW w:type="dxa" w:w="3089"/>
            <w:tcMar>
              <w:top w:type="dxa" w:w="70"/>
              <w:left w:type="dxa" w:w="90"/>
              <w:bottom w:type="dxa" w:w="70"/>
              <w:right w:type="dxa" w:w="90"/>
            </w:tcMar>
            <w:vAlign w:val="top"/>
          </w:tcPr>
          <w:p>
            <w:r>
              <w:rPr>
                <w:b/>
                <w:bCs/>
                <w:color w:val="000000"/>
                <w:sz w:val="17"/>
                <w:szCs w:val="17"/>
              </w:rPr>
              <w:t xml:space="preserve">Document / object store</w:t>
            </w:r>
          </w:p>
        </w:tc>
        <w:tc>
          <w:tcPr>
            <w:tcW w:type="dxa" w:w="5476"/>
            <w:tcMar>
              <w:top w:type="dxa" w:w="70"/>
              <w:left w:type="dxa" w:w="90"/>
              <w:bottom w:type="dxa" w:w="70"/>
              <w:right w:type="dxa" w:w="90"/>
            </w:tcMar>
            <w:vAlign w:val="top"/>
          </w:tcPr>
          <w:p>
            <w:r>
              <w:rPr>
                <w:b w:val="false"/>
                <w:bCs w:val="false"/>
                <w:color w:val="000000"/>
                <w:sz w:val="17"/>
                <w:szCs w:val="17"/>
              </w:rPr>
              <w:t xml:space="preserve">Continuous versioning (no separate backup job required, given built-in object versioning)</w:t>
            </w:r>
          </w:p>
        </w:tc>
        <w:tc>
          <w:tcPr>
            <w:tcW w:type="dxa" w:w="5476"/>
            <w:tcMar>
              <w:top w:type="dxa" w:w="70"/>
              <w:left w:type="dxa" w:w="90"/>
              <w:bottom w:type="dxa" w:w="70"/>
              <w:right w:type="dxa" w:w="90"/>
            </w:tcMar>
            <w:vAlign w:val="top"/>
          </w:tcPr>
          <w:p>
            <w:r>
              <w:rPr>
                <w:b w:val="false"/>
                <w:bCs w:val="false"/>
                <w:color w:val="000000"/>
                <w:sz w:val="17"/>
                <w:szCs w:val="17"/>
              </w:rPr>
              <w:t xml:space="preserve">Aligned to Retention Policy (Part 6) per object classification</w:t>
            </w:r>
          </w:p>
        </w:tc>
      </w:tr>
      <w:tr>
        <w:tc>
          <w:tcPr>
            <w:tcW w:type="dxa" w:w="3089"/>
            <w:tcMar>
              <w:top w:type="dxa" w:w="70"/>
              <w:left w:type="dxa" w:w="90"/>
              <w:bottom w:type="dxa" w:w="70"/>
              <w:right w:type="dxa" w:w="90"/>
            </w:tcMar>
            <w:vAlign w:val="top"/>
          </w:tcPr>
          <w:p>
            <w:r>
              <w:rPr>
                <w:b/>
                <w:bCs/>
                <w:color w:val="000000"/>
                <w:sz w:val="17"/>
                <w:szCs w:val="17"/>
              </w:rPr>
              <w:t xml:space="preserve">Data Warehouse</w:t>
            </w:r>
          </w:p>
        </w:tc>
        <w:tc>
          <w:tcPr>
            <w:tcW w:type="dxa" w:w="5476"/>
            <w:tcMar>
              <w:top w:type="dxa" w:w="70"/>
              <w:left w:type="dxa" w:w="90"/>
              <w:bottom w:type="dxa" w:w="70"/>
              <w:right w:type="dxa" w:w="90"/>
            </w:tcMar>
            <w:vAlign w:val="top"/>
          </w:tcPr>
          <w:p>
            <w:r>
              <w:rPr>
                <w:b w:val="false"/>
                <w:bCs w:val="false"/>
                <w:color w:val="000000"/>
                <w:sz w:val="17"/>
                <w:szCs w:val="17"/>
              </w:rPr>
              <w:t xml:space="preserve">Daily snapshot</w:t>
            </w:r>
          </w:p>
        </w:tc>
        <w:tc>
          <w:tcPr>
            <w:tcW w:type="dxa" w:w="5476"/>
            <w:tcMar>
              <w:top w:type="dxa" w:w="70"/>
              <w:left w:type="dxa" w:w="90"/>
              <w:bottom w:type="dxa" w:w="70"/>
              <w:right w:type="dxa" w:w="90"/>
            </w:tcMar>
            <w:vAlign w:val="top"/>
          </w:tcPr>
          <w:p>
            <w:r>
              <w:rPr>
                <w:b w:val="false"/>
                <w:bCs w:val="false"/>
                <w:color w:val="000000"/>
                <w:sz w:val="17"/>
                <w:szCs w:val="17"/>
              </w:rPr>
              <w:t xml:space="preserve">90 days rolling</w:t>
            </w:r>
          </w:p>
        </w:tc>
      </w:tr>
      <w:tr>
        <w:tc>
          <w:tcPr>
            <w:tcW w:type="dxa" w:w="3089"/>
            <w:tcMar>
              <w:top w:type="dxa" w:w="70"/>
              <w:left w:type="dxa" w:w="90"/>
              <w:bottom w:type="dxa" w:w="70"/>
              <w:right w:type="dxa" w:w="90"/>
            </w:tcMar>
            <w:vAlign w:val="top"/>
          </w:tcPr>
          <w:p>
            <w:r>
              <w:rPr>
                <w:b/>
                <w:bCs/>
                <w:color w:val="000000"/>
                <w:sz w:val="17"/>
                <w:szCs w:val="17"/>
              </w:rPr>
              <w:t xml:space="preserve">Search Index</w:t>
            </w:r>
          </w:p>
        </w:tc>
        <w:tc>
          <w:tcPr>
            <w:tcW w:type="dxa" w:w="5476"/>
            <w:tcMar>
              <w:top w:type="dxa" w:w="70"/>
              <w:left w:type="dxa" w:w="90"/>
              <w:bottom w:type="dxa" w:w="70"/>
              <w:right w:type="dxa" w:w="90"/>
            </w:tcMar>
            <w:vAlign w:val="top"/>
          </w:tcPr>
          <w:p>
            <w:r>
              <w:rPr>
                <w:b w:val="false"/>
                <w:bCs w:val="false"/>
                <w:color w:val="000000"/>
                <w:sz w:val="17"/>
                <w:szCs w:val="17"/>
              </w:rPr>
              <w:t xml:space="preserve">Daily snapshot (rebuildable from source content if needed)</w:t>
            </w:r>
          </w:p>
        </w:tc>
        <w:tc>
          <w:tcPr>
            <w:tcW w:type="dxa" w:w="5476"/>
            <w:tcMar>
              <w:top w:type="dxa" w:w="70"/>
              <w:left w:type="dxa" w:w="90"/>
              <w:bottom w:type="dxa" w:w="70"/>
              <w:right w:type="dxa" w:w="90"/>
            </w:tcMar>
            <w:vAlign w:val="top"/>
          </w:tcPr>
          <w:p>
            <w:r>
              <w:rPr>
                <w:b w:val="false"/>
                <w:bCs w:val="false"/>
                <w:color w:val="000000"/>
                <w:sz w:val="17"/>
                <w:szCs w:val="17"/>
              </w:rPr>
              <w:t xml:space="preserve">7 days rolling — treated as a derived, reconstructible store</w:t>
            </w:r>
          </w:p>
        </w:tc>
      </w:tr>
      <w:tr>
        <w:tc>
          <w:tcPr>
            <w:tcW w:type="dxa" w:w="3089"/>
            <w:tcMar>
              <w:top w:type="dxa" w:w="70"/>
              <w:left w:type="dxa" w:w="90"/>
              <w:bottom w:type="dxa" w:w="70"/>
              <w:right w:type="dxa" w:w="90"/>
            </w:tcMar>
            <w:vAlign w:val="top"/>
          </w:tcPr>
          <w:p>
            <w:r>
              <w:rPr>
                <w:b/>
                <w:bCs/>
                <w:color w:val="000000"/>
                <w:sz w:val="17"/>
                <w:szCs w:val="17"/>
              </w:rPr>
              <w:t xml:space="preserve">Configuration and infrastructure state</w:t>
            </w:r>
          </w:p>
        </w:tc>
        <w:tc>
          <w:tcPr>
            <w:tcW w:type="dxa" w:w="5476"/>
            <w:tcMar>
              <w:top w:type="dxa" w:w="70"/>
              <w:left w:type="dxa" w:w="90"/>
              <w:bottom w:type="dxa" w:w="70"/>
              <w:right w:type="dxa" w:w="90"/>
            </w:tcMar>
            <w:vAlign w:val="top"/>
          </w:tcPr>
          <w:p>
            <w:r>
              <w:rPr>
                <w:b w:val="false"/>
                <w:bCs w:val="false"/>
                <w:color w:val="000000"/>
                <w:sz w:val="17"/>
                <w:szCs w:val="17"/>
              </w:rPr>
              <w:t xml:space="preserve">On every change (infrastructure as code, version-controlled)</w:t>
            </w:r>
          </w:p>
        </w:tc>
        <w:tc>
          <w:tcPr>
            <w:tcW w:type="dxa" w:w="5476"/>
            <w:tcMar>
              <w:top w:type="dxa" w:w="70"/>
              <w:left w:type="dxa" w:w="90"/>
              <w:bottom w:type="dxa" w:w="70"/>
              <w:right w:type="dxa" w:w="90"/>
            </w:tcMar>
            <w:vAlign w:val="top"/>
          </w:tcPr>
          <w:p>
            <w:r>
              <w:rPr>
                <w:b w:val="false"/>
                <w:bCs w:val="false"/>
                <w:color w:val="000000"/>
                <w:sz w:val="17"/>
                <w:szCs w:val="17"/>
              </w:rPr>
              <w:t xml:space="preserve">Full version history retained indefinitely</w:t>
            </w:r>
          </w:p>
        </w:tc>
      </w:tr>
    </w:tbl>
    <w:p>
      <w:pPr>
        <w:pStyle w:val="Heading2"/>
        <w:spacing w:after="90" w:before="220"/>
      </w:pPr>
      <w:r>
        <w:t xml:space="preserve">13. Recovery</w:t>
      </w:r>
    </w:p>
    <w:p>
      <w:pPr>
        <w:spacing w:after="140" w:line="264"/>
      </w:pPr>
      <w:r>
        <w:t xml:space="preserve">Recovery defines the Recovery Time Objective (maximum acceptable downtime) and Recovery Point Objective (maximum acceptable data loss) for each Data Domain, the standard disaster-recovery planning pair, calibrated to each domain's operational criticality rather than set uniformly.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Data Domain / Store</w:t>
            </w:r>
          </w:p>
        </w:tc>
        <w:tc>
          <w:tcPr>
            <w:tcW w:type="dxa" w:w="5476"/>
            <w:shd w:fill="1F3864" w:val="clear"/>
            <w:tcMar>
              <w:top w:type="dxa" w:w="70"/>
              <w:left w:type="dxa" w:w="90"/>
              <w:bottom w:type="dxa" w:w="70"/>
              <w:right w:type="dxa" w:w="90"/>
            </w:tcMar>
            <w:vAlign w:val="top"/>
          </w:tcPr>
          <w:p>
            <w:r>
              <w:rPr>
                <w:b/>
                <w:bCs/>
                <w:color w:val="FFFFFF"/>
                <w:sz w:val="17"/>
                <w:szCs w:val="17"/>
              </w:rPr>
              <w:t xml:space="preserve">Recovery Time Objective</w:t>
            </w:r>
          </w:p>
        </w:tc>
        <w:tc>
          <w:tcPr>
            <w:tcW w:type="dxa" w:w="5476"/>
            <w:shd w:fill="1F3864" w:val="clear"/>
            <w:tcMar>
              <w:top w:type="dxa" w:w="70"/>
              <w:left w:type="dxa" w:w="90"/>
              <w:bottom w:type="dxa" w:w="70"/>
              <w:right w:type="dxa" w:w="90"/>
            </w:tcMar>
            <w:vAlign w:val="top"/>
          </w:tcPr>
          <w:p>
            <w:r>
              <w:rPr>
                <w:b/>
                <w:bCs/>
                <w:color w:val="FFFFFF"/>
                <w:sz w:val="17"/>
                <w:szCs w:val="17"/>
              </w:rPr>
              <w:t xml:space="preserve">Recovery Point Objective</w:t>
            </w:r>
          </w:p>
        </w:tc>
      </w:tr>
      <w:tr>
        <w:tc>
          <w:tcPr>
            <w:tcW w:type="dxa" w:w="3089"/>
            <w:tcMar>
              <w:top w:type="dxa" w:w="70"/>
              <w:left w:type="dxa" w:w="90"/>
              <w:bottom w:type="dxa" w:w="70"/>
              <w:right w:type="dxa" w:w="90"/>
            </w:tcMar>
            <w:vAlign w:val="top"/>
          </w:tcPr>
          <w:p>
            <w:r>
              <w:rPr>
                <w:b/>
                <w:bCs/>
                <w:color w:val="000000"/>
                <w:sz w:val="17"/>
                <w:szCs w:val="17"/>
              </w:rPr>
              <w:t xml:space="preserve">Operational relational database (Programme, Governance domains)</w:t>
            </w:r>
          </w:p>
        </w:tc>
        <w:tc>
          <w:tcPr>
            <w:tcW w:type="dxa" w:w="5476"/>
            <w:tcMar>
              <w:top w:type="dxa" w:w="70"/>
              <w:left w:type="dxa" w:w="90"/>
              <w:bottom w:type="dxa" w:w="70"/>
              <w:right w:type="dxa" w:w="90"/>
            </w:tcMar>
            <w:vAlign w:val="top"/>
          </w:tcPr>
          <w:p>
            <w:r>
              <w:rPr>
                <w:b w:val="false"/>
                <w:bCs w:val="false"/>
                <w:color w:val="000000"/>
                <w:sz w:val="17"/>
                <w:szCs w:val="17"/>
              </w:rPr>
              <w:t xml:space="preserve">4 hours</w:t>
            </w:r>
          </w:p>
        </w:tc>
        <w:tc>
          <w:tcPr>
            <w:tcW w:type="dxa" w:w="5476"/>
            <w:tcMar>
              <w:top w:type="dxa" w:w="70"/>
              <w:left w:type="dxa" w:w="90"/>
              <w:bottom w:type="dxa" w:w="70"/>
              <w:right w:type="dxa" w:w="90"/>
            </w:tcMar>
            <w:vAlign w:val="top"/>
          </w:tcPr>
          <w:p>
            <w:r>
              <w:rPr>
                <w:b w:val="false"/>
                <w:bCs w:val="false"/>
                <w:color w:val="000000"/>
                <w:sz w:val="17"/>
                <w:szCs w:val="17"/>
              </w:rPr>
              <w:t xml:space="preserve">15 minutes (via transaction-log replay)</w:t>
            </w:r>
          </w:p>
        </w:tc>
      </w:tr>
      <w:tr>
        <w:tc>
          <w:tcPr>
            <w:tcW w:type="dxa" w:w="3089"/>
            <w:tcMar>
              <w:top w:type="dxa" w:w="70"/>
              <w:left w:type="dxa" w:w="90"/>
              <w:bottom w:type="dxa" w:w="70"/>
              <w:right w:type="dxa" w:w="90"/>
            </w:tcMar>
            <w:vAlign w:val="top"/>
          </w:tcPr>
          <w:p>
            <w:r>
              <w:rPr>
                <w:b/>
                <w:bCs/>
                <w:color w:val="000000"/>
                <w:sz w:val="17"/>
                <w:szCs w:val="17"/>
              </w:rPr>
              <w:t xml:space="preserve">Document / object store</w:t>
            </w:r>
          </w:p>
        </w:tc>
        <w:tc>
          <w:tcPr>
            <w:tcW w:type="dxa" w:w="5476"/>
            <w:tcMar>
              <w:top w:type="dxa" w:w="70"/>
              <w:left w:type="dxa" w:w="90"/>
              <w:bottom w:type="dxa" w:w="70"/>
              <w:right w:type="dxa" w:w="90"/>
            </w:tcMar>
            <w:vAlign w:val="top"/>
          </w:tcPr>
          <w:p>
            <w:r>
              <w:rPr>
                <w:b w:val="false"/>
                <w:bCs w:val="false"/>
                <w:color w:val="000000"/>
                <w:sz w:val="17"/>
                <w:szCs w:val="17"/>
              </w:rPr>
              <w:t xml:space="preserve">8 hours</w:t>
            </w:r>
          </w:p>
        </w:tc>
        <w:tc>
          <w:tcPr>
            <w:tcW w:type="dxa" w:w="5476"/>
            <w:tcMar>
              <w:top w:type="dxa" w:w="70"/>
              <w:left w:type="dxa" w:w="90"/>
              <w:bottom w:type="dxa" w:w="70"/>
              <w:right w:type="dxa" w:w="90"/>
            </w:tcMar>
            <w:vAlign w:val="top"/>
          </w:tcPr>
          <w:p>
            <w:r>
              <w:rPr>
                <w:b w:val="false"/>
                <w:bCs w:val="false"/>
                <w:color w:val="000000"/>
                <w:sz w:val="17"/>
                <w:szCs w:val="17"/>
              </w:rPr>
              <w:t xml:space="preserve">Near-zero (continuous versioning)</w:t>
            </w:r>
          </w:p>
        </w:tc>
      </w:tr>
      <w:tr>
        <w:tc>
          <w:tcPr>
            <w:tcW w:type="dxa" w:w="3089"/>
            <w:tcMar>
              <w:top w:type="dxa" w:w="70"/>
              <w:left w:type="dxa" w:w="90"/>
              <w:bottom w:type="dxa" w:w="70"/>
              <w:right w:type="dxa" w:w="90"/>
            </w:tcMar>
            <w:vAlign w:val="top"/>
          </w:tcPr>
          <w:p>
            <w:r>
              <w:rPr>
                <w:b/>
                <w:bCs/>
                <w:color w:val="000000"/>
                <w:sz w:val="17"/>
                <w:szCs w:val="17"/>
              </w:rPr>
              <w:t xml:space="preserve">Data Warehouse</w:t>
            </w:r>
          </w:p>
        </w:tc>
        <w:tc>
          <w:tcPr>
            <w:tcW w:type="dxa" w:w="5476"/>
            <w:tcMar>
              <w:top w:type="dxa" w:w="70"/>
              <w:left w:type="dxa" w:w="90"/>
              <w:bottom w:type="dxa" w:w="70"/>
              <w:right w:type="dxa" w:w="90"/>
            </w:tcMar>
            <w:vAlign w:val="top"/>
          </w:tcPr>
          <w:p>
            <w:r>
              <w:rPr>
                <w:b w:val="false"/>
                <w:bCs w:val="false"/>
                <w:color w:val="000000"/>
                <w:sz w:val="17"/>
                <w:szCs w:val="17"/>
              </w:rPr>
              <w:t xml:space="preserve">24 hours</w:t>
            </w:r>
          </w:p>
        </w:tc>
        <w:tc>
          <w:tcPr>
            <w:tcW w:type="dxa" w:w="5476"/>
            <w:tcMar>
              <w:top w:type="dxa" w:w="70"/>
              <w:left w:type="dxa" w:w="90"/>
              <w:bottom w:type="dxa" w:w="70"/>
              <w:right w:type="dxa" w:w="90"/>
            </w:tcMar>
            <w:vAlign w:val="top"/>
          </w:tcPr>
          <w:p>
            <w:r>
              <w:rPr>
                <w:b w:val="false"/>
                <w:bCs w:val="false"/>
                <w:color w:val="000000"/>
                <w:sz w:val="17"/>
                <w:szCs w:val="17"/>
              </w:rPr>
              <w:t xml:space="preserve">24 hours (rebuilt from next scheduled ETL if needed)</w:t>
            </w:r>
          </w:p>
        </w:tc>
      </w:tr>
      <w:tr>
        <w:tc>
          <w:tcPr>
            <w:tcW w:type="dxa" w:w="3089"/>
            <w:tcMar>
              <w:top w:type="dxa" w:w="70"/>
              <w:left w:type="dxa" w:w="90"/>
              <w:bottom w:type="dxa" w:w="70"/>
              <w:right w:type="dxa" w:w="90"/>
            </w:tcMar>
            <w:vAlign w:val="top"/>
          </w:tcPr>
          <w:p>
            <w:r>
              <w:rPr>
                <w:b/>
                <w:bCs/>
                <w:color w:val="000000"/>
                <w:sz w:val="17"/>
                <w:szCs w:val="17"/>
              </w:rPr>
              <w:t xml:space="preserve">Search Index</w:t>
            </w:r>
          </w:p>
        </w:tc>
        <w:tc>
          <w:tcPr>
            <w:tcW w:type="dxa" w:w="5476"/>
            <w:tcMar>
              <w:top w:type="dxa" w:w="70"/>
              <w:left w:type="dxa" w:w="90"/>
              <w:bottom w:type="dxa" w:w="70"/>
              <w:right w:type="dxa" w:w="90"/>
            </w:tcMar>
            <w:vAlign w:val="top"/>
          </w:tcPr>
          <w:p>
            <w:r>
              <w:rPr>
                <w:b w:val="false"/>
                <w:bCs w:val="false"/>
                <w:color w:val="000000"/>
                <w:sz w:val="17"/>
                <w:szCs w:val="17"/>
              </w:rPr>
              <w:t xml:space="preserve">12 hours</w:t>
            </w:r>
          </w:p>
        </w:tc>
        <w:tc>
          <w:tcPr>
            <w:tcW w:type="dxa" w:w="5476"/>
            <w:tcMar>
              <w:top w:type="dxa" w:w="70"/>
              <w:left w:type="dxa" w:w="90"/>
              <w:bottom w:type="dxa" w:w="70"/>
              <w:right w:type="dxa" w:w="90"/>
            </w:tcMar>
            <w:vAlign w:val="top"/>
          </w:tcPr>
          <w:p>
            <w:r>
              <w:rPr>
                <w:b w:val="false"/>
                <w:bCs w:val="false"/>
                <w:color w:val="000000"/>
                <w:sz w:val="17"/>
                <w:szCs w:val="17"/>
              </w:rPr>
              <w:t xml:space="preserve">24 hours (rebuildable from source content)</w:t>
            </w:r>
          </w:p>
        </w:tc>
      </w:tr>
      <w:tr>
        <w:tc>
          <w:tcPr>
            <w:tcW w:type="dxa" w:w="3089"/>
            <w:tcMar>
              <w:top w:type="dxa" w:w="70"/>
              <w:left w:type="dxa" w:w="90"/>
              <w:bottom w:type="dxa" w:w="70"/>
              <w:right w:type="dxa" w:w="90"/>
            </w:tcMar>
            <w:vAlign w:val="top"/>
          </w:tcPr>
          <w:p>
            <w:r>
              <w:rPr>
                <w:b/>
                <w:bCs/>
                <w:color w:val="000000"/>
                <w:sz w:val="17"/>
                <w:szCs w:val="17"/>
              </w:rPr>
              <w:t xml:space="preserve">Identity Management data</w:t>
            </w:r>
          </w:p>
        </w:tc>
        <w:tc>
          <w:tcPr>
            <w:tcW w:type="dxa" w:w="5476"/>
            <w:tcMar>
              <w:top w:type="dxa" w:w="70"/>
              <w:left w:type="dxa" w:w="90"/>
              <w:bottom w:type="dxa" w:w="70"/>
              <w:right w:type="dxa" w:w="90"/>
            </w:tcMar>
            <w:vAlign w:val="top"/>
          </w:tcPr>
          <w:p>
            <w:r>
              <w:rPr>
                <w:b w:val="false"/>
                <w:bCs w:val="false"/>
                <w:color w:val="000000"/>
                <w:sz w:val="17"/>
                <w:szCs w:val="17"/>
              </w:rPr>
              <w:t xml:space="preserve">2 hours (highest priority, given platform-wide dependency)</w:t>
            </w:r>
          </w:p>
        </w:tc>
        <w:tc>
          <w:tcPr>
            <w:tcW w:type="dxa" w:w="5476"/>
            <w:tcMar>
              <w:top w:type="dxa" w:w="70"/>
              <w:left w:type="dxa" w:w="90"/>
              <w:bottom w:type="dxa" w:w="70"/>
              <w:right w:type="dxa" w:w="90"/>
            </w:tcMar>
            <w:vAlign w:val="top"/>
          </w:tcPr>
          <w:p>
            <w:r>
              <w:rPr>
                <w:b w:val="false"/>
                <w:bCs w:val="false"/>
                <w:color w:val="000000"/>
                <w:sz w:val="17"/>
                <w:szCs w:val="17"/>
              </w:rPr>
              <w:t xml:space="preserve">15 minutes</w:t>
            </w:r>
          </w:p>
        </w:tc>
      </w:tr>
    </w:tbl>
    <w:p>
      <w:pPr>
        <w:pStyle w:val="Heading1"/>
        <w:spacing w:after="130" w:before="300"/>
      </w:pPr>
      <w:r>
        <w:t xml:space="preserve">Band 4 — Data Platforms</w:t>
      </w:r>
    </w:p>
    <w:p>
      <w:pPr>
        <w:pStyle w:val="Heading2"/>
        <w:spacing w:after="90" w:before="220"/>
      </w:pPr>
      <w:r>
        <w:t xml:space="preserve">14. Analytics</w:t>
      </w:r>
    </w:p>
    <w:p>
      <w:pPr>
        <w:spacing w:after="140" w:line="264"/>
      </w:pPr>
      <w:r>
        <w:t xml:space="preserve">Analytics, at the data-platform level, refers to the underlying compute and storage capability serving Part 5's Analytics and Business Intelligence modules — distinct from those modules' user-facing features, which Part 5 already specified.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Capability</w:t>
            </w:r>
          </w:p>
        </w:tc>
        <w:tc>
          <w:tcPr>
            <w:tcW w:type="dxa" w:w="10951"/>
            <w:shd w:fill="1F3864" w:val="clear"/>
            <w:tcMar>
              <w:top w:type="dxa" w:w="70"/>
              <w:left w:type="dxa" w:w="90"/>
              <w:bottom w:type="dxa" w:w="70"/>
              <w:right w:type="dxa" w:w="90"/>
            </w:tcMar>
            <w:vAlign w:val="top"/>
          </w:tcPr>
          <w:p>
            <w:r>
              <w:rPr>
                <w:b/>
                <w:bCs/>
                <w:color w:val="FFFFFF"/>
                <w:sz w:val="17"/>
                <w:szCs w:val="17"/>
              </w:rPr>
              <w:t xml:space="preserve">Platform Approach</w:t>
            </w:r>
          </w:p>
        </w:tc>
      </w:tr>
      <w:tr>
        <w:tc>
          <w:tcPr>
            <w:tcW w:type="dxa" w:w="3089"/>
            <w:tcMar>
              <w:top w:type="dxa" w:w="70"/>
              <w:left w:type="dxa" w:w="90"/>
              <w:bottom w:type="dxa" w:w="70"/>
              <w:right w:type="dxa" w:w="90"/>
            </w:tcMar>
            <w:vAlign w:val="top"/>
          </w:tcPr>
          <w:p>
            <w:r>
              <w:rPr>
                <w:b/>
                <w:bCs/>
                <w:color w:val="000000"/>
                <w:sz w:val="17"/>
                <w:szCs w:val="17"/>
              </w:rPr>
              <w:t xml:space="preserve">Ad hoc query</w:t>
            </w:r>
          </w:p>
        </w:tc>
        <w:tc>
          <w:tcPr>
            <w:tcW w:type="dxa" w:w="10951"/>
            <w:tcMar>
              <w:top w:type="dxa" w:w="70"/>
              <w:left w:type="dxa" w:w="90"/>
              <w:bottom w:type="dxa" w:w="70"/>
              <w:right w:type="dxa" w:w="90"/>
            </w:tcMar>
            <w:vAlign w:val="top"/>
          </w:tcPr>
          <w:p>
            <w:r>
              <w:rPr>
                <w:b w:val="false"/>
                <w:bCs w:val="false"/>
                <w:color w:val="000000"/>
                <w:sz w:val="17"/>
                <w:szCs w:val="17"/>
              </w:rPr>
              <w:t xml:space="preserve">Direct, governed query access to the Data Warehouse via a SQL-based analytical engine.</w:t>
            </w:r>
          </w:p>
        </w:tc>
      </w:tr>
      <w:tr>
        <w:tc>
          <w:tcPr>
            <w:tcW w:type="dxa" w:w="3089"/>
            <w:tcMar>
              <w:top w:type="dxa" w:w="70"/>
              <w:left w:type="dxa" w:w="90"/>
              <w:bottom w:type="dxa" w:w="70"/>
              <w:right w:type="dxa" w:w="90"/>
            </w:tcMar>
            <w:vAlign w:val="top"/>
          </w:tcPr>
          <w:p>
            <w:r>
              <w:rPr>
                <w:b/>
                <w:bCs/>
                <w:color w:val="000000"/>
                <w:sz w:val="17"/>
                <w:szCs w:val="17"/>
              </w:rPr>
              <w:t xml:space="preserve">Trend and predictive modeling</w:t>
            </w:r>
          </w:p>
        </w:tc>
        <w:tc>
          <w:tcPr>
            <w:tcW w:type="dxa" w:w="10951"/>
            <w:tcMar>
              <w:top w:type="dxa" w:w="70"/>
              <w:left w:type="dxa" w:w="90"/>
              <w:bottom w:type="dxa" w:w="70"/>
              <w:right w:type="dxa" w:w="90"/>
            </w:tcMar>
            <w:vAlign w:val="top"/>
          </w:tcPr>
          <w:p>
            <w:r>
              <w:rPr>
                <w:b w:val="false"/>
                <w:bCs w:val="false"/>
                <w:color w:val="000000"/>
                <w:sz w:val="17"/>
                <w:szCs w:val="17"/>
              </w:rPr>
              <w:t xml:space="preserve">A managed analytics/ML service layered on the Data Warehouse, introduced at the Business Intelligence maturity phase (Part 6's Knowledge Graph Strategy Phase 4 timing is a useful reference point).</w:t>
            </w:r>
          </w:p>
        </w:tc>
      </w:tr>
      <w:tr>
        <w:tc>
          <w:tcPr>
            <w:tcW w:type="dxa" w:w="3089"/>
            <w:tcMar>
              <w:top w:type="dxa" w:w="70"/>
              <w:left w:type="dxa" w:w="90"/>
              <w:bottom w:type="dxa" w:w="70"/>
              <w:right w:type="dxa" w:w="90"/>
            </w:tcMar>
            <w:vAlign w:val="top"/>
          </w:tcPr>
          <w:p>
            <w:r>
              <w:rPr>
                <w:b/>
                <w:bCs/>
                <w:color w:val="000000"/>
                <w:sz w:val="17"/>
                <w:szCs w:val="17"/>
              </w:rPr>
              <w:t xml:space="preserve">Self-service visualization</w:t>
            </w:r>
          </w:p>
        </w:tc>
        <w:tc>
          <w:tcPr>
            <w:tcW w:type="dxa" w:w="10951"/>
            <w:tcMar>
              <w:top w:type="dxa" w:w="70"/>
              <w:left w:type="dxa" w:w="90"/>
              <w:bottom w:type="dxa" w:w="70"/>
              <w:right w:type="dxa" w:w="90"/>
            </w:tcMar>
            <w:vAlign w:val="top"/>
          </w:tcPr>
          <w:p>
            <w:r>
              <w:rPr>
                <w:b w:val="false"/>
                <w:bCs w:val="false"/>
                <w:color w:val="000000"/>
                <w:sz w:val="17"/>
                <w:szCs w:val="17"/>
              </w:rPr>
              <w:t xml:space="preserve">A business-intelligence visualization tool connected to the Data Warehouse, feeding the Executive Dashboard module.</w:t>
            </w:r>
          </w:p>
        </w:tc>
      </w:tr>
      <w:tr>
        <w:tc>
          <w:tcPr>
            <w:tcW w:type="dxa" w:w="3089"/>
            <w:tcMar>
              <w:top w:type="dxa" w:w="70"/>
              <w:left w:type="dxa" w:w="90"/>
              <w:bottom w:type="dxa" w:w="70"/>
              <w:right w:type="dxa" w:w="90"/>
            </w:tcMar>
            <w:vAlign w:val="top"/>
          </w:tcPr>
          <w:p>
            <w:r>
              <w:rPr>
                <w:b/>
                <w:bCs/>
                <w:color w:val="000000"/>
                <w:sz w:val="17"/>
                <w:szCs w:val="17"/>
              </w:rPr>
              <w:t xml:space="preserve">Data science sandbox</w:t>
            </w:r>
          </w:p>
        </w:tc>
        <w:tc>
          <w:tcPr>
            <w:tcW w:type="dxa" w:w="10951"/>
            <w:tcMar>
              <w:top w:type="dxa" w:w="70"/>
              <w:left w:type="dxa" w:w="90"/>
              <w:bottom w:type="dxa" w:w="70"/>
              <w:right w:type="dxa" w:w="90"/>
            </w:tcMar>
            <w:vAlign w:val="top"/>
          </w:tcPr>
          <w:p>
            <w:r>
              <w:rPr>
                <w:b w:val="false"/>
                <w:bCs w:val="false"/>
                <w:color w:val="000000"/>
                <w:sz w:val="17"/>
                <w:szCs w:val="17"/>
              </w:rPr>
              <w:t xml:space="preserve">An isolated, non-production analytical environment for exploratory work, with anonymized or access-restricted extracts only.</w:t>
            </w:r>
          </w:p>
        </w:tc>
      </w:tr>
    </w:tbl>
    <w:p>
      <w:pPr>
        <w:pStyle w:val="Heading2"/>
        <w:spacing w:after="90" w:before="220"/>
      </w:pPr>
      <w:r>
        <w:t xml:space="preserve">15. Data Warehouse</w:t>
      </w:r>
    </w:p>
    <w:p>
      <w:pPr>
        <w:spacing w:after="140" w:line="264"/>
      </w:pPr>
      <w:r>
        <w:t xml:space="preserve">The Data Warehouse is the analytical, denormalized store described physically in the Physical Data Model above; this section defines its schema design approach and refresh discipline.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Design Element</w:t>
            </w:r>
          </w:p>
        </w:tc>
        <w:tc>
          <w:tcPr>
            <w:tcW w:type="dxa" w:w="10951"/>
            <w:shd w:fill="1F3864" w:val="clear"/>
            <w:tcMar>
              <w:top w:type="dxa" w:w="70"/>
              <w:left w:type="dxa" w:w="90"/>
              <w:bottom w:type="dxa" w:w="70"/>
              <w:right w:type="dxa" w:w="90"/>
            </w:tcMar>
            <w:vAlign w:val="top"/>
          </w:tcPr>
          <w:p>
            <w:r>
              <w:rPr>
                <w:b/>
                <w:bCs/>
                <w:color w:val="FFFFFF"/>
                <w:sz w:val="17"/>
                <w:szCs w:val="17"/>
              </w:rPr>
              <w:t xml:space="preserve">Approach</w:t>
            </w:r>
          </w:p>
        </w:tc>
      </w:tr>
      <w:tr>
        <w:tc>
          <w:tcPr>
            <w:tcW w:type="dxa" w:w="3089"/>
            <w:tcMar>
              <w:top w:type="dxa" w:w="70"/>
              <w:left w:type="dxa" w:w="90"/>
              <w:bottom w:type="dxa" w:w="70"/>
              <w:right w:type="dxa" w:w="90"/>
            </w:tcMar>
            <w:vAlign w:val="top"/>
          </w:tcPr>
          <w:p>
            <w:r>
              <w:rPr>
                <w:b/>
                <w:bCs/>
                <w:color w:val="000000"/>
                <w:sz w:val="17"/>
                <w:szCs w:val="17"/>
              </w:rPr>
              <w:t xml:space="preserve">Schema pattern</w:t>
            </w:r>
          </w:p>
        </w:tc>
        <w:tc>
          <w:tcPr>
            <w:tcW w:type="dxa" w:w="10951"/>
            <w:tcMar>
              <w:top w:type="dxa" w:w="70"/>
              <w:left w:type="dxa" w:w="90"/>
              <w:bottom w:type="dxa" w:w="70"/>
              <w:right w:type="dxa" w:w="90"/>
            </w:tcMar>
            <w:vAlign w:val="top"/>
          </w:tcPr>
          <w:p>
            <w:r>
              <w:rPr>
                <w:b w:val="false"/>
                <w:bCs w:val="false"/>
                <w:color w:val="000000"/>
                <w:sz w:val="17"/>
                <w:szCs w:val="17"/>
              </w:rPr>
              <w:t xml:space="preserve">Star schema: fact tables for Project Status, Risk Exposure, Approval Cycle Time, Knowledge Publication, and Training Completion, each with conformed dimensions (Component, State, Time, User).</w:t>
            </w:r>
          </w:p>
        </w:tc>
      </w:tr>
      <w:tr>
        <w:tc>
          <w:tcPr>
            <w:tcW w:type="dxa" w:w="3089"/>
            <w:tcMar>
              <w:top w:type="dxa" w:w="70"/>
              <w:left w:type="dxa" w:w="90"/>
              <w:bottom w:type="dxa" w:w="70"/>
              <w:right w:type="dxa" w:w="90"/>
            </w:tcMar>
            <w:vAlign w:val="top"/>
          </w:tcPr>
          <w:p>
            <w:r>
              <w:rPr>
                <w:b/>
                <w:bCs/>
                <w:color w:val="000000"/>
                <w:sz w:val="17"/>
                <w:szCs w:val="17"/>
              </w:rPr>
              <w:t xml:space="preserve">Grain</w:t>
            </w:r>
          </w:p>
        </w:tc>
        <w:tc>
          <w:tcPr>
            <w:tcW w:type="dxa" w:w="10951"/>
            <w:tcMar>
              <w:top w:type="dxa" w:w="70"/>
              <w:left w:type="dxa" w:w="90"/>
              <w:bottom w:type="dxa" w:w="70"/>
              <w:right w:type="dxa" w:w="90"/>
            </w:tcMar>
            <w:vAlign w:val="top"/>
          </w:tcPr>
          <w:p>
            <w:r>
              <w:rPr>
                <w:b w:val="false"/>
                <w:bCs w:val="false"/>
                <w:color w:val="000000"/>
                <w:sz w:val="17"/>
                <w:szCs w:val="17"/>
              </w:rPr>
              <w:t xml:space="preserve">Fact tables at the lowest meaningful grain (e.g., one row per project-status-snapshot-per-day), aggregated upward at query time rather than pre-aggregated only.</w:t>
            </w:r>
          </w:p>
        </w:tc>
      </w:tr>
      <w:tr>
        <w:tc>
          <w:tcPr>
            <w:tcW w:type="dxa" w:w="3089"/>
            <w:tcMar>
              <w:top w:type="dxa" w:w="70"/>
              <w:left w:type="dxa" w:w="90"/>
              <w:bottom w:type="dxa" w:w="70"/>
              <w:right w:type="dxa" w:w="90"/>
            </w:tcMar>
            <w:vAlign w:val="top"/>
          </w:tcPr>
          <w:p>
            <w:r>
              <w:rPr>
                <w:b/>
                <w:bCs/>
                <w:color w:val="000000"/>
                <w:sz w:val="17"/>
                <w:szCs w:val="17"/>
              </w:rPr>
              <w:t xml:space="preserve">Refresh cadence</w:t>
            </w:r>
          </w:p>
        </w:tc>
        <w:tc>
          <w:tcPr>
            <w:tcW w:type="dxa" w:w="10951"/>
            <w:tcMar>
              <w:top w:type="dxa" w:w="70"/>
              <w:left w:type="dxa" w:w="90"/>
              <w:bottom w:type="dxa" w:w="70"/>
              <w:right w:type="dxa" w:w="90"/>
            </w:tcMar>
            <w:vAlign w:val="top"/>
          </w:tcPr>
          <w:p>
            <w:r>
              <w:rPr>
                <w:b w:val="false"/>
                <w:bCs w:val="false"/>
                <w:color w:val="000000"/>
                <w:sz w:val="17"/>
                <w:szCs w:val="17"/>
              </w:rPr>
              <w:t xml:space="preserve">Nightly incremental load via the Operational-to-Warehouse ETL pipeline, with the 24-hour Data Quality timeliness rule as the governing SLA.</w:t>
            </w:r>
          </w:p>
        </w:tc>
      </w:tr>
      <w:tr>
        <w:tc>
          <w:tcPr>
            <w:tcW w:type="dxa" w:w="3089"/>
            <w:tcMar>
              <w:top w:type="dxa" w:w="70"/>
              <w:left w:type="dxa" w:w="90"/>
              <w:bottom w:type="dxa" w:w="70"/>
              <w:right w:type="dxa" w:w="90"/>
            </w:tcMar>
            <w:vAlign w:val="top"/>
          </w:tcPr>
          <w:p>
            <w:r>
              <w:rPr>
                <w:b/>
                <w:bCs/>
                <w:color w:val="000000"/>
                <w:sz w:val="17"/>
                <w:szCs w:val="17"/>
              </w:rPr>
              <w:t xml:space="preserve">Historical retention</w:t>
            </w:r>
          </w:p>
        </w:tc>
        <w:tc>
          <w:tcPr>
            <w:tcW w:type="dxa" w:w="10951"/>
            <w:tcMar>
              <w:top w:type="dxa" w:w="70"/>
              <w:left w:type="dxa" w:w="90"/>
              <w:bottom w:type="dxa" w:w="70"/>
              <w:right w:type="dxa" w:w="90"/>
            </w:tcMar>
            <w:vAlign w:val="top"/>
          </w:tcPr>
          <w:p>
            <w:r>
              <w:rPr>
                <w:b w:val="false"/>
                <w:bCs w:val="false"/>
                <w:color w:val="000000"/>
                <w:sz w:val="17"/>
                <w:szCs w:val="17"/>
              </w:rPr>
              <w:t xml:space="preserve">Full historical fact history retained for the life of the programme, supporting the multi-year trend analysis Part 5's Business Intelligence module requires.</w:t>
            </w:r>
          </w:p>
        </w:tc>
      </w:tr>
    </w:tbl>
    <w:p>
      <w:pPr>
        <w:pStyle w:val="Heading2"/>
        <w:spacing w:after="90" w:before="220"/>
      </w:pPr>
      <w:r>
        <w:t xml:space="preserve">16. Operational Database</w:t>
      </w:r>
    </w:p>
    <w:p>
      <w:pPr>
        <w:spacing w:after="140" w:line="264"/>
      </w:pPr>
      <w:r>
        <w:t xml:space="preserve">The Operational Database is the primary relational system of record for the Programme &amp; Project, Governance, and Identity data domains — the platform's core transactional store.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Design Element</w:t>
            </w:r>
          </w:p>
        </w:tc>
        <w:tc>
          <w:tcPr>
            <w:tcW w:type="dxa" w:w="10951"/>
            <w:shd w:fill="1F3864" w:val="clear"/>
            <w:tcMar>
              <w:top w:type="dxa" w:w="70"/>
              <w:left w:type="dxa" w:w="90"/>
              <w:bottom w:type="dxa" w:w="70"/>
              <w:right w:type="dxa" w:w="90"/>
            </w:tcMar>
            <w:vAlign w:val="top"/>
          </w:tcPr>
          <w:p>
            <w:r>
              <w:rPr>
                <w:b/>
                <w:bCs/>
                <w:color w:val="FFFFFF"/>
                <w:sz w:val="17"/>
                <w:szCs w:val="17"/>
              </w:rPr>
              <w:t xml:space="preserve">Approach</w:t>
            </w:r>
          </w:p>
        </w:tc>
      </w:tr>
      <w:tr>
        <w:tc>
          <w:tcPr>
            <w:tcW w:type="dxa" w:w="3089"/>
            <w:tcMar>
              <w:top w:type="dxa" w:w="70"/>
              <w:left w:type="dxa" w:w="90"/>
              <w:bottom w:type="dxa" w:w="70"/>
              <w:right w:type="dxa" w:w="90"/>
            </w:tcMar>
            <w:vAlign w:val="top"/>
          </w:tcPr>
          <w:p>
            <w:r>
              <w:rPr>
                <w:b/>
                <w:bCs/>
                <w:color w:val="000000"/>
                <w:sz w:val="17"/>
                <w:szCs w:val="17"/>
              </w:rPr>
              <w:t xml:space="preserve">Database type</w:t>
            </w:r>
          </w:p>
        </w:tc>
        <w:tc>
          <w:tcPr>
            <w:tcW w:type="dxa" w:w="10951"/>
            <w:tcMar>
              <w:top w:type="dxa" w:w="70"/>
              <w:left w:type="dxa" w:w="90"/>
              <w:bottom w:type="dxa" w:w="70"/>
              <w:right w:type="dxa" w:w="90"/>
            </w:tcMar>
            <w:vAlign w:val="top"/>
          </w:tcPr>
          <w:p>
            <w:r>
              <w:rPr>
                <w:b w:val="false"/>
                <w:bCs w:val="false"/>
                <w:color w:val="000000"/>
                <w:sz w:val="17"/>
                <w:szCs w:val="17"/>
              </w:rPr>
              <w:t xml:space="preserve">A relational database management system (e.g., PostgreSQL or an equivalent enterprise-grade RDBMS), selected for ACID transactional integrity across the approval, workflow, and register-based modules.</w:t>
            </w:r>
          </w:p>
        </w:tc>
      </w:tr>
      <w:tr>
        <w:tc>
          <w:tcPr>
            <w:tcW w:type="dxa" w:w="3089"/>
            <w:tcMar>
              <w:top w:type="dxa" w:w="70"/>
              <w:left w:type="dxa" w:w="90"/>
              <w:bottom w:type="dxa" w:w="70"/>
              <w:right w:type="dxa" w:w="90"/>
            </w:tcMar>
            <w:vAlign w:val="top"/>
          </w:tcPr>
          <w:p>
            <w:r>
              <w:rPr>
                <w:b/>
                <w:bCs/>
                <w:color w:val="000000"/>
                <w:sz w:val="17"/>
                <w:szCs w:val="17"/>
              </w:rPr>
              <w:t xml:space="preserve">Normalization</w:t>
            </w:r>
          </w:p>
        </w:tc>
        <w:tc>
          <w:tcPr>
            <w:tcW w:type="dxa" w:w="10951"/>
            <w:tcMar>
              <w:top w:type="dxa" w:w="70"/>
              <w:left w:type="dxa" w:w="90"/>
              <w:bottom w:type="dxa" w:w="70"/>
              <w:right w:type="dxa" w:w="90"/>
            </w:tcMar>
            <w:vAlign w:val="top"/>
          </w:tcPr>
          <w:p>
            <w:r>
              <w:rPr>
                <w:b w:val="false"/>
                <w:bCs w:val="false"/>
                <w:color w:val="000000"/>
                <w:sz w:val="17"/>
                <w:szCs w:val="17"/>
              </w:rPr>
              <w:t xml:space="preserve">Third normal form for transactional entities, per the Logical Data Model, with selective denormalization only for proven high-frequency dashboard queries.</w:t>
            </w:r>
          </w:p>
        </w:tc>
      </w:tr>
      <w:tr>
        <w:tc>
          <w:tcPr>
            <w:tcW w:type="dxa" w:w="3089"/>
            <w:tcMar>
              <w:top w:type="dxa" w:w="70"/>
              <w:left w:type="dxa" w:w="90"/>
              <w:bottom w:type="dxa" w:w="70"/>
              <w:right w:type="dxa" w:w="90"/>
            </w:tcMar>
            <w:vAlign w:val="top"/>
          </w:tcPr>
          <w:p>
            <w:r>
              <w:rPr>
                <w:b/>
                <w:bCs/>
                <w:color w:val="000000"/>
                <w:sz w:val="17"/>
                <w:szCs w:val="17"/>
              </w:rPr>
              <w:t xml:space="preserve">Concurrency handling</w:t>
            </w:r>
          </w:p>
        </w:tc>
        <w:tc>
          <w:tcPr>
            <w:tcW w:type="dxa" w:w="10951"/>
            <w:tcMar>
              <w:top w:type="dxa" w:w="70"/>
              <w:left w:type="dxa" w:w="90"/>
              <w:bottom w:type="dxa" w:w="70"/>
              <w:right w:type="dxa" w:w="90"/>
            </w:tcMar>
            <w:vAlign w:val="top"/>
          </w:tcPr>
          <w:p>
            <w:r>
              <w:rPr>
                <w:b w:val="false"/>
                <w:bCs w:val="false"/>
                <w:color w:val="000000"/>
                <w:sz w:val="17"/>
                <w:szCs w:val="17"/>
              </w:rPr>
              <w:t xml:space="preserve">Row-level locking and optimistic concurrency control for concurrent workflow and approval actions.</w:t>
            </w:r>
          </w:p>
        </w:tc>
      </w:tr>
      <w:tr>
        <w:tc>
          <w:tcPr>
            <w:tcW w:type="dxa" w:w="3089"/>
            <w:tcMar>
              <w:top w:type="dxa" w:w="70"/>
              <w:left w:type="dxa" w:w="90"/>
              <w:bottom w:type="dxa" w:w="70"/>
              <w:right w:type="dxa" w:w="90"/>
            </w:tcMar>
            <w:vAlign w:val="top"/>
          </w:tcPr>
          <w:p>
            <w:r>
              <w:rPr>
                <w:b/>
                <w:bCs/>
                <w:color w:val="000000"/>
                <w:sz w:val="17"/>
                <w:szCs w:val="17"/>
              </w:rPr>
              <w:t xml:space="preserve">High availability</w:t>
            </w:r>
          </w:p>
        </w:tc>
        <w:tc>
          <w:tcPr>
            <w:tcW w:type="dxa" w:w="10951"/>
            <w:tcMar>
              <w:top w:type="dxa" w:w="70"/>
              <w:left w:type="dxa" w:w="90"/>
              <w:bottom w:type="dxa" w:w="70"/>
              <w:right w:type="dxa" w:w="90"/>
            </w:tcMar>
            <w:vAlign w:val="top"/>
          </w:tcPr>
          <w:p>
            <w:r>
              <w:rPr>
                <w:b w:val="false"/>
                <w:bCs w:val="false"/>
                <w:color w:val="000000"/>
                <w:sz w:val="17"/>
                <w:szCs w:val="17"/>
              </w:rPr>
              <w:t xml:space="preserve">Primary-replica configuration with automatic failover, aligned to the Recovery Time Objectives set above.</w:t>
            </w:r>
          </w:p>
        </w:tc>
      </w:tr>
    </w:tbl>
    <w:p>
      <w:pPr>
        <w:pStyle w:val="Heading2"/>
        <w:spacing w:after="90" w:before="220"/>
      </w:pPr>
      <w:r>
        <w:t xml:space="preserve">17. Document Database</w:t>
      </w:r>
    </w:p>
    <w:p>
      <w:pPr>
        <w:spacing w:after="140" w:line="264"/>
      </w:pPr>
      <w:r>
        <w:t xml:space="preserve">The Document Database (used here in the object/content-store sense, per the Physical Data Model) holds unstructured and semi-structured content — working documents, knowledge assets, and media — distinct from the Operational Database's structured transactional rows.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Design Element</w:t>
            </w:r>
          </w:p>
        </w:tc>
        <w:tc>
          <w:tcPr>
            <w:tcW w:type="dxa" w:w="10951"/>
            <w:shd w:fill="1F3864" w:val="clear"/>
            <w:tcMar>
              <w:top w:type="dxa" w:w="70"/>
              <w:left w:type="dxa" w:w="90"/>
              <w:bottom w:type="dxa" w:w="70"/>
              <w:right w:type="dxa" w:w="90"/>
            </w:tcMar>
            <w:vAlign w:val="top"/>
          </w:tcPr>
          <w:p>
            <w:r>
              <w:rPr>
                <w:b/>
                <w:bCs/>
                <w:color w:val="FFFFFF"/>
                <w:sz w:val="17"/>
                <w:szCs w:val="17"/>
              </w:rPr>
              <w:t xml:space="preserve">Approach</w:t>
            </w:r>
          </w:p>
        </w:tc>
      </w:tr>
      <w:tr>
        <w:tc>
          <w:tcPr>
            <w:tcW w:type="dxa" w:w="3089"/>
            <w:tcMar>
              <w:top w:type="dxa" w:w="70"/>
              <w:left w:type="dxa" w:w="90"/>
              <w:bottom w:type="dxa" w:w="70"/>
              <w:right w:type="dxa" w:w="90"/>
            </w:tcMar>
            <w:vAlign w:val="top"/>
          </w:tcPr>
          <w:p>
            <w:r>
              <w:rPr>
                <w:b/>
                <w:bCs/>
                <w:color w:val="000000"/>
                <w:sz w:val="17"/>
                <w:szCs w:val="17"/>
              </w:rPr>
              <w:t xml:space="preserve">Store type</w:t>
            </w:r>
          </w:p>
        </w:tc>
        <w:tc>
          <w:tcPr>
            <w:tcW w:type="dxa" w:w="10951"/>
            <w:tcMar>
              <w:top w:type="dxa" w:w="70"/>
              <w:left w:type="dxa" w:w="90"/>
              <w:bottom w:type="dxa" w:w="70"/>
              <w:right w:type="dxa" w:w="90"/>
            </w:tcMar>
            <w:vAlign w:val="top"/>
          </w:tcPr>
          <w:p>
            <w:r>
              <w:rPr>
                <w:b w:val="false"/>
                <w:bCs w:val="false"/>
                <w:color w:val="000000"/>
                <w:sz w:val="17"/>
                <w:szCs w:val="17"/>
              </w:rPr>
              <w:t xml:space="preserve">An object storage service (content-addressed) for binary content, paired with a metadata layer in the Operational Database.</w:t>
            </w:r>
          </w:p>
        </w:tc>
      </w:tr>
      <w:tr>
        <w:tc>
          <w:tcPr>
            <w:tcW w:type="dxa" w:w="3089"/>
            <w:tcMar>
              <w:top w:type="dxa" w:w="70"/>
              <w:left w:type="dxa" w:w="90"/>
              <w:bottom w:type="dxa" w:w="70"/>
              <w:right w:type="dxa" w:w="90"/>
            </w:tcMar>
            <w:vAlign w:val="top"/>
          </w:tcPr>
          <w:p>
            <w:r>
              <w:rPr>
                <w:b/>
                <w:bCs/>
                <w:color w:val="000000"/>
                <w:sz w:val="17"/>
                <w:szCs w:val="17"/>
              </w:rPr>
              <w:t xml:space="preserve">Versioning</w:t>
            </w:r>
          </w:p>
        </w:tc>
        <w:tc>
          <w:tcPr>
            <w:tcW w:type="dxa" w:w="10951"/>
            <w:tcMar>
              <w:top w:type="dxa" w:w="70"/>
              <w:left w:type="dxa" w:w="90"/>
              <w:bottom w:type="dxa" w:w="70"/>
              <w:right w:type="dxa" w:w="90"/>
            </w:tcMar>
            <w:vAlign w:val="top"/>
          </w:tcPr>
          <w:p>
            <w:r>
              <w:rPr>
                <w:b w:val="false"/>
                <w:bCs w:val="false"/>
                <w:color w:val="000000"/>
                <w:sz w:val="17"/>
                <w:szCs w:val="17"/>
              </w:rPr>
              <w:t xml:space="preserve">Native object versioning, supporting the Document Lifecycle's Draft-through-Superseded state model without custom version-tracking logic.</w:t>
            </w:r>
          </w:p>
        </w:tc>
      </w:tr>
      <w:tr>
        <w:tc>
          <w:tcPr>
            <w:tcW w:type="dxa" w:w="3089"/>
            <w:tcMar>
              <w:top w:type="dxa" w:w="70"/>
              <w:left w:type="dxa" w:w="90"/>
              <w:bottom w:type="dxa" w:w="70"/>
              <w:right w:type="dxa" w:w="90"/>
            </w:tcMar>
            <w:vAlign w:val="top"/>
          </w:tcPr>
          <w:p>
            <w:r>
              <w:rPr>
                <w:b/>
                <w:bCs/>
                <w:color w:val="000000"/>
                <w:sz w:val="17"/>
                <w:szCs w:val="17"/>
              </w:rPr>
              <w:t xml:space="preserve">Content addressing</w:t>
            </w:r>
          </w:p>
        </w:tc>
        <w:tc>
          <w:tcPr>
            <w:tcW w:type="dxa" w:w="10951"/>
            <w:tcMar>
              <w:top w:type="dxa" w:w="70"/>
              <w:left w:type="dxa" w:w="90"/>
              <w:bottom w:type="dxa" w:w="70"/>
              <w:right w:type="dxa" w:w="90"/>
            </w:tcMar>
            <w:vAlign w:val="top"/>
          </w:tcPr>
          <w:p>
            <w:r>
              <w:rPr>
                <w:b w:val="false"/>
                <w:bCs w:val="false"/>
                <w:color w:val="000000"/>
                <w:sz w:val="17"/>
                <w:szCs w:val="17"/>
              </w:rPr>
              <w:t xml:space="preserve">Immutable object keys per version, ensuring a Published document's exact content is never silently altered.</w:t>
            </w:r>
          </w:p>
        </w:tc>
      </w:tr>
      <w:tr>
        <w:tc>
          <w:tcPr>
            <w:tcW w:type="dxa" w:w="3089"/>
            <w:tcMar>
              <w:top w:type="dxa" w:w="70"/>
              <w:left w:type="dxa" w:w="90"/>
              <w:bottom w:type="dxa" w:w="70"/>
              <w:right w:type="dxa" w:w="90"/>
            </w:tcMar>
            <w:vAlign w:val="top"/>
          </w:tcPr>
          <w:p>
            <w:r>
              <w:rPr>
                <w:b/>
                <w:bCs/>
                <w:color w:val="000000"/>
                <w:sz w:val="17"/>
                <w:szCs w:val="17"/>
              </w:rPr>
              <w:t xml:space="preserve">Access control</w:t>
            </w:r>
          </w:p>
        </w:tc>
        <w:tc>
          <w:tcPr>
            <w:tcW w:type="dxa" w:w="10951"/>
            <w:tcMar>
              <w:top w:type="dxa" w:w="70"/>
              <w:left w:type="dxa" w:w="90"/>
              <w:bottom w:type="dxa" w:w="70"/>
              <w:right w:type="dxa" w:w="90"/>
            </w:tcMar>
            <w:vAlign w:val="top"/>
          </w:tcPr>
          <w:p>
            <w:r>
              <w:rPr>
                <w:b w:val="false"/>
                <w:bCs w:val="false"/>
                <w:color w:val="000000"/>
                <w:sz w:val="17"/>
                <w:szCs w:val="17"/>
              </w:rPr>
              <w:t xml:space="preserve">Access mediated through the application layer and Identity Management, not direct object-store credentials, so Classification-based rules are always enforced.</w:t>
            </w:r>
          </w:p>
        </w:tc>
      </w:tr>
    </w:tbl>
    <w:p>
      <w:pPr>
        <w:pStyle w:val="Heading2"/>
        <w:spacing w:after="90" w:before="220"/>
      </w:pPr>
      <w:r>
        <w:t xml:space="preserve">18. Search Index</w:t>
      </w:r>
    </w:p>
    <w:p>
      <w:pPr>
        <w:spacing w:after="140" w:line="264"/>
      </w:pPr>
      <w:r>
        <w:t xml:space="preserve">The Search Index is the denormalized, access-tagged store powering the Search module (Part 5, Module 15) and Search Strategy (Part 6), physically separate from the Operational Database to allow independent scaling of read-heavy search traffic.</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10951"/>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Design Element</w:t>
            </w:r>
          </w:p>
        </w:tc>
        <w:tc>
          <w:tcPr>
            <w:tcW w:type="dxa" w:w="10951"/>
            <w:shd w:fill="1F3864" w:val="clear"/>
            <w:tcMar>
              <w:top w:type="dxa" w:w="70"/>
              <w:left w:type="dxa" w:w="90"/>
              <w:bottom w:type="dxa" w:w="70"/>
              <w:right w:type="dxa" w:w="90"/>
            </w:tcMar>
            <w:vAlign w:val="top"/>
          </w:tcPr>
          <w:p>
            <w:r>
              <w:rPr>
                <w:b/>
                <w:bCs/>
                <w:color w:val="FFFFFF"/>
                <w:sz w:val="17"/>
                <w:szCs w:val="17"/>
              </w:rPr>
              <w:t xml:space="preserve">Approach</w:t>
            </w:r>
          </w:p>
        </w:tc>
      </w:tr>
      <w:tr>
        <w:tc>
          <w:tcPr>
            <w:tcW w:type="dxa" w:w="3089"/>
            <w:tcMar>
              <w:top w:type="dxa" w:w="70"/>
              <w:left w:type="dxa" w:w="90"/>
              <w:bottom w:type="dxa" w:w="70"/>
              <w:right w:type="dxa" w:w="90"/>
            </w:tcMar>
            <w:vAlign w:val="top"/>
          </w:tcPr>
          <w:p>
            <w:r>
              <w:rPr>
                <w:b/>
                <w:bCs/>
                <w:color w:val="000000"/>
                <w:sz w:val="17"/>
                <w:szCs w:val="17"/>
              </w:rPr>
              <w:t xml:space="preserve">Index technology</w:t>
            </w:r>
          </w:p>
        </w:tc>
        <w:tc>
          <w:tcPr>
            <w:tcW w:type="dxa" w:w="10951"/>
            <w:tcMar>
              <w:top w:type="dxa" w:w="70"/>
              <w:left w:type="dxa" w:w="90"/>
              <w:bottom w:type="dxa" w:w="70"/>
              <w:right w:type="dxa" w:w="90"/>
            </w:tcMar>
            <w:vAlign w:val="top"/>
          </w:tcPr>
          <w:p>
            <w:r>
              <w:rPr>
                <w:b w:val="false"/>
                <w:bCs w:val="false"/>
                <w:color w:val="000000"/>
                <w:sz w:val="17"/>
                <w:szCs w:val="17"/>
              </w:rPr>
              <w:t xml:space="preserve">An inverted-index search engine (e.g., an Elasticsearch/OpenSearch-class platform).</w:t>
            </w:r>
          </w:p>
        </w:tc>
      </w:tr>
      <w:tr>
        <w:tc>
          <w:tcPr>
            <w:tcW w:type="dxa" w:w="3089"/>
            <w:tcMar>
              <w:top w:type="dxa" w:w="70"/>
              <w:left w:type="dxa" w:w="90"/>
              <w:bottom w:type="dxa" w:w="70"/>
              <w:right w:type="dxa" w:w="90"/>
            </w:tcMar>
            <w:vAlign w:val="top"/>
          </w:tcPr>
          <w:p>
            <w:r>
              <w:rPr>
                <w:b/>
                <w:bCs/>
                <w:color w:val="000000"/>
                <w:sz w:val="17"/>
                <w:szCs w:val="17"/>
              </w:rPr>
              <w:t xml:space="preserve">Indexing pipeline</w:t>
            </w:r>
          </w:p>
        </w:tc>
        <w:tc>
          <w:tcPr>
            <w:tcW w:type="dxa" w:w="10951"/>
            <w:tcMar>
              <w:top w:type="dxa" w:w="70"/>
              <w:left w:type="dxa" w:w="90"/>
              <w:bottom w:type="dxa" w:w="70"/>
              <w:right w:type="dxa" w:w="90"/>
            </w:tcMar>
            <w:vAlign w:val="top"/>
          </w:tcPr>
          <w:p>
            <w:r>
              <w:rPr>
                <w:b w:val="false"/>
                <w:bCs w:val="false"/>
                <w:color w:val="000000"/>
                <w:sz w:val="17"/>
                <w:szCs w:val="17"/>
              </w:rPr>
              <w:t xml:space="preserve">The Content Indexing Pipeline defined above, triggered on document publish, update, or classification change.</w:t>
            </w:r>
          </w:p>
        </w:tc>
      </w:tr>
      <w:tr>
        <w:tc>
          <w:tcPr>
            <w:tcW w:type="dxa" w:w="3089"/>
            <w:tcMar>
              <w:top w:type="dxa" w:w="70"/>
              <w:left w:type="dxa" w:w="90"/>
              <w:bottom w:type="dxa" w:w="70"/>
              <w:right w:type="dxa" w:w="90"/>
            </w:tcMar>
            <w:vAlign w:val="top"/>
          </w:tcPr>
          <w:p>
            <w:r>
              <w:rPr>
                <w:b/>
                <w:bCs/>
                <w:color w:val="000000"/>
                <w:sz w:val="17"/>
                <w:szCs w:val="17"/>
              </w:rPr>
              <w:t xml:space="preserve">Access-aware querying</w:t>
            </w:r>
          </w:p>
        </w:tc>
        <w:tc>
          <w:tcPr>
            <w:tcW w:type="dxa" w:w="10951"/>
            <w:tcMar>
              <w:top w:type="dxa" w:w="70"/>
              <w:left w:type="dxa" w:w="90"/>
              <w:bottom w:type="dxa" w:w="70"/>
              <w:right w:type="dxa" w:w="90"/>
            </w:tcMar>
            <w:vAlign w:val="top"/>
          </w:tcPr>
          <w:p>
            <w:r>
              <w:rPr>
                <w:b w:val="false"/>
                <w:bCs w:val="false"/>
                <w:color w:val="000000"/>
                <w:sz w:val="17"/>
                <w:szCs w:val="17"/>
              </w:rPr>
              <w:t xml:space="preserve">Every indexed document is tagged with its Classification and permitted-role list at index time, so queries are filtered, not merely ranked, per Part 6's Search Strategy.</w:t>
            </w:r>
          </w:p>
        </w:tc>
      </w:tr>
      <w:tr>
        <w:tc>
          <w:tcPr>
            <w:tcW w:type="dxa" w:w="3089"/>
            <w:tcMar>
              <w:top w:type="dxa" w:w="70"/>
              <w:left w:type="dxa" w:w="90"/>
              <w:bottom w:type="dxa" w:w="70"/>
              <w:right w:type="dxa" w:w="90"/>
            </w:tcMar>
            <w:vAlign w:val="top"/>
          </w:tcPr>
          <w:p>
            <w:r>
              <w:rPr>
                <w:b/>
                <w:bCs/>
                <w:color w:val="000000"/>
                <w:sz w:val="17"/>
                <w:szCs w:val="17"/>
              </w:rPr>
              <w:t xml:space="preserve">Relevance configuration</w:t>
            </w:r>
          </w:p>
        </w:tc>
        <w:tc>
          <w:tcPr>
            <w:tcW w:type="dxa" w:w="10951"/>
            <w:tcMar>
              <w:top w:type="dxa" w:w="70"/>
              <w:left w:type="dxa" w:w="90"/>
              <w:bottom w:type="dxa" w:w="70"/>
              <w:right w:type="dxa" w:w="90"/>
            </w:tcMar>
            <w:vAlign w:val="top"/>
          </w:tcPr>
          <w:p>
            <w:r>
              <w:rPr>
                <w:b w:val="false"/>
                <w:bCs w:val="false"/>
                <w:color w:val="000000"/>
                <w:sz w:val="17"/>
                <w:szCs w:val="17"/>
              </w:rPr>
              <w:t xml:space="preserve">Ranking weights implement Part 6's Search Strategy ranking-factor table (text relevance, recency, content-type boost, usage popularity).</w:t>
            </w:r>
          </w:p>
        </w:tc>
      </w:tr>
    </w:tbl>
    <w:p>
      <w:pPr>
        <w:pStyle w:val="Heading2"/>
        <w:spacing w:after="90" w:before="220"/>
      </w:pPr>
      <w:r>
        <w:t xml:space="preserve">19. Caching</w:t>
      </w:r>
    </w:p>
    <w:p>
      <w:pPr>
        <w:spacing w:after="140" w:line="264"/>
      </w:pPr>
      <w:r>
        <w:t xml:space="preserve">Caching improves the responsiveness of frequently accessed, relatively stable data — reference data, taxonomy lookups, and dashboard aggregates — reducing load on the Operational Database and Data Warehouse.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Cache Layer</w:t>
            </w:r>
          </w:p>
        </w:tc>
        <w:tc>
          <w:tcPr>
            <w:tcW w:type="dxa" w:w="5476"/>
            <w:shd w:fill="1F3864" w:val="clear"/>
            <w:tcMar>
              <w:top w:type="dxa" w:w="70"/>
              <w:left w:type="dxa" w:w="90"/>
              <w:bottom w:type="dxa" w:w="70"/>
              <w:right w:type="dxa" w:w="90"/>
            </w:tcMar>
            <w:vAlign w:val="top"/>
          </w:tcPr>
          <w:p>
            <w:r>
              <w:rPr>
                <w:b/>
                <w:bCs/>
                <w:color w:val="FFFFFF"/>
                <w:sz w:val="17"/>
                <w:szCs w:val="17"/>
              </w:rPr>
              <w:t xml:space="preserve">Cached Content</w:t>
            </w:r>
          </w:p>
        </w:tc>
        <w:tc>
          <w:tcPr>
            <w:tcW w:type="dxa" w:w="5476"/>
            <w:shd w:fill="1F3864" w:val="clear"/>
            <w:tcMar>
              <w:top w:type="dxa" w:w="70"/>
              <w:left w:type="dxa" w:w="90"/>
              <w:bottom w:type="dxa" w:w="70"/>
              <w:right w:type="dxa" w:w="90"/>
            </w:tcMar>
            <w:vAlign w:val="top"/>
          </w:tcPr>
          <w:p>
            <w:r>
              <w:rPr>
                <w:b/>
                <w:bCs/>
                <w:color w:val="FFFFFF"/>
                <w:sz w:val="17"/>
                <w:szCs w:val="17"/>
              </w:rPr>
              <w:t xml:space="preserve">Invalidation Strategy</w:t>
            </w:r>
          </w:p>
        </w:tc>
      </w:tr>
      <w:tr>
        <w:tc>
          <w:tcPr>
            <w:tcW w:type="dxa" w:w="3089"/>
            <w:tcMar>
              <w:top w:type="dxa" w:w="70"/>
              <w:left w:type="dxa" w:w="90"/>
              <w:bottom w:type="dxa" w:w="70"/>
              <w:right w:type="dxa" w:w="90"/>
            </w:tcMar>
            <w:vAlign w:val="top"/>
          </w:tcPr>
          <w:p>
            <w:r>
              <w:rPr>
                <w:b/>
                <w:bCs/>
                <w:color w:val="000000"/>
                <w:sz w:val="17"/>
                <w:szCs w:val="17"/>
              </w:rPr>
              <w:t xml:space="preserve">Reference/taxonomy cache</w:t>
            </w:r>
          </w:p>
        </w:tc>
        <w:tc>
          <w:tcPr>
            <w:tcW w:type="dxa" w:w="5476"/>
            <w:tcMar>
              <w:top w:type="dxa" w:w="70"/>
              <w:left w:type="dxa" w:w="90"/>
              <w:bottom w:type="dxa" w:w="70"/>
              <w:right w:type="dxa" w:w="90"/>
            </w:tcMar>
            <w:vAlign w:val="top"/>
          </w:tcPr>
          <w:p>
            <w:r>
              <w:rPr>
                <w:b w:val="false"/>
                <w:bCs w:val="false"/>
                <w:color w:val="000000"/>
                <w:sz w:val="17"/>
                <w:szCs w:val="17"/>
              </w:rPr>
              <w:t xml:space="preserve">State/LGA codes, donor codes, taxonomy nodes (Part 6 Reference Data).</w:t>
            </w:r>
          </w:p>
        </w:tc>
        <w:tc>
          <w:tcPr>
            <w:tcW w:type="dxa" w:w="5476"/>
            <w:tcMar>
              <w:top w:type="dxa" w:w="70"/>
              <w:left w:type="dxa" w:w="90"/>
              <w:bottom w:type="dxa" w:w="70"/>
              <w:right w:type="dxa" w:w="90"/>
            </w:tcMar>
            <w:vAlign w:val="top"/>
          </w:tcPr>
          <w:p>
            <w:r>
              <w:rPr>
                <w:b w:val="false"/>
                <w:bCs w:val="false"/>
                <w:color w:val="000000"/>
                <w:sz w:val="17"/>
                <w:szCs w:val="17"/>
              </w:rPr>
              <w:t xml:space="preserve">Time-based expiry (long TTL, given rare update frequency) plus explicit invalidation on administrative change.</w:t>
            </w:r>
          </w:p>
        </w:tc>
      </w:tr>
      <w:tr>
        <w:tc>
          <w:tcPr>
            <w:tcW w:type="dxa" w:w="3089"/>
            <w:tcMar>
              <w:top w:type="dxa" w:w="70"/>
              <w:left w:type="dxa" w:w="90"/>
              <w:bottom w:type="dxa" w:w="70"/>
              <w:right w:type="dxa" w:w="90"/>
            </w:tcMar>
            <w:vAlign w:val="top"/>
          </w:tcPr>
          <w:p>
            <w:r>
              <w:rPr>
                <w:b/>
                <w:bCs/>
                <w:color w:val="000000"/>
                <w:sz w:val="17"/>
                <w:szCs w:val="17"/>
              </w:rPr>
              <w:t xml:space="preserve">Session/identity cache</w:t>
            </w:r>
          </w:p>
        </w:tc>
        <w:tc>
          <w:tcPr>
            <w:tcW w:type="dxa" w:w="5476"/>
            <w:tcMar>
              <w:top w:type="dxa" w:w="70"/>
              <w:left w:type="dxa" w:w="90"/>
              <w:bottom w:type="dxa" w:w="70"/>
              <w:right w:type="dxa" w:w="90"/>
            </w:tcMar>
            <w:vAlign w:val="top"/>
          </w:tcPr>
          <w:p>
            <w:r>
              <w:rPr>
                <w:b w:val="false"/>
                <w:bCs w:val="false"/>
                <w:color w:val="000000"/>
                <w:sz w:val="17"/>
                <w:szCs w:val="17"/>
              </w:rPr>
              <w:t xml:space="preserve">Authenticated session tokens and resolved role/permission sets.</w:t>
            </w:r>
          </w:p>
        </w:tc>
        <w:tc>
          <w:tcPr>
            <w:tcW w:type="dxa" w:w="5476"/>
            <w:tcMar>
              <w:top w:type="dxa" w:w="70"/>
              <w:left w:type="dxa" w:w="90"/>
              <w:bottom w:type="dxa" w:w="70"/>
              <w:right w:type="dxa" w:w="90"/>
            </w:tcMar>
            <w:vAlign w:val="top"/>
          </w:tcPr>
          <w:p>
            <w:r>
              <w:rPr>
                <w:b w:val="false"/>
                <w:bCs w:val="false"/>
                <w:color w:val="000000"/>
                <w:sz w:val="17"/>
                <w:szCs w:val="17"/>
              </w:rPr>
              <w:t xml:space="preserve">Expiry on session timeout or explicit logout; invalidated on role change.</w:t>
            </w:r>
          </w:p>
        </w:tc>
      </w:tr>
      <w:tr>
        <w:tc>
          <w:tcPr>
            <w:tcW w:type="dxa" w:w="3089"/>
            <w:tcMar>
              <w:top w:type="dxa" w:w="70"/>
              <w:left w:type="dxa" w:w="90"/>
              <w:bottom w:type="dxa" w:w="70"/>
              <w:right w:type="dxa" w:w="90"/>
            </w:tcMar>
            <w:vAlign w:val="top"/>
          </w:tcPr>
          <w:p>
            <w:r>
              <w:rPr>
                <w:b/>
                <w:bCs/>
                <w:color w:val="000000"/>
                <w:sz w:val="17"/>
                <w:szCs w:val="17"/>
              </w:rPr>
              <w:t xml:space="preserve">Dashboard aggregate cache</w:t>
            </w:r>
          </w:p>
        </w:tc>
        <w:tc>
          <w:tcPr>
            <w:tcW w:type="dxa" w:w="5476"/>
            <w:tcMar>
              <w:top w:type="dxa" w:w="70"/>
              <w:left w:type="dxa" w:w="90"/>
              <w:bottom w:type="dxa" w:w="70"/>
              <w:right w:type="dxa" w:w="90"/>
            </w:tcMar>
            <w:vAlign w:val="top"/>
          </w:tcPr>
          <w:p>
            <w:r>
              <w:rPr>
                <w:b w:val="false"/>
                <w:bCs w:val="false"/>
                <w:color w:val="000000"/>
                <w:sz w:val="17"/>
                <w:szCs w:val="17"/>
              </w:rPr>
              <w:t xml:space="preserve">Pre-computed Executive Dashboard KPI values.</w:t>
            </w:r>
          </w:p>
        </w:tc>
        <w:tc>
          <w:tcPr>
            <w:tcW w:type="dxa" w:w="5476"/>
            <w:tcMar>
              <w:top w:type="dxa" w:w="70"/>
              <w:left w:type="dxa" w:w="90"/>
              <w:bottom w:type="dxa" w:w="70"/>
              <w:right w:type="dxa" w:w="90"/>
            </w:tcMar>
            <w:vAlign w:val="top"/>
          </w:tcPr>
          <w:p>
            <w:r>
              <w:rPr>
                <w:b w:val="false"/>
                <w:bCs w:val="false"/>
                <w:color w:val="000000"/>
                <w:sz w:val="17"/>
                <w:szCs w:val="17"/>
              </w:rPr>
              <w:t xml:space="preserve">Short TTL (minutes), refreshed on the same cadence as underlying data changes.</w:t>
            </w:r>
          </w:p>
        </w:tc>
      </w:tr>
      <w:tr>
        <w:tc>
          <w:tcPr>
            <w:tcW w:type="dxa" w:w="3089"/>
            <w:tcMar>
              <w:top w:type="dxa" w:w="70"/>
              <w:left w:type="dxa" w:w="90"/>
              <w:bottom w:type="dxa" w:w="70"/>
              <w:right w:type="dxa" w:w="90"/>
            </w:tcMar>
            <w:vAlign w:val="top"/>
          </w:tcPr>
          <w:p>
            <w:r>
              <w:rPr>
                <w:b/>
                <w:bCs/>
                <w:color w:val="000000"/>
                <w:sz w:val="17"/>
                <w:szCs w:val="17"/>
              </w:rPr>
              <w:t xml:space="preserve">Search result cache</w:t>
            </w:r>
          </w:p>
        </w:tc>
        <w:tc>
          <w:tcPr>
            <w:tcW w:type="dxa" w:w="5476"/>
            <w:tcMar>
              <w:top w:type="dxa" w:w="70"/>
              <w:left w:type="dxa" w:w="90"/>
              <w:bottom w:type="dxa" w:w="70"/>
              <w:right w:type="dxa" w:w="90"/>
            </w:tcMar>
            <w:vAlign w:val="top"/>
          </w:tcPr>
          <w:p>
            <w:r>
              <w:rPr>
                <w:b w:val="false"/>
                <w:bCs w:val="false"/>
                <w:color w:val="000000"/>
                <w:sz w:val="17"/>
                <w:szCs w:val="17"/>
              </w:rPr>
              <w:t xml:space="preserve">Frequent or repeated query results.</w:t>
            </w:r>
          </w:p>
        </w:tc>
        <w:tc>
          <w:tcPr>
            <w:tcW w:type="dxa" w:w="5476"/>
            <w:tcMar>
              <w:top w:type="dxa" w:w="70"/>
              <w:left w:type="dxa" w:w="90"/>
              <w:bottom w:type="dxa" w:w="70"/>
              <w:right w:type="dxa" w:w="90"/>
            </w:tcMar>
            <w:vAlign w:val="top"/>
          </w:tcPr>
          <w:p>
            <w:r>
              <w:rPr>
                <w:b w:val="false"/>
                <w:bCs w:val="false"/>
                <w:color w:val="000000"/>
                <w:sz w:val="17"/>
                <w:szCs w:val="17"/>
              </w:rPr>
              <w:t xml:space="preserve">Short TTL, invalidated on relevant content reindex.</w:t>
            </w:r>
          </w:p>
        </w:tc>
      </w:tr>
    </w:tbl>
    <w:p>
      <w:pPr>
        <w:pStyle w:val="Heading1"/>
        <w:spacing w:after="130" w:before="300"/>
      </w:pPr>
      <w:r>
        <w:t xml:space="preserve">Continuing This Blueprint</w:t>
      </w:r>
    </w:p>
    <w:p>
      <w:pPr>
        <w:spacing w:after="140" w:line="264"/>
      </w:pPr>
      <w:r>
        <w:t xml:space="preserve">Part 7 completes the data engineering foundation beneath every module and application in this Blueprint: concrete logical and physical models, a defined set of data domains, the pipelines and quality rules that keep data moving and trustworthy, the security and privacy controls that protect it, the backup and recovery objectives that make loss recoverable, and the polyglot platform mix — operational database, document store, data warehouse, search index, and caching layer — that serves it fit-for-purpose rather than through a single one-size-fits-all database.</w:t>
      </w:r>
    </w:p>
    <w:p>
      <w:pPr>
        <w:spacing w:after="140" w:line="264"/>
      </w:pPr>
      <w:r>
        <w:t xml:space="preserve">Part 8 will build on this Part's platform choices to define the Technology Architecture proper: the infrastructure, hosting, compute, and network design hosting these data platforms and the twelve applications from Part 4, followed by Part 9's Security Architecture, which will elaborate the Data Security and Data Privacy foundations introduced here into a complete security control framework.</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Arial" w:cs="Arial" w:eastAsia="Arial" w:hAnsi="Arial"/>
      <w:b/>
      <w:bCs/>
      <w:color w:val="1F3864"/>
      <w:sz w:val="24"/>
      <w:szCs w:val="24"/>
    </w:rPr>
  </w:style>
  <w:style w:type="paragraph" w:styleId="Heading2">
    <w:name w:val="Heading 2"/>
    <w:basedOn w:val="Normal"/>
    <w:next w:val="Normal"/>
    <w:qFormat/>
    <w:pPr>
      <w:spacing w:after="80" w:before="16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2026-07-17T20:47:03.432Z</dcterms:created>
  <dcterms:modified xsi:type="dcterms:W3CDTF">2026-07-17T20:47:03.432Z</dcterms:modified>
</cp:coreProperties>
</file>

<file path=docProps/custom.xml><?xml version="1.0" encoding="utf-8"?>
<Properties xmlns="http://schemas.openxmlformats.org/officeDocument/2006/custom-properties" xmlns:vt="http://schemas.openxmlformats.org/officeDocument/2006/docPropsVTypes"/>
</file>