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8 of 11 — Integration Architecture</w:t>
      </w:r>
    </w:p>
    <w:p>
      <w:pPr>
        <w:spacing w:after="260"/>
        <w:jc w:val="center"/>
      </w:pPr>
      <w:r>
        <w:rPr>
          <w:i/>
          <w:iCs/>
          <w:color w:val="555555"/>
          <w:sz w:val="19"/>
          <w:szCs w:val="19"/>
        </w:rPr>
        <w:t xml:space="preserve">21 integrations across five bands, from the public website through future ERP/MIS/M&amp;E systems</w:t>
      </w:r>
    </w:p>
    <w:p>
      <w:pPr>
        <w:pStyle w:val="Heading1"/>
        <w:spacing w:after="120" w:before="300"/>
      </w:pPr>
      <w:r>
        <w:t xml:space="preserve">Introduction to Part 8</w:t>
      </w:r>
    </w:p>
    <w:p>
      <w:pPr>
        <w:spacing w:after="150" w:line="270"/>
      </w:pPr>
      <w:r>
        <w:t xml:space="preserve">Part 8 defines the Integration Architecture connecting the platform to the outside world: the public SAPZ website, the identity and communication services every module depends on, productivity suites already in use across NPCO and state offices, geospatial and business-intelligence tools, the API technologies underlying Part 7's Data Integration patterns, and the future systems this Blueprint deliberately does not assume will exist on day one but must not be architected against.</w:t>
      </w:r>
    </w:p>
    <w:p>
      <w:pPr>
        <w:spacing w:after="150" w:line="270"/>
      </w:pPr>
      <w:r>
        <w:t xml:space="preserve">Twenty-one integrations are organized into five bands: Public &amp; Productivity Integrations (SAPZ Website, Power BI, Microsoft 365, Google Workspace, GIS), Identity &amp; Communication Services (Authentication Services, Identity Providers, Email, SMS), API &amp; Integration Technology Foundations (APIs, REST, GraphQL, Webhook, Workflow Engine), Platform Services Integration (File Storage, Analytics, Reporting, Mobile), and Future-State System Integrations (Future ERP, Future MIS, Future M&amp;E Systems).</w:t>
      </w:r>
    </w:p>
    <w:p>
      <w:pPr>
        <w:spacing w:after="150" w:line="270"/>
      </w:pPr>
      <w:r>
        <w:t xml:space="preserve">Each integration is described against eight attributes: Purpose, Direction, Integration Pattern, Data Exchanged, Protocol / Technology, Trigger / Frequency, Security &amp; Governance, and Status. The Status field is deliberately included because several of the twenty-one named integrations — most explicitly the three Future-State systems — are not current-phase commitments; naming them here is about not architecting the platform in a way that would make a future integration needlessly difficult, not about building them now.</w:t>
      </w:r>
    </w:p>
    <w:p>
      <w:pPr>
        <w:pStyle w:val="Heading1"/>
        <w:spacing w:after="120" w:before="300"/>
      </w:pPr>
      <w:r>
        <w:t xml:space="preserve">Band 1 — Public &amp; Productivity Integrations</w:t>
      </w:r>
    </w:p>
    <w:p>
      <w:pPr>
        <w:spacing w:after="150" w:line="270"/>
      </w:pPr>
      <w:r>
        <w:t xml:space="preserve">Public &amp; Productivity Integrations extend the platform's reach to the general public and to the productivity tools NPCO and state teams already use daily, so the platform augments existing habits rather than competing with them.</w:t>
      </w:r>
    </w:p>
    <w:p>
      <w:pPr>
        <w:pStyle w:val="Heading2"/>
        <w:spacing w:after="90" w:before="200"/>
      </w:pPr>
      <w:r>
        <w:t xml:space="preserve">1. SAPZ Website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Present approved public content — the Public Portal module's audience-facing surface — as part of, or linked from, the existing official SAPZ Programme website.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(platform to website); potential inbound for public feedback-form submissions.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Content syndication via API, or embedded widget, depending on the existing website's technology stack.</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Approved public content (Part 6 Classification: Public tier only); public feedback submissions, if enabled.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REST API content feed, or an iframe/widget embed if the existing website cannot consume an API directly.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Near-real-time on publish, via the Content Governance approval gate (Process P16).</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Only Public-classified content ever crosses this integration; enforced at the Content Governance workflow gate, not left to website-side filtering.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the REOI names public visibility as an explicit programme communication objective.</w:t>
            </w:r>
          </w:p>
        </w:tc>
      </w:tr>
    </w:tbl>
    <w:p>
      <w:pPr>
        <w:pStyle w:val="Heading2"/>
        <w:spacing w:after="90" w:before="200"/>
      </w:pPr>
      <w:r>
        <w:t xml:space="preserve">2. Power BI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Provide NPCO leadership and donor stakeholders a familiar, widely licensed business-intelligence front end over the platform's Data Warehouse, as an alternative or complement to the native Executive Dashboard and Business Intelligence modules.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(platform data to Power BI).</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Direct query or scheduled extract connection to the Data Warehouse.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Aggregated KPI and analytical facts only — never raw operational transactional data.</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Native Data Warehouse connector (e.g., ODBC/DirectQuery-class connection) or a scheduled data-export pipeline.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Aligned to the Data Warehouse's nightly refresh cadence (Part 7).</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Read-only service account, scoped to warehouse views rather than raw tables; access governed by Identity Management role mapping.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High-value optional integration, recommended where NPCO or donor stakeholders already hold Power BI licenses.</w:t>
            </w:r>
          </w:p>
        </w:tc>
      </w:tr>
    </w:tbl>
    <w:p>
      <w:pPr>
        <w:pStyle w:val="Heading2"/>
        <w:spacing w:after="90" w:before="200"/>
      </w:pPr>
      <w:r>
        <w:t xml:space="preserve">3. Microsoft 365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Interoperate with the Microsoft 365 environment already in likely use across NPCO and Federal Government offices, for document co-authoring, email, and calendar continuity.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Single sign-on federation; document check-out/edit-in-desktop-app integration; calendar synchronization.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Identity/authentication tokens; document content for co-authoring sessions; calendar events.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OpenID Connect / SAML federation for identity; Microsoft Graph API for document and calendar interoperability.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(authentication) and on-demand (document/calendar actions).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Federated identity governed by the same Identity Management access-recertification cycle as native accounts (Part 5, Module 20).</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Recommended Phase 2 integration, sequenced after core platform stabilization.</w:t>
            </w:r>
          </w:p>
        </w:tc>
      </w:tr>
    </w:tbl>
    <w:p>
      <w:pPr>
        <w:pStyle w:val="Heading2"/>
        <w:spacing w:after="90" w:before="200"/>
      </w:pPr>
      <w:r>
        <w:t xml:space="preserve">4. Google Workspace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Provide the equivalent interoperability described for Microsoft 365 in environments where state teams or partner organizations use Google Workspace instead.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Single sign-on federation via OpenID Connect; document interoperability via Google Workspace APIs.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Identity/authentication tokens; document content; calendar events.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OpenID Connect federation; Google Workspace APIs.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(authentication) and on-demand (document/calendar actions).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Same access-recertification and federation governance as Microsoft 365, above.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Optional, environment-dependent — implemented only where confirmed as the partner organization's existing suite.</w:t>
            </w:r>
          </w:p>
        </w:tc>
      </w:tr>
    </w:tbl>
    <w:p>
      <w:pPr>
        <w:pStyle w:val="Heading2"/>
        <w:spacing w:after="90" w:before="200"/>
      </w:pPr>
      <w:r>
        <w:t xml:space="preserve">5. GIS (Geographic Information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Provide spatial visualization of SAPZ project sites, state/LGA coverage, and infrastructure investments — a capability the TOR's multi-state scope makes naturally spatial, though not explicitly named as a system requirement.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(platform provides project location data; GIS platform returns rendered maps/layers for embedding).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API integration with a GIS platform (e.g., an ArcGIS-class or open-source equivalent such as QGIS Server/GeoServer).</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Project location coordinates, state/LGA boundary data, infrastructure site attributes.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OGC-standard web mapping services (WMS/WFS) or a GIS vendor's REST API.</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On-demand map rendering; batch location-data sync on project data changes.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Location data classified per Part 6; sensitive site data (e.g., security-relevant locations) filtered before map rendering.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Recommended enhancement, valuable for the Executive Dashboard's donor-facing visibility objective; not a Phase 1 mandatory build.</w:t>
            </w:r>
          </w:p>
        </w:tc>
      </w:tr>
    </w:tbl>
    <w:p>
      <w:pPr>
        <w:pStyle w:val="Heading1"/>
        <w:spacing w:after="120" w:before="300"/>
      </w:pPr>
      <w:r>
        <w:t xml:space="preserve">Band 2 — Identity &amp; Communication Services</w:t>
      </w:r>
    </w:p>
    <w:p>
      <w:pPr>
        <w:spacing w:after="150" w:line="270"/>
      </w:pPr>
      <w:r>
        <w:t xml:space="preserve">Identity &amp; Communication Services are the foundational, platform-wide dependencies named individually here because nearly every module in Part 5 relies on at least one of them; they are described in Part 8 rather than only in Part 5 because they typically involve an external service provider.</w:t>
      </w:r>
    </w:p>
    <w:p>
      <w:pPr>
        <w:pStyle w:val="Heading2"/>
        <w:spacing w:after="90" w:before="200"/>
      </w:pPr>
      <w:r>
        <w:t xml:space="preserve">6. Authentication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Verify user identity before granting access to any module, the foundational control underlying Identity Management (Part 5, Module 20).</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Inbound (credential verification requests) with outbound token issuance.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Delegated authentication to a dedicated authentication service, rather than the platform managing raw credentials itself.</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Authentication credentials (never stored in the platform itself), session tokens.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OpenID Connect / OAuth 2.0.</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on every login and token refresh.</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Multi-factor authentication enforced per Part 6's Data Governance access-control policy; failed-attempt monitoring feeding the Audit module.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foundational, required at go-live.</w:t>
            </w:r>
          </w:p>
        </w:tc>
      </w:tr>
    </w:tbl>
    <w:p>
      <w:pPr>
        <w:pStyle w:val="Heading2"/>
        <w:spacing w:after="90" w:before="200"/>
      </w:pPr>
      <w:r>
        <w:t xml:space="preserve">7. Identity Providers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Federate with external identity sources — a Federal Government single sign-on service, or Microsoft 365/Google Workspace directories — so users are not forced to maintain yet another separate credential set.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(federation handshake).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Federated identity trust relationship, distinct from the Authentication Services integration in that this concerns which external directory of users is trusted, not how a single login is verified.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User identity attributes (name, email, organizational role); no passwords ever exchanged directly.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SAML 2.0 or OpenID Connect federation, per the external provider's supported standard.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on login; periodic directory synchronization for role/attribute updates.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Federation trust agreements formally documented; provider-side account suspension must propagate to platform access within the Recovery Time Objective set for Identity Management data (Part 7: 2 hours).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for the primary NPCO directory; Microsoft 365/Google Workspace federation phased per those integrations' own status above.</w:t>
            </w:r>
          </w:p>
        </w:tc>
      </w:tr>
    </w:tbl>
    <w:p>
      <w:pPr>
        <w:pStyle w:val="Heading2"/>
        <w:spacing w:after="90" w:before="200"/>
      </w:pPr>
      <w:r>
        <w:t xml:space="preserve">8. 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Deliver one of the Notifications module's (Part 5, Module 21) core channels, and support transactional communications such as account provisioning.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(primary); inbound only for the Public Portal's contact/feedback routing, where applicable.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Transactional email delivery via a dedicated email service, not a direct mail-server dependency embedded in application code.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Notification content, recipient addresses.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SMTP relay or a transactional email API (e.g., an email delivery service with deliverability monitoring).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event-driven from the Notifications module.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Delivery failures logged and escalated; no Restricted-classification content ever included in email body, only secure links requiring authentication.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foundational.</w:t>
            </w:r>
          </w:p>
        </w:tc>
      </w:tr>
    </w:tbl>
    <w:p>
      <w:pPr>
        <w:pStyle w:val="Heading2"/>
        <w:spacing w:after="90" w:before="200"/>
      </w:pPr>
      <w:r>
        <w:t xml:space="preserve">9. SMS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Reach field-based State Team and M&amp;E staff who may lack reliable data connectivity for email or in-app notifications, directly supporting the Mobile module's (Part 5, Module 27) field-access objective.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(primary); inbound only if two-way SMS confirmation (e.g., approval-by-reply) is implemented.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SMS gateway integration via a local telecommunications aggregator with Nigerian carrier reach.</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Short notification text; no Confidential or Restricted-classification content, given SMS's inherently less secure channel.</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SMS gateway API (HTTP-based) provided by the chosen aggregator.</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event-driven for high-priority notifications only (e.g., urgent approval requests, critical alerts) — not a channel for routine, high-volume notifications, to manage cost and message fatigue.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Phone number data treated as personal data under the Data Privacy framework (Part 7); opt-out mechanism provided.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for high-priority alerts; expandable in later phases.</w:t>
            </w:r>
          </w:p>
        </w:tc>
      </w:tr>
    </w:tbl>
    <w:p>
      <w:pPr>
        <w:pStyle w:val="Heading1"/>
        <w:spacing w:after="120" w:before="300"/>
      </w:pPr>
      <w:r>
        <w:t xml:space="preserve">Band 3 — API &amp; Integration Technology Foundations</w:t>
      </w:r>
    </w:p>
    <w:p>
      <w:pPr>
        <w:spacing w:after="150" w:line="270"/>
      </w:pPr>
      <w:r>
        <w:t xml:space="preserve">The API &amp; Integration Technology Foundations band defines the technical mechanisms every other integration in this Part is built from — these five items are technology patterns, not external systems, and were previously introduced at the pattern level in Part 7's Data Integration section; here they are specified as platform-wide standards.</w:t>
      </w:r>
    </w:p>
    <w:p>
      <w:pPr>
        <w:pStyle w:val="Heading2"/>
        <w:spacing w:after="90" w:before="200"/>
      </w:pPr>
      <w:r>
        <w:t xml:space="preserve">10. APIs (General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Establish the platform-wide contract by which any module, external system, or future integration accesses platform functionality and data.</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by design — every API is documented for both consumption and provision.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API-first design: every module in Part 5 exposes its core functions through a documented API before any user interface is built against it.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Varies by API; every API endpoint is tagged with the Classification tier of the data it exposes.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A managed API gateway providing authentication, rate limiting, and versioning for all internal and external APIs.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N/A — a standing architectural standard, not an event.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All APIs authenticated via the Identity Management/Authentication Services integration; no anonymous API access except explicitly designated Public Portal endpoints.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a foundational architectural principle, not an optional feature.</w:t>
            </w:r>
          </w:p>
        </w:tc>
      </w:tr>
    </w:tbl>
    <w:p>
      <w:pPr>
        <w:pStyle w:val="Heading2"/>
        <w:spacing w:after="90" w:before="200"/>
      </w:pPr>
      <w:r>
        <w:t xml:space="preserve">11. 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Serve as the default API style for the large majority of platform integrations — synchronous request/response interactions such as an Approvals lookup or a Document Management upload.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per endpoint.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Resource-oriented REST APIs following standard HTTP verbs and status codes, versioned in the URL path (e.g., /v1/projects).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JSON payloads representing Logical Data Model entities (Part 7) and their relationships.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HTTPS/REST with JSON payloads; OpenAPI specification maintained for every endpoint.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On-demand, per client request.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OAuth 2.0 bearer tokens on every call; rate limiting per consumer to prevent abuse or runaway integration loops.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the default integration style.</w:t>
            </w:r>
          </w:p>
        </w:tc>
      </w:tr>
    </w:tbl>
    <w:p>
      <w:pPr>
        <w:pStyle w:val="Heading2"/>
        <w:spacing w:after="90" w:before="200"/>
      </w:pPr>
      <w:r>
        <w:t xml:space="preserve">12. GraphQL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Serve complex, multi-entity query needs — most notably the Executive Dashboard and Analytics modules, which often need to assemble data from several entities in a single call — more efficiently than composing multiple REST calls.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though predominantly used for read-heavy query scenarios.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A GraphQL query layer offered alongside, not instead of, the REST API — REST remains the default for simple resource operations, GraphQL is offered where dashboard and reporting consumers benefit from flexible, client-shaped queries.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Client-specified subsets of one or more entities in a single query response.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GraphQL over HTTPS, layered over the same underlying data services as the REST API.</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On-demand, per client query.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Query depth and complexity limits to prevent expensive, unbounded queries; same OAuth 2.0 authentication as REST.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Phase 2 enhancement, introduced once the Executive Dashboard and Business Intelligence modules are in active use and their query patterns are well understood.</w:t>
            </w:r>
          </w:p>
        </w:tc>
      </w:tr>
    </w:tbl>
    <w:p>
      <w:pPr>
        <w:pStyle w:val="Heading2"/>
        <w:spacing w:after="90" w:before="200"/>
      </w:pPr>
      <w:r>
        <w:t xml:space="preserve">13. Webhook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Push near-real-time event notifications to external systems and third-party donor portals, avoiding the inefficiency of those systems having to poll the platform's REST API repeatedly for changes.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(platform to subscriber).</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Publish/subscribe webhook callbacks, mirroring the internal event bus pattern established in Part 7's Data Integration section but exposed externally.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Event notifications (e.g., 'project status changed,' 'report published'), typically with a payload summary and a link to the full resource via the REST API.</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HTTPS POST callbacks with signed payloads (HMAC signature) for subscriber-side verification.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event-driven, with automatic retry and dead-letter handling on subscriber failure.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Subscriber endpoints registered and approved by NPCO ICT before activation; payload signing prevents spoofed callbacks.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Phase 2, activated as specific external subscribers (e.g., a donor reporting portal) are confirmed.</w:t>
            </w:r>
          </w:p>
        </w:tc>
      </w:tr>
    </w:tbl>
    <w:p>
      <w:pPr>
        <w:pStyle w:val="Heading2"/>
        <w:spacing w:after="90" w:before="200"/>
      </w:pPr>
      <w:r>
        <w:t xml:space="preserve">14. Workflow Engine (Integration Perspective)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Expose the Workflow module's (Part 5, Module 7) routing and approval capability to other modules and, where needed, external systems, so approval logic is defined once centrally rather than duplicated.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(modules submit items for routing; the engine calls back with decisions).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Internal service API plus event callbacks — a module submits an item via API and subscribes to status-change events rather than polling.</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Workflow instance state, routing decisions, escalation events.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Internal REST API plus the internal event bus (Part 7's Data Pipelines: Notification Event Pipeline).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Real-time, event-driven.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Only authenticated, authorized modules may submit items for routing; full routing history logged to the Audit module.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foundational, as established functionally in Part 5.</w:t>
            </w:r>
          </w:p>
        </w:tc>
      </w:tr>
    </w:tbl>
    <w:p>
      <w:pPr>
        <w:pStyle w:val="Heading1"/>
        <w:spacing w:after="120" w:before="300"/>
      </w:pPr>
      <w:r>
        <w:t xml:space="preserve">Band 4 — Platform Services Integration</w:t>
      </w:r>
    </w:p>
    <w:p>
      <w:pPr>
        <w:spacing w:after="150" w:line="270"/>
      </w:pPr>
      <w:r>
        <w:t xml:space="preserve">Platform Services Integration covers the internal-facing infrastructure services and the Analytics, Reporting, and Mobile capabilities that, while defined functionally in Part 5, depend on integration design choices worth stating explicitly here.</w:t>
      </w:r>
    </w:p>
    <w:p>
      <w:pPr>
        <w:pStyle w:val="Heading2"/>
        <w:spacing w:after="90" w:before="200"/>
      </w:pPr>
      <w:r>
        <w:t xml:space="preserve">15. File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Provide the integration layer between application modules and the Document/object store established physically in Part 7, including support for large file uploads (e.g., high-resolution site photographs) from the Mobile module.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Direct-to-storage upload with pre-signed URLs, so large files do not transit the application server unnecessarily.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Binary file content plus associated metadata (Part 6's Metadata Standards).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Object storage API (S3-compatible or equivalent) with pre-signed URL generation.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On-demand, per upload/download.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Pre-signed URLs time-limited and scoped to a single object; classification-based access enforced at the metadata layer before a URL is issued.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foundational.</w:t>
            </w:r>
          </w:p>
        </w:tc>
      </w:tr>
    </w:tbl>
    <w:p>
      <w:pPr>
        <w:pStyle w:val="Heading2"/>
        <w:spacing w:after="90" w:before="200"/>
      </w:pPr>
      <w:r>
        <w:t xml:space="preserve">16. Analytics (Integration Perspective)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Connect the Analytics and Business Intelligence modules (Part 5) to the Data Warehouse and, optionally, Power BI (above), as an integration concern distinct from those modules' user-facing features.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(data to analytical tools).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Direct warehouse connection for internal Analytics/BI modules; extract-based connection for Power BI, per that integration's own specification above.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Aggregated and structured analytical data (Part 7's Data Warehouse fact and dimension tables).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Internal service connection to the Data Warehouse; external connections use the same connector approach as Power BI.</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Aligned to the Data Warehouse refresh cadence.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Read-only access; no analytical connection ever has write access to operational data.</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foundational.</w:t>
            </w:r>
          </w:p>
        </w:tc>
      </w:tr>
    </w:tbl>
    <w:p>
      <w:pPr>
        <w:pStyle w:val="Heading2"/>
        <w:spacing w:after="90" w:before="200"/>
      </w:pPr>
      <w:r>
        <w:t xml:space="preserve">17. Reporting (Integration Perspective)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Enable the Reports module (Part 5, Module 16) to pull data from every operational module and push finished reports to their intended distribution channels (email, Public Portal, donor portal).</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(inbound data collection, outbound report distribution).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Internal API calls to source modules for data collection; the Email integration (above) and, where applicable, the Webhook integration for distribution.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Structured data for report compilation; finished report documents for distribution.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Internal REST APIs for collection; Email/Webhook integrations for distribution.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Scheduled (recurring reports) or on-demand.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Distribution lists governed by Classification tier — a donor-facing report never includes Confidential or Restricted content without explicit redaction review.</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foundational.</w:t>
            </w:r>
          </w:p>
        </w:tc>
      </w:tr>
    </w:tbl>
    <w:p>
      <w:pPr>
        <w:pStyle w:val="Heading2"/>
        <w:spacing w:after="90" w:before="200"/>
      </w:pPr>
      <w:r>
        <w:t xml:space="preserve">18. Mobile (Integration Perspective)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Connect the Mobile module (Part 5, Module 27) to core platform APIs under intermittent-connectivity conditions, the integration-layer complement to that module's offline-capture features.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with asynchronous sync rather than continuous connection.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Offline-first sync pattern: the mobile client queues actions locally and synchronizes via the Mobile Sync Pipeline (Part 7) once connectivity is available, with conflict resolution rules for concurrent edits.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w:t>
            </w:r>
          </w:p>
        </w:tc>
        <w:tc>
          <w:tcPr>
            <w:tcW w:type="dxa" w:w="7661"/>
            <w:tcMar>
              <w:top w:type="dxa" w:w="80"/>
              <w:left w:type="dxa" w:w="100"/>
              <w:bottom w:type="dxa" w:w="80"/>
              <w:right w:type="dxa" w:w="100"/>
            </w:tcMar>
            <w:vAlign w:val="top"/>
          </w:tcPr>
          <w:p>
            <w:r>
              <w:rPr>
                <w:b w:val="false"/>
                <w:bCs w:val="false"/>
                <w:color w:val="000000"/>
                <w:sz w:val="18"/>
                <w:szCs w:val="18"/>
              </w:rPr>
              <w:t xml:space="preserve">Field data captures (tasks, media, document uploads), queued locally until sync.</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w:t>
            </w:r>
          </w:p>
        </w:tc>
        <w:tc>
          <w:tcPr>
            <w:tcW w:type="dxa" w:w="7661"/>
            <w:tcMar>
              <w:top w:type="dxa" w:w="80"/>
              <w:left w:type="dxa" w:w="100"/>
              <w:bottom w:type="dxa" w:w="80"/>
              <w:right w:type="dxa" w:w="100"/>
            </w:tcMar>
            <w:vAlign w:val="top"/>
          </w:tcPr>
          <w:p>
            <w:r>
              <w:rPr>
                <w:b w:val="false"/>
                <w:bCs w:val="false"/>
                <w:color w:val="000000"/>
                <w:sz w:val="18"/>
                <w:szCs w:val="18"/>
              </w:rPr>
              <w:t xml:space="preserve">REST API calls batched on reconnect; File Storage integration (above) for media uploads.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w:t>
            </w:r>
          </w:p>
        </w:tc>
        <w:tc>
          <w:tcPr>
            <w:tcW w:type="dxa" w:w="7661"/>
            <w:tcMar>
              <w:top w:type="dxa" w:w="80"/>
              <w:left w:type="dxa" w:w="100"/>
              <w:bottom w:type="dxa" w:w="80"/>
              <w:right w:type="dxa" w:w="100"/>
            </w:tcMar>
            <w:vAlign w:val="top"/>
          </w:tcPr>
          <w:p>
            <w:r>
              <w:rPr>
                <w:b w:val="false"/>
                <w:bCs w:val="false"/>
                <w:color w:val="000000"/>
                <w:sz w:val="18"/>
                <w:szCs w:val="18"/>
              </w:rPr>
              <w:t xml:space="preserve">Event-driven on connectivity restoration.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Security &amp; Governance</w:t>
            </w:r>
          </w:p>
        </w:tc>
        <w:tc>
          <w:tcPr>
            <w:tcW w:type="dxa" w:w="7661"/>
            <w:tcMar>
              <w:top w:type="dxa" w:w="80"/>
              <w:left w:type="dxa" w:w="100"/>
              <w:bottom w:type="dxa" w:w="80"/>
              <w:right w:type="dxa" w:w="100"/>
            </w:tcMar>
            <w:vAlign w:val="top"/>
          </w:tcPr>
          <w:p>
            <w:r>
              <w:rPr>
                <w:b w:val="false"/>
                <w:bCs w:val="false"/>
                <w:color w:val="000000"/>
                <w:sz w:val="18"/>
                <w:szCs w:val="18"/>
              </w:rPr>
              <w:t xml:space="preserve">Locally cached data on the device encrypted at rest; device-level access control enforced through Identity Management.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Current phase — directly responsive to the multi-state field-operations context named throughout the TOR.</w:t>
            </w:r>
          </w:p>
        </w:tc>
      </w:tr>
    </w:tbl>
    <w:p>
      <w:pPr>
        <w:pStyle w:val="Heading1"/>
        <w:spacing w:after="120" w:before="300"/>
      </w:pPr>
      <w:r>
        <w:t xml:space="preserve">Band 5 — Future-State System Integrations</w:t>
      </w:r>
    </w:p>
    <w:p>
      <w:pPr>
        <w:spacing w:after="150" w:line="270"/>
      </w:pPr>
      <w:r>
        <w:t xml:space="preserve">Future-State System Integrations are named explicitly, and deliberately not designed in technical depth, because the TOR does not commission an ERP, MIS, or M&amp;E system replacement — but an Architecture Review Board would rightly ask whether today's design forecloses those future integrations. Naming them here, with an integration-readiness posture rather than a build commitment, is the correct answer to that question at this stage.</w:t>
      </w:r>
    </w:p>
    <w:p>
      <w:pPr>
        <w:pStyle w:val="Heading2"/>
        <w:spacing w:after="90" w:before="200"/>
      </w:pPr>
      <w:r>
        <w:t xml:space="preserve">19. Future ERP (Enterprise Resource Planning)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Should the Federal Government or a co-financing institution introduce or mandate an ERP system for financial management, the platform must be able to exchange budget, expenditure, and procurement data with it rather than duplicate that functionality.</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Bidirectional (anticipated).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Batch file or API-based financial data exchange, following the same Batch file/API integration pattern already defined in Part 7 for other external systems.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Budget allocations, expenditure records, procurement status — read from the ERP for platform dashboards, or written to it from platform-originated procurement records, depending on system-of-record designation at that time.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Whatever integration standard the eventual ERP platform supports; the platform's API-first design (Item 10, above) ensures a compatible integration point exists regardless.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Likely batch/scheduled, consistent with typical ERP integration practice.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Readiness Posture</w:t>
            </w:r>
          </w:p>
        </w:tc>
        <w:tc>
          <w:tcPr>
            <w:tcW w:type="dxa" w:w="7661"/>
            <w:tcMar>
              <w:top w:type="dxa" w:w="80"/>
              <w:left w:type="dxa" w:w="100"/>
              <w:bottom w:type="dxa" w:w="80"/>
              <w:right w:type="dxa" w:w="100"/>
            </w:tcMar>
            <w:vAlign w:val="top"/>
          </w:tcPr>
          <w:p>
            <w:r>
              <w:rPr>
                <w:b w:val="false"/>
                <w:bCs w:val="false"/>
                <w:color w:val="000000"/>
                <w:sz w:val="18"/>
                <w:szCs w:val="18"/>
              </w:rPr>
              <w:t xml:space="preserve">No integration built today; the Logical Data Model's Project and budget fields (Part 7) are named and structured so a future mapping exercise is straightforward rather than requiring a data-model redesign.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Not commissioned by the current TOR; explicitly out of scope for Phase 1 and Phase 2.</w:t>
            </w:r>
          </w:p>
        </w:tc>
      </w:tr>
    </w:tbl>
    <w:p>
      <w:pPr>
        <w:pStyle w:val="Heading2"/>
        <w:spacing w:after="90" w:before="200"/>
      </w:pPr>
      <w:r>
        <w:t xml:space="preserve">20. Future MIS (Management Information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Should a separate, broader government or donor Management Information System later be introduced covering multiple programmes beyond SAPZ, the platform should be able to contribute its data as one feeding system rather than being absorbed or duplicated.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(anticipated) — the platform as a data source to a broader MIS.</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API or batch extract, mirroring the Reporting integration's distribution pattern (Item 17, above).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Programme-level KPIs and status summaries — the same aggregated data already exposed to Power BI (Item 2) and the Data Warehouse (Part 7), reused rather than newly built.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REST API extract, consistent with the platform's API-first standard.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Likely scheduled batch extract.</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Readiness Posture</w:t>
            </w:r>
          </w:p>
        </w:tc>
        <w:tc>
          <w:tcPr>
            <w:tcW w:type="dxa" w:w="7661"/>
            <w:tcMar>
              <w:top w:type="dxa" w:w="80"/>
              <w:left w:type="dxa" w:w="100"/>
              <w:bottom w:type="dxa" w:w="80"/>
              <w:right w:type="dxa" w:w="100"/>
            </w:tcMar>
            <w:vAlign w:val="top"/>
          </w:tcPr>
          <w:p>
            <w:r>
              <w:rPr>
                <w:b w:val="false"/>
                <w:bCs w:val="false"/>
                <w:color w:val="000000"/>
                <w:sz w:val="18"/>
                <w:szCs w:val="18"/>
              </w:rPr>
              <w:t xml:space="preserve">The Data Warehouse's conformed dimensional model (Part 7) is designed to be extract-friendly for exactly this kind of future consumer, without redesign.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Not commissioned by the current TOR; a plausible future direction the Master document's Deliverable Roadmap does not require preparing for now.</w:t>
            </w:r>
          </w:p>
        </w:tc>
      </w:tr>
    </w:tbl>
    <w:p>
      <w:pPr>
        <w:pStyle w:val="Heading2"/>
        <w:spacing w:after="90" w:before="200"/>
      </w:pPr>
      <w:r>
        <w:t xml:space="preserve">21. Future M&amp;E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shd w:fill="EDEFF4" w:val="clear"/>
            <w:tcMar>
              <w:top w:type="dxa" w:w="80"/>
              <w:left w:type="dxa" w:w="100"/>
              <w:bottom w:type="dxa" w:w="80"/>
              <w:right w:type="dxa" w:w="100"/>
            </w:tcMar>
            <w:vAlign w:val="top"/>
          </w:tcPr>
          <w:p>
            <w:r>
              <w:rPr>
                <w:b/>
                <w:bCs/>
                <w:color w:val="000000"/>
                <w:sz w:val="18"/>
                <w:szCs w:val="18"/>
              </w:rPr>
              <w:t xml:space="preserve">Purpose</w:t>
            </w:r>
          </w:p>
        </w:tc>
        <w:tc>
          <w:tcPr>
            <w:tcW w:type="dxa" w:w="7661"/>
            <w:tcMar>
              <w:top w:type="dxa" w:w="80"/>
              <w:left w:type="dxa" w:w="100"/>
              <w:bottom w:type="dxa" w:w="80"/>
              <w:right w:type="dxa" w:w="100"/>
            </w:tcMar>
            <w:vAlign w:val="top"/>
          </w:tcPr>
          <w:p>
            <w:r>
              <w:rPr>
                <w:b w:val="false"/>
                <w:bCs w:val="false"/>
                <w:color w:val="000000"/>
                <w:sz w:val="18"/>
                <w:szCs w:val="18"/>
              </w:rPr>
              <w:t xml:space="preserve">Should AfDB, IFAD, or IsDB introduce or mandate a dedicated corporate Monitoring &amp; Evaluation system for portfolio-wide results reporting, the platform should be able to supply the project- and indicator-level data such a system would require.</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Direction</w:t>
            </w:r>
          </w:p>
        </w:tc>
        <w:tc>
          <w:tcPr>
            <w:tcW w:type="dxa" w:w="7661"/>
            <w:tcMar>
              <w:top w:type="dxa" w:w="80"/>
              <w:left w:type="dxa" w:w="100"/>
              <w:bottom w:type="dxa" w:w="80"/>
              <w:right w:type="dxa" w:w="100"/>
            </w:tcMar>
            <w:vAlign w:val="top"/>
          </w:tcPr>
          <w:p>
            <w:r>
              <w:rPr>
                <w:b w:val="false"/>
                <w:bCs w:val="false"/>
                <w:color w:val="000000"/>
                <w:sz w:val="18"/>
                <w:szCs w:val="18"/>
              </w:rPr>
              <w:t xml:space="preserve">Outbound (anticipated).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Integration Pattern</w:t>
            </w:r>
          </w:p>
        </w:tc>
        <w:tc>
          <w:tcPr>
            <w:tcW w:type="dxa" w:w="7661"/>
            <w:tcMar>
              <w:top w:type="dxa" w:w="80"/>
              <w:left w:type="dxa" w:w="100"/>
              <w:bottom w:type="dxa" w:w="80"/>
              <w:right w:type="dxa" w:w="100"/>
            </w:tcMar>
            <w:vAlign w:val="top"/>
          </w:tcPr>
          <w:p>
            <w:r>
              <w:rPr>
                <w:b w:val="false"/>
                <w:bCs w:val="false"/>
                <w:color w:val="000000"/>
                <w:sz w:val="18"/>
                <w:szCs w:val="18"/>
              </w:rPr>
              <w:t xml:space="preserve">API or batch data exchange aligned to the donor's specific M&amp;E results-framework data standard, once known.</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Data Exchanged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Project results indicators, milestone completion data, risk and issue summaries — drawn from the Programme &amp; Project and Governance data domains (Part 7).</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Protocol / Technology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To be confirmed against the specific donor M&amp;E system's integration standard; the platform's API-first posture ensures readiness regardless of the eventual standard.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Trigger / Frequency (anticipated)</w:t>
            </w:r>
          </w:p>
        </w:tc>
        <w:tc>
          <w:tcPr>
            <w:tcW w:type="dxa" w:w="7661"/>
            <w:tcMar>
              <w:top w:type="dxa" w:w="80"/>
              <w:left w:type="dxa" w:w="100"/>
              <w:bottom w:type="dxa" w:w="80"/>
              <w:right w:type="dxa" w:w="100"/>
            </w:tcMar>
            <w:vAlign w:val="top"/>
          </w:tcPr>
          <w:p>
            <w:r>
              <w:rPr>
                <w:b w:val="false"/>
                <w:bCs w:val="false"/>
                <w:color w:val="000000"/>
                <w:sz w:val="18"/>
                <w:szCs w:val="18"/>
              </w:rPr>
              <w:t xml:space="preserve">Likely aligned to donor reporting cycles (typically quarterly or semi-annual).</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Readiness Posture</w:t>
            </w:r>
          </w:p>
        </w:tc>
        <w:tc>
          <w:tcPr>
            <w:tcW w:type="dxa" w:w="7661"/>
            <w:tcMar>
              <w:top w:type="dxa" w:w="80"/>
              <w:left w:type="dxa" w:w="100"/>
              <w:bottom w:type="dxa" w:w="80"/>
              <w:right w:type="dxa" w:w="100"/>
            </w:tcMar>
            <w:vAlign w:val="top"/>
          </w:tcPr>
          <w:p>
            <w:r>
              <w:rPr>
                <w:b w:val="false"/>
                <w:bCs w:val="false"/>
                <w:color w:val="000000"/>
                <w:sz w:val="18"/>
                <w:szCs w:val="18"/>
              </w:rPr>
              <w:t xml:space="preserve">The Analytics and Reports modules (Part 5) already structure indicator data in a form compatible with typical donor results-framework exports; no rework anticipated to support this integration when required.</w:t>
            </w:r>
          </w:p>
        </w:tc>
      </w:tr>
      <w:tr>
        <w:tc>
          <w:tcPr>
            <w:tcW w:type="dxa" w:w="2419"/>
            <w:shd w:fill="EDEFF4" w:val="clear"/>
            <w:tcMar>
              <w:top w:type="dxa" w:w="80"/>
              <w:left w:type="dxa" w:w="100"/>
              <w:bottom w:type="dxa" w:w="80"/>
              <w:right w:type="dxa" w:w="100"/>
            </w:tcMar>
            <w:vAlign w:val="top"/>
          </w:tcPr>
          <w:p>
            <w:r>
              <w:rPr>
                <w:b/>
                <w:bCs/>
                <w:color w:val="000000"/>
                <w:sz w:val="18"/>
                <w:szCs w:val="18"/>
              </w:rPr>
              <w:t xml:space="preserve">Status</w:t>
            </w:r>
          </w:p>
        </w:tc>
        <w:tc>
          <w:tcPr>
            <w:tcW w:type="dxa" w:w="7661"/>
            <w:tcMar>
              <w:top w:type="dxa" w:w="80"/>
              <w:left w:type="dxa" w:w="100"/>
              <w:bottom w:type="dxa" w:w="80"/>
              <w:right w:type="dxa" w:w="100"/>
            </w:tcMar>
            <w:vAlign w:val="top"/>
          </w:tcPr>
          <w:p>
            <w:r>
              <w:rPr>
                <w:b w:val="false"/>
                <w:bCs w:val="false"/>
                <w:color w:val="000000"/>
                <w:sz w:val="18"/>
                <w:szCs w:val="18"/>
              </w:rPr>
              <w:t xml:space="preserve">Not commissioned by the current TOR; monitored as a likely mid-to-long-term donor expectation rather than an immediate requirement.</w:t>
            </w:r>
          </w:p>
        </w:tc>
      </w:tr>
    </w:tbl>
    <w:p>
      <w:pPr>
        <w:pStyle w:val="Heading1"/>
        <w:spacing w:after="120" w:before="300"/>
      </w:pPr>
      <w:r>
        <w:t xml:space="preserve">Continuing This Blueprint</w:t>
      </w:r>
    </w:p>
    <w:p>
      <w:pPr>
        <w:spacing w:after="150" w:line="270"/>
      </w:pPr>
      <w:r>
        <w:t xml:space="preserve">Part 8 completes the platform's boundary architecture: eighteen current or near-term integrations spanning public, productivity, identity, communication, and technical-standard concerns, plus three explicitly future-facing systems named for readiness rather than built today. The API-first standard established in Item 10 is the single design decision doing the most work across this Part — every other integration, current or future, is possible because every module already exposes a documented, governed API rather than requiring bespoke integration work discovered after the fact.</w:t>
      </w:r>
    </w:p>
    <w:p>
      <w:pPr>
        <w:spacing w:after="150" w:line="270"/>
      </w:pPr>
      <w:r>
        <w:t xml:space="preserve">Part 9 will build on this Part's Authentication Services, Identity Providers, and API security touchpoints to define the complete Security Architecture: the control framework spanning identity, application, data, and infrastructure security this Blueprint has referenced piecemeal in Parts 1, 6, and 7, now consolidated into one governed model. Part 10 will then define the Deployment and Migration Architecture; Part 11 the closing Architecture Governance and Implementation Roadmap.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5"/>
      <w:szCs w:val="25"/>
    </w:rPr>
  </w:style>
  <w:style w:type="paragraph" w:styleId="Heading2">
    <w:name w:val="Heading 2"/>
    <w:basedOn w:val="Normal"/>
    <w:next w:val="Normal"/>
    <w:qFormat/>
    <w:pPr>
      <w:spacing w:after="90" w:before="200"/>
    </w:pPr>
    <w:rPr>
      <w:rFonts w:ascii="Arial" w:cs="Arial" w:eastAsia="Arial" w:hAnsi="Arial"/>
      <w:b/>
      <w:bCs/>
      <w:color w:val="2E539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2026-07-17T20:53:55.862Z</dcterms:created>
  <dcterms:modified xsi:type="dcterms:W3CDTF">2026-07-17T20:53:55.863Z</dcterms:modified>
</cp:coreProperties>
</file>

<file path=docProps/custom.xml><?xml version="1.0" encoding="utf-8"?>
<Properties xmlns="http://schemas.openxmlformats.org/officeDocument/2006/custom-properties" xmlns:vt="http://schemas.openxmlformats.org/officeDocument/2006/docPropsVTypes"/>
</file>