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3864"/>
          <w:sz w:val="32"/>
          <w:szCs w:val="32"/>
        </w:rPr>
        <w:t xml:space="preserve">Enterprise Architecture &amp; Digital Transformation Blueprint</w:t>
      </w:r>
    </w:p>
    <w:p>
      <w:pPr>
        <w:spacing w:after="60"/>
        <w:jc w:val="center"/>
      </w:pPr>
      <w:r>
        <w:rPr>
          <w:b/>
          <w:bCs/>
          <w:color w:val="1F3864"/>
          <w:sz w:val="26"/>
          <w:szCs w:val="26"/>
        </w:rPr>
        <w:t xml:space="preserve">Part 9 of 11 — Security Architecture</w:t>
      </w:r>
    </w:p>
    <w:p>
      <w:pPr>
        <w:spacing w:after="260"/>
        <w:jc w:val="center"/>
      </w:pPr>
      <w:r>
        <w:rPr>
          <w:i/>
          <w:iCs/>
          <w:color w:val="555555"/>
          <w:sz w:val="18"/>
          <w:szCs w:val="18"/>
        </w:rPr>
        <w:t xml:space="preserve">19 artifacts from Zero Trust and ISO 27001 through security operations, consolidating security touchpoints from Parts 1-8</w:t>
      </w:r>
    </w:p>
    <w:p>
      <w:pPr>
        <w:pStyle w:val="Heading1"/>
        <w:spacing w:after="130" w:before="300"/>
      </w:pPr>
      <w:r>
        <w:t xml:space="preserve">Introduction to Part 9</w:t>
      </w:r>
    </w:p>
    <w:p>
      <w:pPr>
        <w:spacing w:after="140" w:line="264"/>
      </w:pPr>
      <w:r>
        <w:t xml:space="preserve">Part 9 consolidates the security touchpoints this Blueprint has referenced piecemeal since Part 1's Security-by-Design principle, Part 6's Classification scheme, Part 7's Data Security and Data Privacy sections, and Part 8's Authentication Services and API security controls, into one governed Security Architecture — the TOGAF ADM Phase D-adjacent discipline this Blueprint treats as important enough to warrant its own dedicated Part given the government, multi-donor context.</w:t>
      </w:r>
    </w:p>
    <w:p>
      <w:pPr>
        <w:spacing w:after="140" w:line="264"/>
      </w:pPr>
      <w:r>
        <w:t xml:space="preserve">Nineteen artifacts are organized into four bands: Security Frameworks &amp; Standards (Zero Trust, OWASP, ISO 27001, NDPR), Access Control Principles (Least Privilege, Defense in Depth, RBAC, ABAC, MFA), Protection &amp; Visibility (Encryption, Logging, Monitoring, Audit Trails, Threat Model), and Resilience &amp; Operations (Incident Response, Disaster Recovery, Business Continuity, Security Governance, Security Operations).</w:t>
      </w:r>
    </w:p>
    <w:p>
      <w:pPr>
        <w:spacing w:after="140" w:line="264"/>
      </w:pPr>
      <w:r>
        <w:t xml:space="preserve">None of the four named frameworks and standards is adopted wholesale as an end in itself; each is adopted for the specific controls it contributes to the platform. Zero Trust and OWASP shape technical design; ISO 27001 shapes the management system around that design; NDPR shapes the legal floor the design must clear. Where these frameworks make different recommendations, ISO 27001's risk-based approach is used as the reconciling authority, consistent with the certifications governing this Blueprint.</w:t>
      </w:r>
    </w:p>
    <w:p>
      <w:pPr>
        <w:pStyle w:val="Heading1"/>
        <w:spacing w:after="130" w:before="300"/>
      </w:pPr>
      <w:r>
        <w:t xml:space="preserve">Band 1 — Security Frameworks &amp; Standards</w:t>
      </w:r>
    </w:p>
    <w:p>
      <w:pPr>
        <w:spacing w:after="140" w:line="264"/>
      </w:pPr>
      <w:r>
        <w:t xml:space="preserve">Security Frameworks &amp; Standards are the reference models this Architecture is built against — not implemented as bureaucratic checklists, but as the source of the specific control decisions detailed in the bands that follow.</w:t>
      </w:r>
    </w:p>
    <w:p>
      <w:pPr>
        <w:pStyle w:val="Heading2"/>
        <w:spacing w:after="90" w:before="220"/>
      </w:pPr>
      <w:r>
        <w:t xml:space="preserve">1. Zero Trust</w:t>
      </w:r>
    </w:p>
    <w:p>
      <w:pPr>
        <w:spacing w:after="140" w:line="264"/>
      </w:pPr>
      <w:r>
        <w:t xml:space="preserve">Zero Trust replaces the traditional assumption that anything inside the network perimeter is trustworthy with a 'never trust, always verify' posture appropriate to a multi-state, multi-institution, partly field-based user population where no single network boundary meaningfully contains all legitimate users.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10951"/>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Zero Trust Tenet</w:t>
            </w:r>
          </w:p>
        </w:tc>
        <w:tc>
          <w:tcPr>
            <w:tcW w:type="dxa" w:w="10951"/>
            <w:shd w:fill="1F3864" w:val="clear"/>
            <w:tcMar>
              <w:top w:type="dxa" w:w="70"/>
              <w:left w:type="dxa" w:w="90"/>
              <w:bottom w:type="dxa" w:w="70"/>
              <w:right w:type="dxa" w:w="90"/>
            </w:tcMar>
            <w:vAlign w:val="top"/>
          </w:tcPr>
          <w:p>
            <w:r>
              <w:rPr>
                <w:b/>
                <w:bCs/>
                <w:color w:val="FFFFFF"/>
                <w:sz w:val="17"/>
                <w:szCs w:val="17"/>
              </w:rPr>
              <w:t xml:space="preserve">Platform Implementation</w:t>
            </w:r>
          </w:p>
        </w:tc>
      </w:tr>
      <w:tr>
        <w:tc>
          <w:tcPr>
            <w:tcW w:type="dxa" w:w="3089"/>
            <w:tcMar>
              <w:top w:type="dxa" w:w="70"/>
              <w:left w:type="dxa" w:w="90"/>
              <w:bottom w:type="dxa" w:w="70"/>
              <w:right w:type="dxa" w:w="90"/>
            </w:tcMar>
            <w:vAlign w:val="top"/>
          </w:tcPr>
          <w:p>
            <w:r>
              <w:rPr>
                <w:b/>
                <w:bCs/>
                <w:color w:val="000000"/>
                <w:sz w:val="17"/>
                <w:szCs w:val="17"/>
              </w:rPr>
              <w:t xml:space="preserve">Verify explicitly</w:t>
            </w:r>
          </w:p>
        </w:tc>
        <w:tc>
          <w:tcPr>
            <w:tcW w:type="dxa" w:w="10951"/>
            <w:tcMar>
              <w:top w:type="dxa" w:w="70"/>
              <w:left w:type="dxa" w:w="90"/>
              <w:bottom w:type="dxa" w:w="70"/>
              <w:right w:type="dxa" w:w="90"/>
            </w:tcMar>
            <w:vAlign w:val="top"/>
          </w:tcPr>
          <w:p>
            <w:r>
              <w:rPr>
                <w:b w:val="false"/>
                <w:bCs w:val="false"/>
                <w:color w:val="000000"/>
                <w:sz w:val="17"/>
                <w:szCs w:val="17"/>
              </w:rPr>
              <w:t xml:space="preserve">Every request authenticated and authorized regardless of network origin — a request from an NPCO headquarters workstation and one from a State Team's mobile device are held to the same verification standard.</w:t>
            </w:r>
          </w:p>
        </w:tc>
      </w:tr>
      <w:tr>
        <w:tc>
          <w:tcPr>
            <w:tcW w:type="dxa" w:w="3089"/>
            <w:tcMar>
              <w:top w:type="dxa" w:w="70"/>
              <w:left w:type="dxa" w:w="90"/>
              <w:bottom w:type="dxa" w:w="70"/>
              <w:right w:type="dxa" w:w="90"/>
            </w:tcMar>
            <w:vAlign w:val="top"/>
          </w:tcPr>
          <w:p>
            <w:r>
              <w:rPr>
                <w:b/>
                <w:bCs/>
                <w:color w:val="000000"/>
                <w:sz w:val="17"/>
                <w:szCs w:val="17"/>
              </w:rPr>
              <w:t xml:space="preserve">Least-privilege access</w:t>
            </w:r>
          </w:p>
        </w:tc>
        <w:tc>
          <w:tcPr>
            <w:tcW w:type="dxa" w:w="10951"/>
            <w:tcMar>
              <w:top w:type="dxa" w:w="70"/>
              <w:left w:type="dxa" w:w="90"/>
              <w:bottom w:type="dxa" w:w="70"/>
              <w:right w:type="dxa" w:w="90"/>
            </w:tcMar>
            <w:vAlign w:val="top"/>
          </w:tcPr>
          <w:p>
            <w:r>
              <w:rPr>
                <w:b w:val="false"/>
                <w:bCs w:val="false"/>
                <w:color w:val="000000"/>
                <w:sz w:val="17"/>
                <w:szCs w:val="17"/>
              </w:rPr>
              <w:t xml:space="preserve">Enforced via RBAC/ABAC (below) on every API call, not only at initial login.</w:t>
            </w:r>
          </w:p>
        </w:tc>
      </w:tr>
      <w:tr>
        <w:tc>
          <w:tcPr>
            <w:tcW w:type="dxa" w:w="3089"/>
            <w:tcMar>
              <w:top w:type="dxa" w:w="70"/>
              <w:left w:type="dxa" w:w="90"/>
              <w:bottom w:type="dxa" w:w="70"/>
              <w:right w:type="dxa" w:w="90"/>
            </w:tcMar>
            <w:vAlign w:val="top"/>
          </w:tcPr>
          <w:p>
            <w:r>
              <w:rPr>
                <w:b/>
                <w:bCs/>
                <w:color w:val="000000"/>
                <w:sz w:val="17"/>
                <w:szCs w:val="17"/>
              </w:rPr>
              <w:t xml:space="preserve">Assume breach</w:t>
            </w:r>
          </w:p>
        </w:tc>
        <w:tc>
          <w:tcPr>
            <w:tcW w:type="dxa" w:w="10951"/>
            <w:tcMar>
              <w:top w:type="dxa" w:w="70"/>
              <w:left w:type="dxa" w:w="90"/>
              <w:bottom w:type="dxa" w:w="70"/>
              <w:right w:type="dxa" w:w="90"/>
            </w:tcMar>
            <w:vAlign w:val="top"/>
          </w:tcPr>
          <w:p>
            <w:r>
              <w:rPr>
                <w:b w:val="false"/>
                <w:bCs w:val="false"/>
                <w:color w:val="000000"/>
                <w:sz w:val="17"/>
                <w:szCs w:val="17"/>
              </w:rPr>
              <w:t xml:space="preserve">Network segmentation and continuous monitoring (below) designed on the assumption that a single compromised credential or component should not expose the full platform.</w:t>
            </w:r>
          </w:p>
        </w:tc>
      </w:tr>
      <w:tr>
        <w:tc>
          <w:tcPr>
            <w:tcW w:type="dxa" w:w="3089"/>
            <w:tcMar>
              <w:top w:type="dxa" w:w="70"/>
              <w:left w:type="dxa" w:w="90"/>
              <w:bottom w:type="dxa" w:w="70"/>
              <w:right w:type="dxa" w:w="90"/>
            </w:tcMar>
            <w:vAlign w:val="top"/>
          </w:tcPr>
          <w:p>
            <w:r>
              <w:rPr>
                <w:b/>
                <w:bCs/>
                <w:color w:val="000000"/>
                <w:sz w:val="17"/>
                <w:szCs w:val="17"/>
              </w:rPr>
              <w:t xml:space="preserve">Micro-segmentation</w:t>
            </w:r>
          </w:p>
        </w:tc>
        <w:tc>
          <w:tcPr>
            <w:tcW w:type="dxa" w:w="10951"/>
            <w:tcMar>
              <w:top w:type="dxa" w:w="70"/>
              <w:left w:type="dxa" w:w="90"/>
              <w:bottom w:type="dxa" w:w="70"/>
              <w:right w:type="dxa" w:w="90"/>
            </w:tcMar>
            <w:vAlign w:val="top"/>
          </w:tcPr>
          <w:p>
            <w:r>
              <w:rPr>
                <w:b w:val="false"/>
                <w:bCs w:val="false"/>
                <w:color w:val="000000"/>
                <w:sz w:val="17"/>
                <w:szCs w:val="17"/>
              </w:rPr>
              <w:t xml:space="preserve">Each of Part 4's twelve applications and Part 7's data stores is network-isolated, with explicit, minimal allow-rules between them rather than a flat internal network.</w:t>
            </w:r>
          </w:p>
        </w:tc>
      </w:tr>
      <w:tr>
        <w:tc>
          <w:tcPr>
            <w:tcW w:type="dxa" w:w="3089"/>
            <w:tcMar>
              <w:top w:type="dxa" w:w="70"/>
              <w:left w:type="dxa" w:w="90"/>
              <w:bottom w:type="dxa" w:w="70"/>
              <w:right w:type="dxa" w:w="90"/>
            </w:tcMar>
            <w:vAlign w:val="top"/>
          </w:tcPr>
          <w:p>
            <w:r>
              <w:rPr>
                <w:b/>
                <w:bCs/>
                <w:color w:val="000000"/>
                <w:sz w:val="17"/>
                <w:szCs w:val="17"/>
              </w:rPr>
              <w:t xml:space="preserve">Continuous validation</w:t>
            </w:r>
          </w:p>
        </w:tc>
        <w:tc>
          <w:tcPr>
            <w:tcW w:type="dxa" w:w="10951"/>
            <w:tcMar>
              <w:top w:type="dxa" w:w="70"/>
              <w:left w:type="dxa" w:w="90"/>
              <w:bottom w:type="dxa" w:w="70"/>
              <w:right w:type="dxa" w:w="90"/>
            </w:tcMar>
            <w:vAlign w:val="top"/>
          </w:tcPr>
          <w:p>
            <w:r>
              <w:rPr>
                <w:b w:val="false"/>
                <w:bCs w:val="false"/>
                <w:color w:val="000000"/>
                <w:sz w:val="17"/>
                <w:szCs w:val="17"/>
              </w:rPr>
              <w:t xml:space="preserve">Session tokens short-lived and re-validated; device and location anomalies (Monitoring, below) can trigger re-authentication mid-session.</w:t>
            </w:r>
          </w:p>
        </w:tc>
      </w:tr>
    </w:tbl>
    <w:p>
      <w:pPr>
        <w:pStyle w:val="Heading2"/>
        <w:spacing w:after="90" w:before="220"/>
      </w:pPr>
      <w:r>
        <w:t xml:space="preserve">2. OWASP</w:t>
      </w:r>
    </w:p>
    <w:p>
      <w:pPr>
        <w:spacing w:after="140" w:line="264"/>
      </w:pPr>
      <w:r>
        <w:t xml:space="preserve">OWASP — specifically the OWASP Top 10 web application security risks and the OWASP API Security Top 10 — shapes secure application-development practice for every module built in Part 5, translated here into platform-specific mitigations rather than restated generically.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10951"/>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OWASP Risk Category</w:t>
            </w:r>
          </w:p>
        </w:tc>
        <w:tc>
          <w:tcPr>
            <w:tcW w:type="dxa" w:w="10951"/>
            <w:shd w:fill="1F3864" w:val="clear"/>
            <w:tcMar>
              <w:top w:type="dxa" w:w="70"/>
              <w:left w:type="dxa" w:w="90"/>
              <w:bottom w:type="dxa" w:w="70"/>
              <w:right w:type="dxa" w:w="90"/>
            </w:tcMar>
            <w:vAlign w:val="top"/>
          </w:tcPr>
          <w:p>
            <w:r>
              <w:rPr>
                <w:b/>
                <w:bCs/>
                <w:color w:val="FFFFFF"/>
                <w:sz w:val="17"/>
                <w:szCs w:val="17"/>
              </w:rPr>
              <w:t xml:space="preserve">Platform Mitigation</w:t>
            </w:r>
          </w:p>
        </w:tc>
      </w:tr>
      <w:tr>
        <w:tc>
          <w:tcPr>
            <w:tcW w:type="dxa" w:w="3089"/>
            <w:tcMar>
              <w:top w:type="dxa" w:w="70"/>
              <w:left w:type="dxa" w:w="90"/>
              <w:bottom w:type="dxa" w:w="70"/>
              <w:right w:type="dxa" w:w="90"/>
            </w:tcMar>
            <w:vAlign w:val="top"/>
          </w:tcPr>
          <w:p>
            <w:r>
              <w:rPr>
                <w:b/>
                <w:bCs/>
                <w:color w:val="000000"/>
                <w:sz w:val="17"/>
                <w:szCs w:val="17"/>
              </w:rPr>
              <w:t xml:space="preserve">Broken access control</w:t>
            </w:r>
          </w:p>
        </w:tc>
        <w:tc>
          <w:tcPr>
            <w:tcW w:type="dxa" w:w="10951"/>
            <w:tcMar>
              <w:top w:type="dxa" w:w="70"/>
              <w:left w:type="dxa" w:w="90"/>
              <w:bottom w:type="dxa" w:w="70"/>
              <w:right w:type="dxa" w:w="90"/>
            </w:tcMar>
            <w:vAlign w:val="top"/>
          </w:tcPr>
          <w:p>
            <w:r>
              <w:rPr>
                <w:b w:val="false"/>
                <w:bCs w:val="false"/>
                <w:color w:val="000000"/>
                <w:sz w:val="17"/>
                <w:szCs w:val="17"/>
              </w:rPr>
              <w:t xml:space="preserve">Centralized authorization checks via Identity Management on every request, per the Zero Trust 'verify explicitly' tenet; no module implements its own bespoke access logic.</w:t>
            </w:r>
          </w:p>
        </w:tc>
      </w:tr>
      <w:tr>
        <w:tc>
          <w:tcPr>
            <w:tcW w:type="dxa" w:w="3089"/>
            <w:tcMar>
              <w:top w:type="dxa" w:w="70"/>
              <w:left w:type="dxa" w:w="90"/>
              <w:bottom w:type="dxa" w:w="70"/>
              <w:right w:type="dxa" w:w="90"/>
            </w:tcMar>
            <w:vAlign w:val="top"/>
          </w:tcPr>
          <w:p>
            <w:r>
              <w:rPr>
                <w:b/>
                <w:bCs/>
                <w:color w:val="000000"/>
                <w:sz w:val="17"/>
                <w:szCs w:val="17"/>
              </w:rPr>
              <w:t xml:space="preserve">Injection</w:t>
            </w:r>
          </w:p>
        </w:tc>
        <w:tc>
          <w:tcPr>
            <w:tcW w:type="dxa" w:w="10951"/>
            <w:tcMar>
              <w:top w:type="dxa" w:w="70"/>
              <w:left w:type="dxa" w:w="90"/>
              <w:bottom w:type="dxa" w:w="70"/>
              <w:right w:type="dxa" w:w="90"/>
            </w:tcMar>
            <w:vAlign w:val="top"/>
          </w:tcPr>
          <w:p>
            <w:r>
              <w:rPr>
                <w:b w:val="false"/>
                <w:bCs w:val="false"/>
                <w:color w:val="000000"/>
                <w:sz w:val="17"/>
                <w:szCs w:val="17"/>
              </w:rPr>
              <w:t xml:space="preserve">Parameterized queries and input validation enforced platform-wide; no dynamic query construction from unsanitized input.</w:t>
            </w:r>
          </w:p>
        </w:tc>
      </w:tr>
      <w:tr>
        <w:tc>
          <w:tcPr>
            <w:tcW w:type="dxa" w:w="3089"/>
            <w:tcMar>
              <w:top w:type="dxa" w:w="70"/>
              <w:left w:type="dxa" w:w="90"/>
              <w:bottom w:type="dxa" w:w="70"/>
              <w:right w:type="dxa" w:w="90"/>
            </w:tcMar>
            <w:vAlign w:val="top"/>
          </w:tcPr>
          <w:p>
            <w:r>
              <w:rPr>
                <w:b/>
                <w:bCs/>
                <w:color w:val="000000"/>
                <w:sz w:val="17"/>
                <w:szCs w:val="17"/>
              </w:rPr>
              <w:t xml:space="preserve">Cryptographic failures</w:t>
            </w:r>
          </w:p>
        </w:tc>
        <w:tc>
          <w:tcPr>
            <w:tcW w:type="dxa" w:w="10951"/>
            <w:tcMar>
              <w:top w:type="dxa" w:w="70"/>
              <w:left w:type="dxa" w:w="90"/>
              <w:bottom w:type="dxa" w:w="70"/>
              <w:right w:type="dxa" w:w="90"/>
            </w:tcMar>
            <w:vAlign w:val="top"/>
          </w:tcPr>
          <w:p>
            <w:r>
              <w:rPr>
                <w:b w:val="false"/>
                <w:bCs w:val="false"/>
                <w:color w:val="000000"/>
                <w:sz w:val="17"/>
                <w:szCs w:val="17"/>
              </w:rPr>
              <w:t xml:space="preserve">Encryption at rest and in transit (below) using current, non-deprecated algorithms; no custom cryptography implementations.</w:t>
            </w:r>
          </w:p>
        </w:tc>
      </w:tr>
      <w:tr>
        <w:tc>
          <w:tcPr>
            <w:tcW w:type="dxa" w:w="3089"/>
            <w:tcMar>
              <w:top w:type="dxa" w:w="70"/>
              <w:left w:type="dxa" w:w="90"/>
              <w:bottom w:type="dxa" w:w="70"/>
              <w:right w:type="dxa" w:w="90"/>
            </w:tcMar>
            <w:vAlign w:val="top"/>
          </w:tcPr>
          <w:p>
            <w:r>
              <w:rPr>
                <w:b/>
                <w:bCs/>
                <w:color w:val="000000"/>
                <w:sz w:val="17"/>
                <w:szCs w:val="17"/>
              </w:rPr>
              <w:t xml:space="preserve">Security misconfiguration</w:t>
            </w:r>
          </w:p>
        </w:tc>
        <w:tc>
          <w:tcPr>
            <w:tcW w:type="dxa" w:w="10951"/>
            <w:tcMar>
              <w:top w:type="dxa" w:w="70"/>
              <w:left w:type="dxa" w:w="90"/>
              <w:bottom w:type="dxa" w:w="70"/>
              <w:right w:type="dxa" w:w="90"/>
            </w:tcMar>
            <w:vAlign w:val="top"/>
          </w:tcPr>
          <w:p>
            <w:r>
              <w:rPr>
                <w:b w:val="false"/>
                <w:bCs w:val="false"/>
                <w:color w:val="000000"/>
                <w:sz w:val="17"/>
                <w:szCs w:val="17"/>
              </w:rPr>
              <w:t xml:space="preserve">Infrastructure-as-code deployment (Part 7's configuration backup approach) with a hardened baseline configuration, reviewed at each release.</w:t>
            </w:r>
          </w:p>
        </w:tc>
      </w:tr>
      <w:tr>
        <w:tc>
          <w:tcPr>
            <w:tcW w:type="dxa" w:w="3089"/>
            <w:tcMar>
              <w:top w:type="dxa" w:w="70"/>
              <w:left w:type="dxa" w:w="90"/>
              <w:bottom w:type="dxa" w:w="70"/>
              <w:right w:type="dxa" w:w="90"/>
            </w:tcMar>
            <w:vAlign w:val="top"/>
          </w:tcPr>
          <w:p>
            <w:r>
              <w:rPr>
                <w:b/>
                <w:bCs/>
                <w:color w:val="000000"/>
                <w:sz w:val="17"/>
                <w:szCs w:val="17"/>
              </w:rPr>
              <w:t xml:space="preserve">Vulnerable and outdated components</w:t>
            </w:r>
          </w:p>
        </w:tc>
        <w:tc>
          <w:tcPr>
            <w:tcW w:type="dxa" w:w="10951"/>
            <w:tcMar>
              <w:top w:type="dxa" w:w="70"/>
              <w:left w:type="dxa" w:w="90"/>
              <w:bottom w:type="dxa" w:w="70"/>
              <w:right w:type="dxa" w:w="90"/>
            </w:tcMar>
            <w:vAlign w:val="top"/>
          </w:tcPr>
          <w:p>
            <w:r>
              <w:rPr>
                <w:b w:val="false"/>
                <w:bCs w:val="false"/>
                <w:color w:val="000000"/>
                <w:sz w:val="17"/>
                <w:szCs w:val="17"/>
              </w:rPr>
              <w:t xml:space="preserve">Automated dependency scanning integrated into the DevSecOps pipeline (Part 10 will elaborate the deployment pipeline itself).</w:t>
            </w:r>
          </w:p>
        </w:tc>
      </w:tr>
      <w:tr>
        <w:tc>
          <w:tcPr>
            <w:tcW w:type="dxa" w:w="3089"/>
            <w:tcMar>
              <w:top w:type="dxa" w:w="70"/>
              <w:left w:type="dxa" w:w="90"/>
              <w:bottom w:type="dxa" w:w="70"/>
              <w:right w:type="dxa" w:w="90"/>
            </w:tcMar>
            <w:vAlign w:val="top"/>
          </w:tcPr>
          <w:p>
            <w:r>
              <w:rPr>
                <w:b/>
                <w:bCs/>
                <w:color w:val="000000"/>
                <w:sz w:val="17"/>
                <w:szCs w:val="17"/>
              </w:rPr>
              <w:t xml:space="preserve">Identification and authentication failures</w:t>
            </w:r>
          </w:p>
        </w:tc>
        <w:tc>
          <w:tcPr>
            <w:tcW w:type="dxa" w:w="10951"/>
            <w:tcMar>
              <w:top w:type="dxa" w:w="70"/>
              <w:left w:type="dxa" w:w="90"/>
              <w:bottom w:type="dxa" w:w="70"/>
              <w:right w:type="dxa" w:w="90"/>
            </w:tcMar>
            <w:vAlign w:val="top"/>
          </w:tcPr>
          <w:p>
            <w:r>
              <w:rPr>
                <w:b w:val="false"/>
                <w:bCs w:val="false"/>
                <w:color w:val="000000"/>
                <w:sz w:val="17"/>
                <w:szCs w:val="17"/>
              </w:rPr>
              <w:t xml:space="preserve">MFA (below) and the Authentication Services integration (Part 8) rather than platform-native password handling.</w:t>
            </w:r>
          </w:p>
        </w:tc>
      </w:tr>
      <w:tr>
        <w:tc>
          <w:tcPr>
            <w:tcW w:type="dxa" w:w="3089"/>
            <w:tcMar>
              <w:top w:type="dxa" w:w="70"/>
              <w:left w:type="dxa" w:w="90"/>
              <w:bottom w:type="dxa" w:w="70"/>
              <w:right w:type="dxa" w:w="90"/>
            </w:tcMar>
            <w:vAlign w:val="top"/>
          </w:tcPr>
          <w:p>
            <w:r>
              <w:rPr>
                <w:b/>
                <w:bCs/>
                <w:color w:val="000000"/>
                <w:sz w:val="17"/>
                <w:szCs w:val="17"/>
              </w:rPr>
              <w:t xml:space="preserve">Server-side request forgery / API-specific risks</w:t>
            </w:r>
          </w:p>
        </w:tc>
        <w:tc>
          <w:tcPr>
            <w:tcW w:type="dxa" w:w="10951"/>
            <w:tcMar>
              <w:top w:type="dxa" w:w="70"/>
              <w:left w:type="dxa" w:w="90"/>
              <w:bottom w:type="dxa" w:w="70"/>
              <w:right w:type="dxa" w:w="90"/>
            </w:tcMar>
            <w:vAlign w:val="top"/>
          </w:tcPr>
          <w:p>
            <w:r>
              <w:rPr>
                <w:b w:val="false"/>
                <w:bCs w:val="false"/>
                <w:color w:val="000000"/>
                <w:sz w:val="17"/>
                <w:szCs w:val="17"/>
              </w:rPr>
              <w:t xml:space="preserve">API gateway-enforced rate limiting, input validation, and allow-listing, per Part 8's API standards.</w:t>
            </w:r>
          </w:p>
        </w:tc>
      </w:tr>
    </w:tbl>
    <w:p>
      <w:pPr>
        <w:pStyle w:val="Heading2"/>
        <w:spacing w:after="90" w:before="220"/>
      </w:pPr>
      <w:r>
        <w:t xml:space="preserve">3. ISO 27001</w:t>
      </w:r>
    </w:p>
    <w:p>
      <w:pPr>
        <w:spacing w:after="140" w:line="264"/>
      </w:pPr>
      <w:r>
        <w:t xml:space="preserve">ISO/IEC 27001 provides the management-system backbone — the Information Security Management System (ISMS) — within which the technical controls of this Part operate, mapped here to its Annex A control domains at a level an external auditor would recognize.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10951"/>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Annex A Control Domain</w:t>
            </w:r>
          </w:p>
        </w:tc>
        <w:tc>
          <w:tcPr>
            <w:tcW w:type="dxa" w:w="10951"/>
            <w:shd w:fill="1F3864" w:val="clear"/>
            <w:tcMar>
              <w:top w:type="dxa" w:w="70"/>
              <w:left w:type="dxa" w:w="90"/>
              <w:bottom w:type="dxa" w:w="70"/>
              <w:right w:type="dxa" w:w="90"/>
            </w:tcMar>
            <w:vAlign w:val="top"/>
          </w:tcPr>
          <w:p>
            <w:r>
              <w:rPr>
                <w:b/>
                <w:bCs/>
                <w:color w:val="FFFFFF"/>
                <w:sz w:val="17"/>
                <w:szCs w:val="17"/>
              </w:rPr>
              <w:t xml:space="preserve">Platform / Programme Implementation</w:t>
            </w:r>
          </w:p>
        </w:tc>
      </w:tr>
      <w:tr>
        <w:tc>
          <w:tcPr>
            <w:tcW w:type="dxa" w:w="3089"/>
            <w:tcMar>
              <w:top w:type="dxa" w:w="70"/>
              <w:left w:type="dxa" w:w="90"/>
              <w:bottom w:type="dxa" w:w="70"/>
              <w:right w:type="dxa" w:w="90"/>
            </w:tcMar>
            <w:vAlign w:val="top"/>
          </w:tcPr>
          <w:p>
            <w:r>
              <w:rPr>
                <w:b/>
                <w:bCs/>
                <w:color w:val="000000"/>
                <w:sz w:val="17"/>
                <w:szCs w:val="17"/>
              </w:rPr>
              <w:t xml:space="preserve">A.5 Organizational controls</w:t>
            </w:r>
          </w:p>
        </w:tc>
        <w:tc>
          <w:tcPr>
            <w:tcW w:type="dxa" w:w="10951"/>
            <w:tcMar>
              <w:top w:type="dxa" w:w="70"/>
              <w:left w:type="dxa" w:w="90"/>
              <w:bottom w:type="dxa" w:w="70"/>
              <w:right w:type="dxa" w:w="90"/>
            </w:tcMar>
            <w:vAlign w:val="top"/>
          </w:tcPr>
          <w:p>
            <w:r>
              <w:rPr>
                <w:b w:val="false"/>
                <w:bCs w:val="false"/>
                <w:color w:val="000000"/>
                <w:sz w:val="17"/>
                <w:szCs w:val="17"/>
              </w:rPr>
              <w:t xml:space="preserve">Security Governance structure (below), policies, and the Data &amp; Content Governance Board's security remit (Part 2).</w:t>
            </w:r>
          </w:p>
        </w:tc>
      </w:tr>
      <w:tr>
        <w:tc>
          <w:tcPr>
            <w:tcW w:type="dxa" w:w="3089"/>
            <w:tcMar>
              <w:top w:type="dxa" w:w="70"/>
              <w:left w:type="dxa" w:w="90"/>
              <w:bottom w:type="dxa" w:w="70"/>
              <w:right w:type="dxa" w:w="90"/>
            </w:tcMar>
            <w:vAlign w:val="top"/>
          </w:tcPr>
          <w:p>
            <w:r>
              <w:rPr>
                <w:b/>
                <w:bCs/>
                <w:color w:val="000000"/>
                <w:sz w:val="17"/>
                <w:szCs w:val="17"/>
              </w:rPr>
              <w:t xml:space="preserve">A.6 People controls</w:t>
            </w:r>
          </w:p>
        </w:tc>
        <w:tc>
          <w:tcPr>
            <w:tcW w:type="dxa" w:w="10951"/>
            <w:tcMar>
              <w:top w:type="dxa" w:w="70"/>
              <w:left w:type="dxa" w:w="90"/>
              <w:bottom w:type="dxa" w:w="70"/>
              <w:right w:type="dxa" w:w="90"/>
            </w:tcMar>
            <w:vAlign w:val="top"/>
          </w:tcPr>
          <w:p>
            <w:r>
              <w:rPr>
                <w:b w:val="false"/>
                <w:bCs w:val="false"/>
                <w:color w:val="000000"/>
                <w:sz w:val="17"/>
                <w:szCs w:val="17"/>
              </w:rPr>
              <w:t xml:space="preserve">Background screening for privileged roles; security awareness training integrated into the Training module (Part 5, Module 24).</w:t>
            </w:r>
          </w:p>
        </w:tc>
      </w:tr>
      <w:tr>
        <w:tc>
          <w:tcPr>
            <w:tcW w:type="dxa" w:w="3089"/>
            <w:tcMar>
              <w:top w:type="dxa" w:w="70"/>
              <w:left w:type="dxa" w:w="90"/>
              <w:bottom w:type="dxa" w:w="70"/>
              <w:right w:type="dxa" w:w="90"/>
            </w:tcMar>
            <w:vAlign w:val="top"/>
          </w:tcPr>
          <w:p>
            <w:r>
              <w:rPr>
                <w:b/>
                <w:bCs/>
                <w:color w:val="000000"/>
                <w:sz w:val="17"/>
                <w:szCs w:val="17"/>
              </w:rPr>
              <w:t xml:space="preserve">A.7 Physical controls</w:t>
            </w:r>
          </w:p>
        </w:tc>
        <w:tc>
          <w:tcPr>
            <w:tcW w:type="dxa" w:w="10951"/>
            <w:tcMar>
              <w:top w:type="dxa" w:w="70"/>
              <w:left w:type="dxa" w:w="90"/>
              <w:bottom w:type="dxa" w:w="70"/>
              <w:right w:type="dxa" w:w="90"/>
            </w:tcMar>
            <w:vAlign w:val="top"/>
          </w:tcPr>
          <w:p>
            <w:r>
              <w:rPr>
                <w:b w:val="false"/>
                <w:bCs w:val="false"/>
                <w:color w:val="000000"/>
                <w:sz w:val="17"/>
                <w:szCs w:val="17"/>
              </w:rPr>
              <w:t xml:space="preserve">Applies principally to hosting-provider data center controls, inherited via the chosen infrastructure provider's own ISO 27001 certification.</w:t>
            </w:r>
          </w:p>
        </w:tc>
      </w:tr>
      <w:tr>
        <w:tc>
          <w:tcPr>
            <w:tcW w:type="dxa" w:w="3089"/>
            <w:tcMar>
              <w:top w:type="dxa" w:w="70"/>
              <w:left w:type="dxa" w:w="90"/>
              <w:bottom w:type="dxa" w:w="70"/>
              <w:right w:type="dxa" w:w="90"/>
            </w:tcMar>
            <w:vAlign w:val="top"/>
          </w:tcPr>
          <w:p>
            <w:r>
              <w:rPr>
                <w:b/>
                <w:bCs/>
                <w:color w:val="000000"/>
                <w:sz w:val="17"/>
                <w:szCs w:val="17"/>
              </w:rPr>
              <w:t xml:space="preserve">A.8 Technological controls</w:t>
            </w:r>
          </w:p>
        </w:tc>
        <w:tc>
          <w:tcPr>
            <w:tcW w:type="dxa" w:w="10951"/>
            <w:tcMar>
              <w:top w:type="dxa" w:w="70"/>
              <w:left w:type="dxa" w:w="90"/>
              <w:bottom w:type="dxa" w:w="70"/>
              <w:right w:type="dxa" w:w="90"/>
            </w:tcMar>
            <w:vAlign w:val="top"/>
          </w:tcPr>
          <w:p>
            <w:r>
              <w:rPr>
                <w:b w:val="false"/>
                <w:bCs w:val="false"/>
                <w:color w:val="000000"/>
                <w:sz w:val="17"/>
                <w:szCs w:val="17"/>
              </w:rPr>
              <w:t xml:space="preserve">Access control, cryptography, logging, malware protection, and secure development — the bulk of this Part's remaining bands.</w:t>
            </w:r>
          </w:p>
        </w:tc>
      </w:tr>
      <w:tr>
        <w:tc>
          <w:tcPr>
            <w:tcW w:type="dxa" w:w="3089"/>
            <w:tcMar>
              <w:top w:type="dxa" w:w="70"/>
              <w:left w:type="dxa" w:w="90"/>
              <w:bottom w:type="dxa" w:w="70"/>
              <w:right w:type="dxa" w:w="90"/>
            </w:tcMar>
            <w:vAlign w:val="top"/>
          </w:tcPr>
          <w:p>
            <w:r>
              <w:rPr>
                <w:b/>
                <w:bCs/>
                <w:color w:val="000000"/>
                <w:sz w:val="17"/>
                <w:szCs w:val="17"/>
              </w:rPr>
              <w:t xml:space="preserve">Risk assessment and treatment</w:t>
            </w:r>
          </w:p>
        </w:tc>
        <w:tc>
          <w:tcPr>
            <w:tcW w:type="dxa" w:w="10951"/>
            <w:tcMar>
              <w:top w:type="dxa" w:w="70"/>
              <w:left w:type="dxa" w:w="90"/>
              <w:bottom w:type="dxa" w:w="70"/>
              <w:right w:type="dxa" w:w="90"/>
            </w:tcMar>
            <w:vAlign w:val="top"/>
          </w:tcPr>
          <w:p>
            <w:r>
              <w:rPr>
                <w:b w:val="false"/>
                <w:bCs w:val="false"/>
                <w:color w:val="000000"/>
                <w:sz w:val="17"/>
                <w:szCs w:val="17"/>
              </w:rPr>
              <w:t xml:space="preserve">A formal risk register — the Threat Model (below) — reviewed at the same cadence as Part 6's Risk Register process.</w:t>
            </w:r>
          </w:p>
        </w:tc>
      </w:tr>
      <w:tr>
        <w:tc>
          <w:tcPr>
            <w:tcW w:type="dxa" w:w="3089"/>
            <w:tcMar>
              <w:top w:type="dxa" w:w="70"/>
              <w:left w:type="dxa" w:w="90"/>
              <w:bottom w:type="dxa" w:w="70"/>
              <w:right w:type="dxa" w:w="90"/>
            </w:tcMar>
            <w:vAlign w:val="top"/>
          </w:tcPr>
          <w:p>
            <w:r>
              <w:rPr>
                <w:b/>
                <w:bCs/>
                <w:color w:val="000000"/>
                <w:sz w:val="17"/>
                <w:szCs w:val="17"/>
              </w:rPr>
              <w:t xml:space="preserve">Internal audit and management review</w:t>
            </w:r>
          </w:p>
        </w:tc>
        <w:tc>
          <w:tcPr>
            <w:tcW w:type="dxa" w:w="10951"/>
            <w:tcMar>
              <w:top w:type="dxa" w:w="70"/>
              <w:left w:type="dxa" w:w="90"/>
              <w:bottom w:type="dxa" w:w="70"/>
              <w:right w:type="dxa" w:w="90"/>
            </w:tcMar>
            <w:vAlign w:val="top"/>
          </w:tcPr>
          <w:p>
            <w:r>
              <w:rPr>
                <w:b w:val="false"/>
                <w:bCs w:val="false"/>
                <w:color w:val="000000"/>
                <w:sz w:val="17"/>
                <w:szCs w:val="17"/>
              </w:rPr>
              <w:t xml:space="preserve">Annual ISMS internal audit, reported to the Steering Committee alongside the Master document's other governance reporting.</w:t>
            </w:r>
          </w:p>
        </w:tc>
      </w:tr>
    </w:tbl>
    <w:p>
      <w:pPr>
        <w:pStyle w:val="Heading2"/>
        <w:spacing w:after="90" w:before="220"/>
      </w:pPr>
      <w:r>
        <w:t xml:space="preserve">4. NDPR</w:t>
      </w:r>
    </w:p>
    <w:p>
      <w:pPr>
        <w:spacing w:after="140" w:line="264"/>
      </w:pPr>
      <w:r>
        <w:t xml:space="preserve">NDPR — the Nigeria Data Protection Regulation, now operating under the Nigeria Data Protection Act 2023 and the oversight of the Nigeria Data Protection Commission — sets the legal floor for personal data handling introduced in Part 7's Data Privacy section; this entry restates it here as a security control checklist rather than a policy statement, since compliance is ultimately demonstrated through controls, not intentions.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10951"/>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NDPR Requirement</w:t>
            </w:r>
          </w:p>
        </w:tc>
        <w:tc>
          <w:tcPr>
            <w:tcW w:type="dxa" w:w="10951"/>
            <w:shd w:fill="1F3864" w:val="clear"/>
            <w:tcMar>
              <w:top w:type="dxa" w:w="70"/>
              <w:left w:type="dxa" w:w="90"/>
              <w:bottom w:type="dxa" w:w="70"/>
              <w:right w:type="dxa" w:w="90"/>
            </w:tcMar>
            <w:vAlign w:val="top"/>
          </w:tcPr>
          <w:p>
            <w:r>
              <w:rPr>
                <w:b/>
                <w:bCs/>
                <w:color w:val="FFFFFF"/>
                <w:sz w:val="17"/>
                <w:szCs w:val="17"/>
              </w:rPr>
              <w:t xml:space="preserve">Platform Control</w:t>
            </w:r>
          </w:p>
        </w:tc>
      </w:tr>
      <w:tr>
        <w:tc>
          <w:tcPr>
            <w:tcW w:type="dxa" w:w="3089"/>
            <w:tcMar>
              <w:top w:type="dxa" w:w="70"/>
              <w:left w:type="dxa" w:w="90"/>
              <w:bottom w:type="dxa" w:w="70"/>
              <w:right w:type="dxa" w:w="90"/>
            </w:tcMar>
            <w:vAlign w:val="top"/>
          </w:tcPr>
          <w:p>
            <w:r>
              <w:rPr>
                <w:b/>
                <w:bCs/>
                <w:color w:val="000000"/>
                <w:sz w:val="17"/>
                <w:szCs w:val="17"/>
              </w:rPr>
              <w:t xml:space="preserve">Data Protection Impact Assessment for high-risk processing</w:t>
            </w:r>
          </w:p>
        </w:tc>
        <w:tc>
          <w:tcPr>
            <w:tcW w:type="dxa" w:w="10951"/>
            <w:tcMar>
              <w:top w:type="dxa" w:w="70"/>
              <w:left w:type="dxa" w:w="90"/>
              <w:bottom w:type="dxa" w:w="70"/>
              <w:right w:type="dxa" w:w="90"/>
            </w:tcMar>
            <w:vAlign w:val="top"/>
          </w:tcPr>
          <w:p>
            <w:r>
              <w:rPr>
                <w:b w:val="false"/>
                <w:bCs w:val="false"/>
                <w:color w:val="000000"/>
                <w:sz w:val="17"/>
                <w:szCs w:val="17"/>
              </w:rPr>
              <w:t xml:space="preserve">Conducted before go-live for the Identity Management and Public Portal modules, the two modules processing the most personal data.</w:t>
            </w:r>
          </w:p>
        </w:tc>
      </w:tr>
      <w:tr>
        <w:tc>
          <w:tcPr>
            <w:tcW w:type="dxa" w:w="3089"/>
            <w:tcMar>
              <w:top w:type="dxa" w:w="70"/>
              <w:left w:type="dxa" w:w="90"/>
              <w:bottom w:type="dxa" w:w="70"/>
              <w:right w:type="dxa" w:w="90"/>
            </w:tcMar>
            <w:vAlign w:val="top"/>
          </w:tcPr>
          <w:p>
            <w:r>
              <w:rPr>
                <w:b/>
                <w:bCs/>
                <w:color w:val="000000"/>
                <w:sz w:val="17"/>
                <w:szCs w:val="17"/>
              </w:rPr>
              <w:t xml:space="preserve">Data Protection Officer designation and registration</w:t>
            </w:r>
          </w:p>
        </w:tc>
        <w:tc>
          <w:tcPr>
            <w:tcW w:type="dxa" w:w="10951"/>
            <w:tcMar>
              <w:top w:type="dxa" w:w="70"/>
              <w:left w:type="dxa" w:w="90"/>
              <w:bottom w:type="dxa" w:w="70"/>
              <w:right w:type="dxa" w:w="90"/>
            </w:tcMar>
            <w:vAlign w:val="top"/>
          </w:tcPr>
          <w:p>
            <w:r>
              <w:rPr>
                <w:b w:val="false"/>
                <w:bCs w:val="false"/>
                <w:color w:val="000000"/>
                <w:sz w:val="17"/>
                <w:szCs w:val="17"/>
              </w:rPr>
              <w:t xml:space="preserve">NPCO to designate and register a Data Protection Officer with the NDPC, coordinating with the Data &amp; Content Governance Board.</w:t>
            </w:r>
          </w:p>
        </w:tc>
      </w:tr>
      <w:tr>
        <w:tc>
          <w:tcPr>
            <w:tcW w:type="dxa" w:w="3089"/>
            <w:tcMar>
              <w:top w:type="dxa" w:w="70"/>
              <w:left w:type="dxa" w:w="90"/>
              <w:bottom w:type="dxa" w:w="70"/>
              <w:right w:type="dxa" w:w="90"/>
            </w:tcMar>
            <w:vAlign w:val="top"/>
          </w:tcPr>
          <w:p>
            <w:r>
              <w:rPr>
                <w:b/>
                <w:bCs/>
                <w:color w:val="000000"/>
                <w:sz w:val="17"/>
                <w:szCs w:val="17"/>
              </w:rPr>
              <w:t xml:space="preserve">Security safeguards proportionate to data sensitivity</w:t>
            </w:r>
          </w:p>
        </w:tc>
        <w:tc>
          <w:tcPr>
            <w:tcW w:type="dxa" w:w="10951"/>
            <w:tcMar>
              <w:top w:type="dxa" w:w="70"/>
              <w:left w:type="dxa" w:w="90"/>
              <w:bottom w:type="dxa" w:w="70"/>
              <w:right w:type="dxa" w:w="90"/>
            </w:tcMar>
            <w:vAlign w:val="top"/>
          </w:tcPr>
          <w:p>
            <w:r>
              <w:rPr>
                <w:b w:val="false"/>
                <w:bCs w:val="false"/>
                <w:color w:val="000000"/>
                <w:sz w:val="17"/>
                <w:szCs w:val="17"/>
              </w:rPr>
              <w:t xml:space="preserve">Directly implemented via the Classification tiers (Part 6) and their corresponding access and encryption controls.</w:t>
            </w:r>
          </w:p>
        </w:tc>
      </w:tr>
      <w:tr>
        <w:tc>
          <w:tcPr>
            <w:tcW w:type="dxa" w:w="3089"/>
            <w:tcMar>
              <w:top w:type="dxa" w:w="70"/>
              <w:left w:type="dxa" w:w="90"/>
              <w:bottom w:type="dxa" w:w="70"/>
              <w:right w:type="dxa" w:w="90"/>
            </w:tcMar>
            <w:vAlign w:val="top"/>
          </w:tcPr>
          <w:p>
            <w:r>
              <w:rPr>
                <w:b/>
                <w:bCs/>
                <w:color w:val="000000"/>
                <w:sz w:val="17"/>
                <w:szCs w:val="17"/>
              </w:rPr>
              <w:t xml:space="preserve">Data breach notification</w:t>
            </w:r>
          </w:p>
        </w:tc>
        <w:tc>
          <w:tcPr>
            <w:tcW w:type="dxa" w:w="10951"/>
            <w:tcMar>
              <w:top w:type="dxa" w:w="70"/>
              <w:left w:type="dxa" w:w="90"/>
              <w:bottom w:type="dxa" w:w="70"/>
              <w:right w:type="dxa" w:w="90"/>
            </w:tcMar>
            <w:vAlign w:val="top"/>
          </w:tcPr>
          <w:p>
            <w:r>
              <w:rPr>
                <w:b w:val="false"/>
                <w:bCs w:val="false"/>
                <w:color w:val="000000"/>
                <w:sz w:val="17"/>
                <w:szCs w:val="17"/>
              </w:rPr>
              <w:t xml:space="preserve">Incident Response process (below) includes an NDPC and affected-data-subject notification step within the regulation's required timeframe.</w:t>
            </w:r>
          </w:p>
        </w:tc>
      </w:tr>
      <w:tr>
        <w:tc>
          <w:tcPr>
            <w:tcW w:type="dxa" w:w="3089"/>
            <w:tcMar>
              <w:top w:type="dxa" w:w="70"/>
              <w:left w:type="dxa" w:w="90"/>
              <w:bottom w:type="dxa" w:w="70"/>
              <w:right w:type="dxa" w:w="90"/>
            </w:tcMar>
            <w:vAlign w:val="top"/>
          </w:tcPr>
          <w:p>
            <w:r>
              <w:rPr>
                <w:b/>
                <w:bCs/>
                <w:color w:val="000000"/>
                <w:sz w:val="17"/>
                <w:szCs w:val="17"/>
              </w:rPr>
              <w:t xml:space="preserve">Data localization / cross-border transfer safeguards</w:t>
            </w:r>
          </w:p>
        </w:tc>
        <w:tc>
          <w:tcPr>
            <w:tcW w:type="dxa" w:w="10951"/>
            <w:tcMar>
              <w:top w:type="dxa" w:w="70"/>
              <w:left w:type="dxa" w:w="90"/>
              <w:bottom w:type="dxa" w:w="70"/>
              <w:right w:type="dxa" w:w="90"/>
            </w:tcMar>
            <w:vAlign w:val="top"/>
          </w:tcPr>
          <w:p>
            <w:r>
              <w:rPr>
                <w:b w:val="false"/>
                <w:bCs w:val="false"/>
                <w:color w:val="000000"/>
                <w:sz w:val="17"/>
                <w:szCs w:val="17"/>
              </w:rPr>
              <w:t xml:space="preserve">Confirmed against current NDPC guidance before any non-Nigeria-based hosting decision is finalized (see Part 7's Data Privacy note on this same point).</w:t>
            </w:r>
          </w:p>
        </w:tc>
      </w:tr>
    </w:tbl>
    <w:p>
      <w:pPr>
        <w:pStyle w:val="Heading1"/>
        <w:spacing w:after="130" w:before="300"/>
      </w:pPr>
      <w:r>
        <w:t xml:space="preserve">Band 2 — Access Control Principles</w:t>
      </w:r>
    </w:p>
    <w:p>
      <w:pPr>
        <w:spacing w:after="140" w:line="264"/>
      </w:pPr>
      <w:r>
        <w:t xml:space="preserve">Access Control Principles govern who can do what, translating Part 6's Classification scheme and Part 7's access-enforcement controls into the specific mechanisms — role, attribute, and factor-based — that implement them.</w:t>
      </w:r>
    </w:p>
    <w:p>
      <w:pPr>
        <w:pStyle w:val="Heading2"/>
        <w:spacing w:after="90" w:before="220"/>
      </w:pPr>
      <w:r>
        <w:t xml:space="preserve">5. Least Privilege</w:t>
      </w:r>
    </w:p>
    <w:p>
      <w:pPr>
        <w:spacing w:after="140" w:line="264"/>
      </w:pPr>
      <w:r>
        <w:t xml:space="preserve">Least Privilege ensures every user, service account, and integration holds only the minimum access necessary for its function — the specific mechanism through which the Zero Trust tenet of the same name is actually enforced day to day.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10951"/>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Access Scenario</w:t>
            </w:r>
          </w:p>
        </w:tc>
        <w:tc>
          <w:tcPr>
            <w:tcW w:type="dxa" w:w="10951"/>
            <w:shd w:fill="1F3864" w:val="clear"/>
            <w:tcMar>
              <w:top w:type="dxa" w:w="70"/>
              <w:left w:type="dxa" w:w="90"/>
              <w:bottom w:type="dxa" w:w="70"/>
              <w:right w:type="dxa" w:w="90"/>
            </w:tcMar>
            <w:vAlign w:val="top"/>
          </w:tcPr>
          <w:p>
            <w:r>
              <w:rPr>
                <w:b/>
                <w:bCs/>
                <w:color w:val="FFFFFF"/>
                <w:sz w:val="17"/>
                <w:szCs w:val="17"/>
              </w:rPr>
              <w:t xml:space="preserve">Least-Privilege Implementation</w:t>
            </w:r>
          </w:p>
        </w:tc>
      </w:tr>
      <w:tr>
        <w:tc>
          <w:tcPr>
            <w:tcW w:type="dxa" w:w="3089"/>
            <w:tcMar>
              <w:top w:type="dxa" w:w="70"/>
              <w:left w:type="dxa" w:w="90"/>
              <w:bottom w:type="dxa" w:w="70"/>
              <w:right w:type="dxa" w:w="90"/>
            </w:tcMar>
            <w:vAlign w:val="top"/>
          </w:tcPr>
          <w:p>
            <w:r>
              <w:rPr>
                <w:b/>
                <w:bCs/>
                <w:color w:val="000000"/>
                <w:sz w:val="17"/>
                <w:szCs w:val="17"/>
              </w:rPr>
              <w:t xml:space="preserve">State Team user</w:t>
            </w:r>
          </w:p>
        </w:tc>
        <w:tc>
          <w:tcPr>
            <w:tcW w:type="dxa" w:w="10951"/>
            <w:tcMar>
              <w:top w:type="dxa" w:w="70"/>
              <w:left w:type="dxa" w:w="90"/>
              <w:bottom w:type="dxa" w:w="70"/>
              <w:right w:type="dxa" w:w="90"/>
            </w:tcMar>
            <w:vAlign w:val="top"/>
          </w:tcPr>
          <w:p>
            <w:r>
              <w:rPr>
                <w:b w:val="false"/>
                <w:bCs w:val="false"/>
                <w:color w:val="000000"/>
                <w:sz w:val="17"/>
                <w:szCs w:val="17"/>
              </w:rPr>
              <w:t xml:space="preserve">Access scoped to their own state's projects and tasks by default; cross-state visibility requires an explicit role grant, not a platform default.</w:t>
            </w:r>
          </w:p>
        </w:tc>
      </w:tr>
      <w:tr>
        <w:tc>
          <w:tcPr>
            <w:tcW w:type="dxa" w:w="3089"/>
            <w:tcMar>
              <w:top w:type="dxa" w:w="70"/>
              <w:left w:type="dxa" w:w="90"/>
              <w:bottom w:type="dxa" w:w="70"/>
              <w:right w:type="dxa" w:w="90"/>
            </w:tcMar>
            <w:vAlign w:val="top"/>
          </w:tcPr>
          <w:p>
            <w:r>
              <w:rPr>
                <w:b/>
                <w:bCs/>
                <w:color w:val="000000"/>
                <w:sz w:val="17"/>
                <w:szCs w:val="17"/>
              </w:rPr>
              <w:t xml:space="preserve">Service account for the Data Warehouse ETL pipeline (Part 7)</w:t>
            </w:r>
          </w:p>
        </w:tc>
        <w:tc>
          <w:tcPr>
            <w:tcW w:type="dxa" w:w="10951"/>
            <w:tcMar>
              <w:top w:type="dxa" w:w="70"/>
              <w:left w:type="dxa" w:w="90"/>
              <w:bottom w:type="dxa" w:w="70"/>
              <w:right w:type="dxa" w:w="90"/>
            </w:tcMar>
            <w:vAlign w:val="top"/>
          </w:tcPr>
          <w:p>
            <w:r>
              <w:rPr>
                <w:b w:val="false"/>
                <w:bCs w:val="false"/>
                <w:color w:val="000000"/>
                <w:sz w:val="17"/>
                <w:szCs w:val="17"/>
              </w:rPr>
              <w:t xml:space="preserve">Read-only access to source tables; write access only to warehouse target tables — never both directions on the same account.</w:t>
            </w:r>
          </w:p>
        </w:tc>
      </w:tr>
      <w:tr>
        <w:tc>
          <w:tcPr>
            <w:tcW w:type="dxa" w:w="3089"/>
            <w:tcMar>
              <w:top w:type="dxa" w:w="70"/>
              <w:left w:type="dxa" w:w="90"/>
              <w:bottom w:type="dxa" w:w="70"/>
              <w:right w:type="dxa" w:w="90"/>
            </w:tcMar>
            <w:vAlign w:val="top"/>
          </w:tcPr>
          <w:p>
            <w:r>
              <w:rPr>
                <w:b/>
                <w:bCs/>
                <w:color w:val="000000"/>
                <w:sz w:val="17"/>
                <w:szCs w:val="17"/>
              </w:rPr>
              <w:t xml:space="preserve">Third-party integration (e.g., Power BI, Part 8)</w:t>
            </w:r>
          </w:p>
        </w:tc>
        <w:tc>
          <w:tcPr>
            <w:tcW w:type="dxa" w:w="10951"/>
            <w:tcMar>
              <w:top w:type="dxa" w:w="70"/>
              <w:left w:type="dxa" w:w="90"/>
              <w:bottom w:type="dxa" w:w="70"/>
              <w:right w:type="dxa" w:w="90"/>
            </w:tcMar>
            <w:vAlign w:val="top"/>
          </w:tcPr>
          <w:p>
            <w:r>
              <w:rPr>
                <w:b w:val="false"/>
                <w:bCs w:val="false"/>
                <w:color w:val="000000"/>
                <w:sz w:val="17"/>
                <w:szCs w:val="17"/>
              </w:rPr>
              <w:t xml:space="preserve">Read-only, warehouse-view-scoped credential, never a credential with access to operational transactional data.</w:t>
            </w:r>
          </w:p>
        </w:tc>
      </w:tr>
      <w:tr>
        <w:tc>
          <w:tcPr>
            <w:tcW w:type="dxa" w:w="3089"/>
            <w:tcMar>
              <w:top w:type="dxa" w:w="70"/>
              <w:left w:type="dxa" w:w="90"/>
              <w:bottom w:type="dxa" w:w="70"/>
              <w:right w:type="dxa" w:w="90"/>
            </w:tcMar>
            <w:vAlign w:val="top"/>
          </w:tcPr>
          <w:p>
            <w:r>
              <w:rPr>
                <w:b/>
                <w:bCs/>
                <w:color w:val="000000"/>
                <w:sz w:val="17"/>
                <w:szCs w:val="17"/>
              </w:rPr>
              <w:t xml:space="preserve">Administrator accounts</w:t>
            </w:r>
          </w:p>
        </w:tc>
        <w:tc>
          <w:tcPr>
            <w:tcW w:type="dxa" w:w="10951"/>
            <w:tcMar>
              <w:top w:type="dxa" w:w="70"/>
              <w:left w:type="dxa" w:w="90"/>
              <w:bottom w:type="dxa" w:w="70"/>
              <w:right w:type="dxa" w:w="90"/>
            </w:tcMar>
            <w:vAlign w:val="top"/>
          </w:tcPr>
          <w:p>
            <w:r>
              <w:rPr>
                <w:b w:val="false"/>
                <w:bCs w:val="false"/>
                <w:color w:val="000000"/>
                <w:sz w:val="17"/>
                <w:szCs w:val="17"/>
              </w:rPr>
              <w:t xml:space="preserve">Standing administrative privilege minimized; elevated actions require a time-boxed, logged privilege-escalation request rather than always-on admin rights.</w:t>
            </w:r>
          </w:p>
        </w:tc>
      </w:tr>
    </w:tbl>
    <w:p>
      <w:pPr>
        <w:pStyle w:val="Heading2"/>
        <w:spacing w:after="90" w:before="220"/>
      </w:pPr>
      <w:r>
        <w:t xml:space="preserve">6. Defense in Depth</w:t>
      </w:r>
    </w:p>
    <w:p>
      <w:pPr>
        <w:spacing w:after="140" w:line="264"/>
      </w:pPr>
      <w:r>
        <w:t xml:space="preserve">Defense in Depth layers multiple, independent controls so that a single control failure does not equal a full compromise — the architectural answer to the 'assume breach' Zero Trust tenet.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10951"/>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Layer</w:t>
            </w:r>
          </w:p>
        </w:tc>
        <w:tc>
          <w:tcPr>
            <w:tcW w:type="dxa" w:w="10951"/>
            <w:shd w:fill="1F3864" w:val="clear"/>
            <w:tcMar>
              <w:top w:type="dxa" w:w="70"/>
              <w:left w:type="dxa" w:w="90"/>
              <w:bottom w:type="dxa" w:w="70"/>
              <w:right w:type="dxa" w:w="90"/>
            </w:tcMar>
            <w:vAlign w:val="top"/>
          </w:tcPr>
          <w:p>
            <w:r>
              <w:rPr>
                <w:b/>
                <w:bCs/>
                <w:color w:val="FFFFFF"/>
                <w:sz w:val="17"/>
                <w:szCs w:val="17"/>
              </w:rPr>
              <w:t xml:space="preserve">Representative Controls</w:t>
            </w:r>
          </w:p>
        </w:tc>
      </w:tr>
      <w:tr>
        <w:tc>
          <w:tcPr>
            <w:tcW w:type="dxa" w:w="3089"/>
            <w:tcMar>
              <w:top w:type="dxa" w:w="70"/>
              <w:left w:type="dxa" w:w="90"/>
              <w:bottom w:type="dxa" w:w="70"/>
              <w:right w:type="dxa" w:w="90"/>
            </w:tcMar>
            <w:vAlign w:val="top"/>
          </w:tcPr>
          <w:p>
            <w:r>
              <w:rPr>
                <w:b/>
                <w:bCs/>
                <w:color w:val="000000"/>
                <w:sz w:val="17"/>
                <w:szCs w:val="17"/>
              </w:rPr>
              <w:t xml:space="preserve">Network</w:t>
            </w:r>
          </w:p>
        </w:tc>
        <w:tc>
          <w:tcPr>
            <w:tcW w:type="dxa" w:w="10951"/>
            <w:tcMar>
              <w:top w:type="dxa" w:w="70"/>
              <w:left w:type="dxa" w:w="90"/>
              <w:bottom w:type="dxa" w:w="70"/>
              <w:right w:type="dxa" w:w="90"/>
            </w:tcMar>
            <w:vAlign w:val="top"/>
          </w:tcPr>
          <w:p>
            <w:r>
              <w:rPr>
                <w:b w:val="false"/>
                <w:bCs w:val="false"/>
                <w:color w:val="000000"/>
                <w:sz w:val="17"/>
                <w:szCs w:val="17"/>
              </w:rPr>
              <w:t xml:space="preserve">Segmentation between application tiers and data stores (Zero Trust micro-segmentation); firewall rules; DDoS protection at the edge.</w:t>
            </w:r>
          </w:p>
        </w:tc>
      </w:tr>
      <w:tr>
        <w:tc>
          <w:tcPr>
            <w:tcW w:type="dxa" w:w="3089"/>
            <w:tcMar>
              <w:top w:type="dxa" w:w="70"/>
              <w:left w:type="dxa" w:w="90"/>
              <w:bottom w:type="dxa" w:w="70"/>
              <w:right w:type="dxa" w:w="90"/>
            </w:tcMar>
            <w:vAlign w:val="top"/>
          </w:tcPr>
          <w:p>
            <w:r>
              <w:rPr>
                <w:b/>
                <w:bCs/>
                <w:color w:val="000000"/>
                <w:sz w:val="17"/>
                <w:szCs w:val="17"/>
              </w:rPr>
              <w:t xml:space="preserve">Application</w:t>
            </w:r>
          </w:p>
        </w:tc>
        <w:tc>
          <w:tcPr>
            <w:tcW w:type="dxa" w:w="10951"/>
            <w:tcMar>
              <w:top w:type="dxa" w:w="70"/>
              <w:left w:type="dxa" w:w="90"/>
              <w:bottom w:type="dxa" w:w="70"/>
              <w:right w:type="dxa" w:w="90"/>
            </w:tcMar>
            <w:vAlign w:val="top"/>
          </w:tcPr>
          <w:p>
            <w:r>
              <w:rPr>
                <w:b w:val="false"/>
                <w:bCs w:val="false"/>
                <w:color w:val="000000"/>
                <w:sz w:val="17"/>
                <w:szCs w:val="17"/>
              </w:rPr>
              <w:t xml:space="preserve">Input validation, output encoding, secure session management (OWASP mitigations, above).</w:t>
            </w:r>
          </w:p>
        </w:tc>
      </w:tr>
      <w:tr>
        <w:tc>
          <w:tcPr>
            <w:tcW w:type="dxa" w:w="3089"/>
            <w:tcMar>
              <w:top w:type="dxa" w:w="70"/>
              <w:left w:type="dxa" w:w="90"/>
              <w:bottom w:type="dxa" w:w="70"/>
              <w:right w:type="dxa" w:w="90"/>
            </w:tcMar>
            <w:vAlign w:val="top"/>
          </w:tcPr>
          <w:p>
            <w:r>
              <w:rPr>
                <w:b/>
                <w:bCs/>
                <w:color w:val="000000"/>
                <w:sz w:val="17"/>
                <w:szCs w:val="17"/>
              </w:rPr>
              <w:t xml:space="preserve">Identity</w:t>
            </w:r>
          </w:p>
        </w:tc>
        <w:tc>
          <w:tcPr>
            <w:tcW w:type="dxa" w:w="10951"/>
            <w:tcMar>
              <w:top w:type="dxa" w:w="70"/>
              <w:left w:type="dxa" w:w="90"/>
              <w:bottom w:type="dxa" w:w="70"/>
              <w:right w:type="dxa" w:w="90"/>
            </w:tcMar>
            <w:vAlign w:val="top"/>
          </w:tcPr>
          <w:p>
            <w:r>
              <w:rPr>
                <w:b w:val="false"/>
                <w:bCs w:val="false"/>
                <w:color w:val="000000"/>
                <w:sz w:val="17"/>
                <w:szCs w:val="17"/>
              </w:rPr>
              <w:t xml:space="preserve">MFA, RBAC/ABAC, short-lived tokens (below).</w:t>
            </w:r>
          </w:p>
        </w:tc>
      </w:tr>
      <w:tr>
        <w:tc>
          <w:tcPr>
            <w:tcW w:type="dxa" w:w="3089"/>
            <w:tcMar>
              <w:top w:type="dxa" w:w="70"/>
              <w:left w:type="dxa" w:w="90"/>
              <w:bottom w:type="dxa" w:w="70"/>
              <w:right w:type="dxa" w:w="90"/>
            </w:tcMar>
            <w:vAlign w:val="top"/>
          </w:tcPr>
          <w:p>
            <w:r>
              <w:rPr>
                <w:b/>
                <w:bCs/>
                <w:color w:val="000000"/>
                <w:sz w:val="17"/>
                <w:szCs w:val="17"/>
              </w:rPr>
              <w:t xml:space="preserve">Data</w:t>
            </w:r>
          </w:p>
        </w:tc>
        <w:tc>
          <w:tcPr>
            <w:tcW w:type="dxa" w:w="10951"/>
            <w:tcMar>
              <w:top w:type="dxa" w:w="70"/>
              <w:left w:type="dxa" w:w="90"/>
              <w:bottom w:type="dxa" w:w="70"/>
              <w:right w:type="dxa" w:w="90"/>
            </w:tcMar>
            <w:vAlign w:val="top"/>
          </w:tcPr>
          <w:p>
            <w:r>
              <w:rPr>
                <w:b w:val="false"/>
                <w:bCs w:val="false"/>
                <w:color w:val="000000"/>
                <w:sz w:val="17"/>
                <w:szCs w:val="17"/>
              </w:rPr>
              <w:t xml:space="preserve">Encryption at rest and in transit, field-level encryption for Restricted data (Part 7).</w:t>
            </w:r>
          </w:p>
        </w:tc>
      </w:tr>
      <w:tr>
        <w:tc>
          <w:tcPr>
            <w:tcW w:type="dxa" w:w="3089"/>
            <w:tcMar>
              <w:top w:type="dxa" w:w="70"/>
              <w:left w:type="dxa" w:w="90"/>
              <w:bottom w:type="dxa" w:w="70"/>
              <w:right w:type="dxa" w:w="90"/>
            </w:tcMar>
            <w:vAlign w:val="top"/>
          </w:tcPr>
          <w:p>
            <w:r>
              <w:rPr>
                <w:b/>
                <w:bCs/>
                <w:color w:val="000000"/>
                <w:sz w:val="17"/>
                <w:szCs w:val="17"/>
              </w:rPr>
              <w:t xml:space="preserve">Monitoring</w:t>
            </w:r>
          </w:p>
        </w:tc>
        <w:tc>
          <w:tcPr>
            <w:tcW w:type="dxa" w:w="10951"/>
            <w:tcMar>
              <w:top w:type="dxa" w:w="70"/>
              <w:left w:type="dxa" w:w="90"/>
              <w:bottom w:type="dxa" w:w="70"/>
              <w:right w:type="dxa" w:w="90"/>
            </w:tcMar>
            <w:vAlign w:val="top"/>
          </w:tcPr>
          <w:p>
            <w:r>
              <w:rPr>
                <w:b w:val="false"/>
                <w:bCs w:val="false"/>
                <w:color w:val="000000"/>
                <w:sz w:val="17"/>
                <w:szCs w:val="17"/>
              </w:rPr>
              <w:t xml:space="preserve">Logging, anomaly detection, and audit trails (below), so that even a control bypass is detected rather than silent.</w:t>
            </w:r>
          </w:p>
        </w:tc>
      </w:tr>
    </w:tbl>
    <w:p>
      <w:pPr>
        <w:pStyle w:val="Heading2"/>
        <w:spacing w:after="90" w:before="220"/>
      </w:pPr>
      <w:r>
        <w:t xml:space="preserve">7. RBAC</w:t>
      </w:r>
    </w:p>
    <w:p>
      <w:pPr>
        <w:spacing w:after="140" w:line="264"/>
      </w:pPr>
      <w:r>
        <w:t xml:space="preserve">RBAC (Role-Based Access Control) is the platform's primary access-control model, assigning permissions to defined roles rather than to individuals directly, consistent with Part 5's Identity Management module design.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10951"/>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Role</w:t>
            </w:r>
          </w:p>
        </w:tc>
        <w:tc>
          <w:tcPr>
            <w:tcW w:type="dxa" w:w="10951"/>
            <w:shd w:fill="1F3864" w:val="clear"/>
            <w:tcMar>
              <w:top w:type="dxa" w:w="70"/>
              <w:left w:type="dxa" w:w="90"/>
              <w:bottom w:type="dxa" w:w="70"/>
              <w:right w:type="dxa" w:w="90"/>
            </w:tcMar>
            <w:vAlign w:val="top"/>
          </w:tcPr>
          <w:p>
            <w:r>
              <w:rPr>
                <w:b/>
                <w:bCs/>
                <w:color w:val="FFFFFF"/>
                <w:sz w:val="17"/>
                <w:szCs w:val="17"/>
              </w:rPr>
              <w:t xml:space="preserve">Representative Permissions</w:t>
            </w:r>
          </w:p>
        </w:tc>
      </w:tr>
      <w:tr>
        <w:tc>
          <w:tcPr>
            <w:tcW w:type="dxa" w:w="3089"/>
            <w:tcMar>
              <w:top w:type="dxa" w:w="70"/>
              <w:left w:type="dxa" w:w="90"/>
              <w:bottom w:type="dxa" w:w="70"/>
              <w:right w:type="dxa" w:w="90"/>
            </w:tcMar>
            <w:vAlign w:val="top"/>
          </w:tcPr>
          <w:p>
            <w:r>
              <w:rPr>
                <w:b/>
                <w:bCs/>
                <w:color w:val="000000"/>
                <w:sz w:val="17"/>
                <w:szCs w:val="17"/>
              </w:rPr>
              <w:t xml:space="preserve">State Team Member</w:t>
            </w:r>
          </w:p>
        </w:tc>
        <w:tc>
          <w:tcPr>
            <w:tcW w:type="dxa" w:w="10951"/>
            <w:tcMar>
              <w:top w:type="dxa" w:w="70"/>
              <w:left w:type="dxa" w:w="90"/>
              <w:bottom w:type="dxa" w:w="70"/>
              <w:right w:type="dxa" w:w="90"/>
            </w:tcMar>
            <w:vAlign w:val="top"/>
          </w:tcPr>
          <w:p>
            <w:r>
              <w:rPr>
                <w:b w:val="false"/>
                <w:bCs w:val="false"/>
                <w:color w:val="000000"/>
                <w:sz w:val="17"/>
                <w:szCs w:val="17"/>
              </w:rPr>
              <w:t xml:space="preserve">Create/edit own state's Tasks and Projects; submit Documents for approval; view own state's Reports.</w:t>
            </w:r>
          </w:p>
        </w:tc>
      </w:tr>
      <w:tr>
        <w:tc>
          <w:tcPr>
            <w:tcW w:type="dxa" w:w="3089"/>
            <w:tcMar>
              <w:top w:type="dxa" w:w="70"/>
              <w:left w:type="dxa" w:w="90"/>
              <w:bottom w:type="dxa" w:w="70"/>
              <w:right w:type="dxa" w:w="90"/>
            </w:tcMar>
            <w:vAlign w:val="top"/>
          </w:tcPr>
          <w:p>
            <w:r>
              <w:rPr>
                <w:b/>
                <w:bCs/>
                <w:color w:val="000000"/>
                <w:sz w:val="17"/>
                <w:szCs w:val="17"/>
              </w:rPr>
              <w:t xml:space="preserve">Component Lead</w:t>
            </w:r>
          </w:p>
        </w:tc>
        <w:tc>
          <w:tcPr>
            <w:tcW w:type="dxa" w:w="10951"/>
            <w:tcMar>
              <w:top w:type="dxa" w:w="70"/>
              <w:left w:type="dxa" w:w="90"/>
              <w:bottom w:type="dxa" w:w="70"/>
              <w:right w:type="dxa" w:w="90"/>
            </w:tcMar>
            <w:vAlign w:val="top"/>
          </w:tcPr>
          <w:p>
            <w:r>
              <w:rPr>
                <w:b w:val="false"/>
                <w:bCs w:val="false"/>
                <w:color w:val="000000"/>
                <w:sz w:val="17"/>
                <w:szCs w:val="17"/>
              </w:rPr>
              <w:t xml:space="preserve">Full access to their component's Projects across all states; approve component-level workflow items.</w:t>
            </w:r>
          </w:p>
        </w:tc>
      </w:tr>
      <w:tr>
        <w:tc>
          <w:tcPr>
            <w:tcW w:type="dxa" w:w="3089"/>
            <w:tcMar>
              <w:top w:type="dxa" w:w="70"/>
              <w:left w:type="dxa" w:w="90"/>
              <w:bottom w:type="dxa" w:w="70"/>
              <w:right w:type="dxa" w:w="90"/>
            </w:tcMar>
            <w:vAlign w:val="top"/>
          </w:tcPr>
          <w:p>
            <w:r>
              <w:rPr>
                <w:b/>
                <w:bCs/>
                <w:color w:val="000000"/>
                <w:sz w:val="17"/>
                <w:szCs w:val="17"/>
              </w:rPr>
              <w:t xml:space="preserve">National Programme Coordinator</w:t>
            </w:r>
          </w:p>
        </w:tc>
        <w:tc>
          <w:tcPr>
            <w:tcW w:type="dxa" w:w="10951"/>
            <w:tcMar>
              <w:top w:type="dxa" w:w="70"/>
              <w:left w:type="dxa" w:w="90"/>
              <w:bottom w:type="dxa" w:w="70"/>
              <w:right w:type="dxa" w:w="90"/>
            </w:tcMar>
            <w:vAlign w:val="top"/>
          </w:tcPr>
          <w:p>
            <w:r>
              <w:rPr>
                <w:b w:val="false"/>
                <w:bCs w:val="false"/>
                <w:color w:val="000000"/>
                <w:sz w:val="17"/>
                <w:szCs w:val="17"/>
              </w:rPr>
              <w:t xml:space="preserve">Full read access across all components and states; approve national-level workflow items; Executive Dashboard access.</w:t>
            </w:r>
          </w:p>
        </w:tc>
      </w:tr>
      <w:tr>
        <w:tc>
          <w:tcPr>
            <w:tcW w:type="dxa" w:w="3089"/>
            <w:tcMar>
              <w:top w:type="dxa" w:w="70"/>
              <w:left w:type="dxa" w:w="90"/>
              <w:bottom w:type="dxa" w:w="70"/>
              <w:right w:type="dxa" w:w="90"/>
            </w:tcMar>
            <w:vAlign w:val="top"/>
          </w:tcPr>
          <w:p>
            <w:r>
              <w:rPr>
                <w:b/>
                <w:bCs/>
                <w:color w:val="000000"/>
                <w:sz w:val="17"/>
                <w:szCs w:val="17"/>
              </w:rPr>
              <w:t xml:space="preserve">KM Unit Staff</w:t>
            </w:r>
          </w:p>
        </w:tc>
        <w:tc>
          <w:tcPr>
            <w:tcW w:type="dxa" w:w="10951"/>
            <w:tcMar>
              <w:top w:type="dxa" w:w="70"/>
              <w:left w:type="dxa" w:w="90"/>
              <w:bottom w:type="dxa" w:w="70"/>
              <w:right w:type="dxa" w:w="90"/>
            </w:tcMar>
            <w:vAlign w:val="top"/>
          </w:tcPr>
          <w:p>
            <w:r>
              <w:rPr>
                <w:b w:val="false"/>
                <w:bCs w:val="false"/>
                <w:color w:val="000000"/>
                <w:sz w:val="17"/>
                <w:szCs w:val="17"/>
              </w:rPr>
              <w:t xml:space="preserve">Manage Knowledge Repository content, taxonomy, and Content Governance workflow steps.</w:t>
            </w:r>
          </w:p>
        </w:tc>
      </w:tr>
      <w:tr>
        <w:tc>
          <w:tcPr>
            <w:tcW w:type="dxa" w:w="3089"/>
            <w:tcMar>
              <w:top w:type="dxa" w:w="70"/>
              <w:left w:type="dxa" w:w="90"/>
              <w:bottom w:type="dxa" w:w="70"/>
              <w:right w:type="dxa" w:w="90"/>
            </w:tcMar>
            <w:vAlign w:val="top"/>
          </w:tcPr>
          <w:p>
            <w:r>
              <w:rPr>
                <w:b/>
                <w:bCs/>
                <w:color w:val="000000"/>
                <w:sz w:val="17"/>
                <w:szCs w:val="17"/>
              </w:rPr>
              <w:t xml:space="preserve">ICT Administrator</w:t>
            </w:r>
          </w:p>
        </w:tc>
        <w:tc>
          <w:tcPr>
            <w:tcW w:type="dxa" w:w="10951"/>
            <w:tcMar>
              <w:top w:type="dxa" w:w="70"/>
              <w:left w:type="dxa" w:w="90"/>
              <w:bottom w:type="dxa" w:w="70"/>
              <w:right w:type="dxa" w:w="90"/>
            </w:tcMar>
            <w:vAlign w:val="top"/>
          </w:tcPr>
          <w:p>
            <w:r>
              <w:rPr>
                <w:b w:val="false"/>
                <w:bCs w:val="false"/>
                <w:color w:val="000000"/>
                <w:sz w:val="17"/>
                <w:szCs w:val="17"/>
              </w:rPr>
              <w:t xml:space="preserve">Administration module access, user provisioning, system configuration — not, by default, business content approval rights.</w:t>
            </w:r>
          </w:p>
        </w:tc>
      </w:tr>
      <w:tr>
        <w:tc>
          <w:tcPr>
            <w:tcW w:type="dxa" w:w="3089"/>
            <w:tcMar>
              <w:top w:type="dxa" w:w="70"/>
              <w:left w:type="dxa" w:w="90"/>
              <w:bottom w:type="dxa" w:w="70"/>
              <w:right w:type="dxa" w:w="90"/>
            </w:tcMar>
            <w:vAlign w:val="top"/>
          </w:tcPr>
          <w:p>
            <w:r>
              <w:rPr>
                <w:b/>
                <w:bCs/>
                <w:color w:val="000000"/>
                <w:sz w:val="17"/>
                <w:szCs w:val="17"/>
              </w:rPr>
              <w:t xml:space="preserve">Auditor (internal or external)</w:t>
            </w:r>
          </w:p>
        </w:tc>
        <w:tc>
          <w:tcPr>
            <w:tcW w:type="dxa" w:w="10951"/>
            <w:tcMar>
              <w:top w:type="dxa" w:w="70"/>
              <w:left w:type="dxa" w:w="90"/>
              <w:bottom w:type="dxa" w:w="70"/>
              <w:right w:type="dxa" w:w="90"/>
            </w:tcMar>
            <w:vAlign w:val="top"/>
          </w:tcPr>
          <w:p>
            <w:r>
              <w:rPr>
                <w:b w:val="false"/>
                <w:bCs w:val="false"/>
                <w:color w:val="000000"/>
                <w:sz w:val="17"/>
                <w:szCs w:val="17"/>
              </w:rPr>
              <w:t xml:space="preserve">Read-only access to Audit Trails and Governance records; no edit rights anywhere in the platform.</w:t>
            </w:r>
          </w:p>
        </w:tc>
      </w:tr>
    </w:tbl>
    <w:p>
      <w:pPr>
        <w:pStyle w:val="Heading2"/>
        <w:spacing w:after="90" w:before="220"/>
      </w:pPr>
      <w:r>
        <w:t xml:space="preserve">8. ABAC</w:t>
      </w:r>
    </w:p>
    <w:p>
      <w:pPr>
        <w:spacing w:after="140" w:line="264"/>
      </w:pPr>
      <w:r>
        <w:t xml:space="preserve">ABAC (Attribute-Based Access Control) supplements RBAC where a role alone cannot express the needed rule — used narrowly, where appropriate, rather than as a replacement for RBAC's simpler and more auditable model.</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10951"/>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Scenario</w:t>
            </w:r>
          </w:p>
        </w:tc>
        <w:tc>
          <w:tcPr>
            <w:tcW w:type="dxa" w:w="10951"/>
            <w:shd w:fill="1F3864" w:val="clear"/>
            <w:tcMar>
              <w:top w:type="dxa" w:w="70"/>
              <w:left w:type="dxa" w:w="90"/>
              <w:bottom w:type="dxa" w:w="70"/>
              <w:right w:type="dxa" w:w="90"/>
            </w:tcMar>
            <w:vAlign w:val="top"/>
          </w:tcPr>
          <w:p>
            <w:r>
              <w:rPr>
                <w:b/>
                <w:bCs/>
                <w:color w:val="FFFFFF"/>
                <w:sz w:val="17"/>
                <w:szCs w:val="17"/>
              </w:rPr>
              <w:t xml:space="preserve">Attribute-Based Rule</w:t>
            </w:r>
          </w:p>
        </w:tc>
      </w:tr>
      <w:tr>
        <w:tc>
          <w:tcPr>
            <w:tcW w:type="dxa" w:w="3089"/>
            <w:tcMar>
              <w:top w:type="dxa" w:w="70"/>
              <w:left w:type="dxa" w:w="90"/>
              <w:bottom w:type="dxa" w:w="70"/>
              <w:right w:type="dxa" w:w="90"/>
            </w:tcMar>
            <w:vAlign w:val="top"/>
          </w:tcPr>
          <w:p>
            <w:r>
              <w:rPr>
                <w:b/>
                <w:bCs/>
                <w:color w:val="000000"/>
                <w:sz w:val="17"/>
                <w:szCs w:val="17"/>
              </w:rPr>
              <w:t xml:space="preserve">Cross-state visibility for M&amp;E field missions</w:t>
            </w:r>
          </w:p>
        </w:tc>
        <w:tc>
          <w:tcPr>
            <w:tcW w:type="dxa" w:w="10951"/>
            <w:tcMar>
              <w:top w:type="dxa" w:w="70"/>
              <w:left w:type="dxa" w:w="90"/>
              <w:bottom w:type="dxa" w:w="70"/>
              <w:right w:type="dxa" w:w="90"/>
            </w:tcMar>
            <w:vAlign w:val="top"/>
          </w:tcPr>
          <w:p>
            <w:r>
              <w:rPr>
                <w:b w:val="false"/>
                <w:bCs w:val="false"/>
                <w:color w:val="000000"/>
                <w:sz w:val="17"/>
                <w:szCs w:val="17"/>
              </w:rPr>
              <w:t xml:space="preserve">Access granted based on an active mission assignment attribute, valid only for the mission's duration and named states, rather than a standing role change.</w:t>
            </w:r>
          </w:p>
        </w:tc>
      </w:tr>
      <w:tr>
        <w:tc>
          <w:tcPr>
            <w:tcW w:type="dxa" w:w="3089"/>
            <w:tcMar>
              <w:top w:type="dxa" w:w="70"/>
              <w:left w:type="dxa" w:w="90"/>
              <w:bottom w:type="dxa" w:w="70"/>
              <w:right w:type="dxa" w:w="90"/>
            </w:tcMar>
            <w:vAlign w:val="top"/>
          </w:tcPr>
          <w:p>
            <w:r>
              <w:rPr>
                <w:b/>
                <w:bCs/>
                <w:color w:val="000000"/>
                <w:sz w:val="17"/>
                <w:szCs w:val="17"/>
              </w:rPr>
              <w:t xml:space="preserve">Time-limited external reviewer access</w:t>
            </w:r>
          </w:p>
        </w:tc>
        <w:tc>
          <w:tcPr>
            <w:tcW w:type="dxa" w:w="10951"/>
            <w:tcMar>
              <w:top w:type="dxa" w:w="70"/>
              <w:left w:type="dxa" w:w="90"/>
              <w:bottom w:type="dxa" w:w="70"/>
              <w:right w:type="dxa" w:w="90"/>
            </w:tcMar>
            <w:vAlign w:val="top"/>
          </w:tcPr>
          <w:p>
            <w:r>
              <w:rPr>
                <w:b w:val="false"/>
                <w:bCs w:val="false"/>
                <w:color w:val="000000"/>
                <w:sz w:val="17"/>
                <w:szCs w:val="17"/>
              </w:rPr>
              <w:t xml:space="preserve">A co-financing institution reviewer's access is scoped by a validity-period attribute tied to a specific evaluation window.</w:t>
            </w:r>
          </w:p>
        </w:tc>
      </w:tr>
      <w:tr>
        <w:tc>
          <w:tcPr>
            <w:tcW w:type="dxa" w:w="3089"/>
            <w:tcMar>
              <w:top w:type="dxa" w:w="70"/>
              <w:left w:type="dxa" w:w="90"/>
              <w:bottom w:type="dxa" w:w="70"/>
              <w:right w:type="dxa" w:w="90"/>
            </w:tcMar>
            <w:vAlign w:val="top"/>
          </w:tcPr>
          <w:p>
            <w:r>
              <w:rPr>
                <w:b/>
                <w:bCs/>
                <w:color w:val="000000"/>
                <w:sz w:val="17"/>
                <w:szCs w:val="17"/>
              </w:rPr>
              <w:t xml:space="preserve">Document classification-based routing</w:t>
            </w:r>
          </w:p>
        </w:tc>
        <w:tc>
          <w:tcPr>
            <w:tcW w:type="dxa" w:w="10951"/>
            <w:tcMar>
              <w:top w:type="dxa" w:w="70"/>
              <w:left w:type="dxa" w:w="90"/>
              <w:bottom w:type="dxa" w:w="70"/>
              <w:right w:type="dxa" w:w="90"/>
            </w:tcMar>
            <w:vAlign w:val="top"/>
          </w:tcPr>
          <w:p>
            <w:r>
              <w:rPr>
                <w:b w:val="false"/>
                <w:bCs w:val="false"/>
                <w:color w:val="000000"/>
                <w:sz w:val="17"/>
                <w:szCs w:val="17"/>
              </w:rPr>
              <w:t xml:space="preserve">Workflow routing rules reference the Document's classification attribute, not only the submitter's role, to determine required approval tiers.</w:t>
            </w:r>
          </w:p>
        </w:tc>
      </w:tr>
      <w:tr>
        <w:tc>
          <w:tcPr>
            <w:tcW w:type="dxa" w:w="3089"/>
            <w:tcMar>
              <w:top w:type="dxa" w:w="70"/>
              <w:left w:type="dxa" w:w="90"/>
              <w:bottom w:type="dxa" w:w="70"/>
              <w:right w:type="dxa" w:w="90"/>
            </w:tcMar>
            <w:vAlign w:val="top"/>
          </w:tcPr>
          <w:p>
            <w:r>
              <w:rPr>
                <w:b/>
                <w:bCs/>
                <w:color w:val="000000"/>
                <w:sz w:val="17"/>
                <w:szCs w:val="17"/>
              </w:rPr>
              <w:t xml:space="preserve">Device-based restriction</w:t>
            </w:r>
          </w:p>
        </w:tc>
        <w:tc>
          <w:tcPr>
            <w:tcW w:type="dxa" w:w="10951"/>
            <w:tcMar>
              <w:top w:type="dxa" w:w="70"/>
              <w:left w:type="dxa" w:w="90"/>
              <w:bottom w:type="dxa" w:w="70"/>
              <w:right w:type="dxa" w:w="90"/>
            </w:tcMar>
            <w:vAlign w:val="top"/>
          </w:tcPr>
          <w:p>
            <w:r>
              <w:rPr>
                <w:b w:val="false"/>
                <w:bCs w:val="false"/>
                <w:color w:val="000000"/>
                <w:sz w:val="17"/>
                <w:szCs w:val="17"/>
              </w:rPr>
              <w:t xml:space="preserve">Access to Restricted-classification data may be additionally conditioned on a managed-device attribute, denying access from unmanaged personal devices even for an otherwise authorized role.</w:t>
            </w:r>
          </w:p>
        </w:tc>
      </w:tr>
    </w:tbl>
    <w:p>
      <w:pPr>
        <w:pStyle w:val="Heading2"/>
        <w:spacing w:after="90" w:before="220"/>
      </w:pPr>
      <w:r>
        <w:t xml:space="preserve">9. MFA</w:t>
      </w:r>
    </w:p>
    <w:p>
      <w:pPr>
        <w:spacing w:after="140" w:line="264"/>
      </w:pPr>
      <w:r>
        <w:t xml:space="preserve">MFA (Multi-Factor Authentication) is mandatory wherever the Classification and role sensitivity warrant it, implementing the OWASP authentication-failure mitigation and the ISO 27001 access-control domain in a single concrete control.</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10951"/>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User / Access Tier</w:t>
            </w:r>
          </w:p>
        </w:tc>
        <w:tc>
          <w:tcPr>
            <w:tcW w:type="dxa" w:w="10951"/>
            <w:shd w:fill="1F3864" w:val="clear"/>
            <w:tcMar>
              <w:top w:type="dxa" w:w="70"/>
              <w:left w:type="dxa" w:w="90"/>
              <w:bottom w:type="dxa" w:w="70"/>
              <w:right w:type="dxa" w:w="90"/>
            </w:tcMar>
            <w:vAlign w:val="top"/>
          </w:tcPr>
          <w:p>
            <w:r>
              <w:rPr>
                <w:b/>
                <w:bCs/>
                <w:color w:val="FFFFFF"/>
                <w:sz w:val="17"/>
                <w:szCs w:val="17"/>
              </w:rPr>
              <w:t xml:space="preserve">MFA Requirement</w:t>
            </w:r>
          </w:p>
        </w:tc>
      </w:tr>
      <w:tr>
        <w:tc>
          <w:tcPr>
            <w:tcW w:type="dxa" w:w="3089"/>
            <w:tcMar>
              <w:top w:type="dxa" w:w="70"/>
              <w:left w:type="dxa" w:w="90"/>
              <w:bottom w:type="dxa" w:w="70"/>
              <w:right w:type="dxa" w:w="90"/>
            </w:tcMar>
            <w:vAlign w:val="top"/>
          </w:tcPr>
          <w:p>
            <w:r>
              <w:rPr>
                <w:b/>
                <w:bCs/>
                <w:color w:val="000000"/>
                <w:sz w:val="17"/>
                <w:szCs w:val="17"/>
              </w:rPr>
              <w:t xml:space="preserve">All standard authenticated users</w:t>
            </w:r>
          </w:p>
        </w:tc>
        <w:tc>
          <w:tcPr>
            <w:tcW w:type="dxa" w:w="10951"/>
            <w:tcMar>
              <w:top w:type="dxa" w:w="70"/>
              <w:left w:type="dxa" w:w="90"/>
              <w:bottom w:type="dxa" w:w="70"/>
              <w:right w:type="dxa" w:w="90"/>
            </w:tcMar>
            <w:vAlign w:val="top"/>
          </w:tcPr>
          <w:p>
            <w:r>
              <w:rPr>
                <w:b w:val="false"/>
                <w:bCs w:val="false"/>
                <w:color w:val="000000"/>
                <w:sz w:val="17"/>
                <w:szCs w:val="17"/>
              </w:rPr>
              <w:t xml:space="preserve">Mandatory MFA at login (e.g., authenticator app or SMS one-time passcode), consistent with the SMS integration's role in field-connectivity contexts (Part 8).</w:t>
            </w:r>
          </w:p>
        </w:tc>
      </w:tr>
      <w:tr>
        <w:tc>
          <w:tcPr>
            <w:tcW w:type="dxa" w:w="3089"/>
            <w:tcMar>
              <w:top w:type="dxa" w:w="70"/>
              <w:left w:type="dxa" w:w="90"/>
              <w:bottom w:type="dxa" w:w="70"/>
              <w:right w:type="dxa" w:w="90"/>
            </w:tcMar>
            <w:vAlign w:val="top"/>
          </w:tcPr>
          <w:p>
            <w:r>
              <w:rPr>
                <w:b/>
                <w:bCs/>
                <w:color w:val="000000"/>
                <w:sz w:val="17"/>
                <w:szCs w:val="17"/>
              </w:rPr>
              <w:t xml:space="preserve">Administrator and privileged roles</w:t>
            </w:r>
          </w:p>
        </w:tc>
        <w:tc>
          <w:tcPr>
            <w:tcW w:type="dxa" w:w="10951"/>
            <w:tcMar>
              <w:top w:type="dxa" w:w="70"/>
              <w:left w:type="dxa" w:w="90"/>
              <w:bottom w:type="dxa" w:w="70"/>
              <w:right w:type="dxa" w:w="90"/>
            </w:tcMar>
            <w:vAlign w:val="top"/>
          </w:tcPr>
          <w:p>
            <w:r>
              <w:rPr>
                <w:b w:val="false"/>
                <w:bCs w:val="false"/>
                <w:color w:val="000000"/>
                <w:sz w:val="17"/>
                <w:szCs w:val="17"/>
              </w:rPr>
              <w:t xml:space="preserve">Mandatory hardware-token or authenticator-app MFA; SMS-based MFA not accepted for this tier given its comparatively weaker security profile.</w:t>
            </w:r>
          </w:p>
        </w:tc>
      </w:tr>
      <w:tr>
        <w:tc>
          <w:tcPr>
            <w:tcW w:type="dxa" w:w="3089"/>
            <w:tcMar>
              <w:top w:type="dxa" w:w="70"/>
              <w:left w:type="dxa" w:w="90"/>
              <w:bottom w:type="dxa" w:w="70"/>
              <w:right w:type="dxa" w:w="90"/>
            </w:tcMar>
            <w:vAlign w:val="top"/>
          </w:tcPr>
          <w:p>
            <w:r>
              <w:rPr>
                <w:b/>
                <w:bCs/>
                <w:color w:val="000000"/>
                <w:sz w:val="17"/>
                <w:szCs w:val="17"/>
              </w:rPr>
              <w:t xml:space="preserve">Restricted-classification data access</w:t>
            </w:r>
          </w:p>
        </w:tc>
        <w:tc>
          <w:tcPr>
            <w:tcW w:type="dxa" w:w="10951"/>
            <w:tcMar>
              <w:top w:type="dxa" w:w="70"/>
              <w:left w:type="dxa" w:w="90"/>
              <w:bottom w:type="dxa" w:w="70"/>
              <w:right w:type="dxa" w:w="90"/>
            </w:tcMar>
            <w:vAlign w:val="top"/>
          </w:tcPr>
          <w:p>
            <w:r>
              <w:rPr>
                <w:b w:val="false"/>
                <w:bCs w:val="false"/>
                <w:color w:val="000000"/>
                <w:sz w:val="17"/>
                <w:szCs w:val="17"/>
              </w:rPr>
              <w:t xml:space="preserve">Step-up re-authentication (a fresh MFA challenge) required even within an active session, before viewing Restricted-tier content.</w:t>
            </w:r>
          </w:p>
        </w:tc>
      </w:tr>
      <w:tr>
        <w:tc>
          <w:tcPr>
            <w:tcW w:type="dxa" w:w="3089"/>
            <w:tcMar>
              <w:top w:type="dxa" w:w="70"/>
              <w:left w:type="dxa" w:w="90"/>
              <w:bottom w:type="dxa" w:w="70"/>
              <w:right w:type="dxa" w:w="90"/>
            </w:tcMar>
            <w:vAlign w:val="top"/>
          </w:tcPr>
          <w:p>
            <w:r>
              <w:rPr>
                <w:b/>
                <w:bCs/>
                <w:color w:val="000000"/>
                <w:sz w:val="17"/>
                <w:szCs w:val="17"/>
              </w:rPr>
              <w:t xml:space="preserve">External federated identity users (Part 8)</w:t>
            </w:r>
          </w:p>
        </w:tc>
        <w:tc>
          <w:tcPr>
            <w:tcW w:type="dxa" w:w="10951"/>
            <w:tcMar>
              <w:top w:type="dxa" w:w="70"/>
              <w:left w:type="dxa" w:w="90"/>
              <w:bottom w:type="dxa" w:w="70"/>
              <w:right w:type="dxa" w:w="90"/>
            </w:tcMar>
            <w:vAlign w:val="top"/>
          </w:tcPr>
          <w:p>
            <w:r>
              <w:rPr>
                <w:b w:val="false"/>
                <w:bCs w:val="false"/>
                <w:color w:val="000000"/>
                <w:sz w:val="17"/>
                <w:szCs w:val="17"/>
              </w:rPr>
              <w:t xml:space="preserve">MFA enforced at the identity provider level, verified via the federation assertion before platform access is granted.</w:t>
            </w:r>
          </w:p>
        </w:tc>
      </w:tr>
    </w:tbl>
    <w:p>
      <w:pPr>
        <w:pStyle w:val="Heading1"/>
        <w:spacing w:after="130" w:before="300"/>
      </w:pPr>
      <w:r>
        <w:t xml:space="preserve">Band 3 — Protection &amp; Visibility</w:t>
      </w:r>
    </w:p>
    <w:p>
      <w:pPr>
        <w:spacing w:after="140" w:line="264"/>
      </w:pPr>
      <w:r>
        <w:t xml:space="preserve">Protection &amp; Visibility covers the controls that keep data confidential and make security-relevant activity observable — extending Part 7's Data Security section from the data-platform level to a full application and infrastructure view, and elaborating the Audit module (Part 5, Module 23) into a complete detection capability.</w:t>
      </w:r>
    </w:p>
    <w:p>
      <w:pPr>
        <w:pStyle w:val="Heading2"/>
        <w:spacing w:after="90" w:before="220"/>
      </w:pPr>
      <w:r>
        <w:t xml:space="preserve">10. Encryption</w:t>
      </w:r>
    </w:p>
    <w:p>
      <w:pPr>
        <w:spacing w:after="140" w:line="264"/>
      </w:pPr>
      <w:r>
        <w:t xml:space="preserve">Encryption extends Part 7's data-store-level encryption controls to every layer where information moves or rests, ensuring no gap exists between 'data encrypted in the database' and 'data actually protected end to end.'</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10951"/>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Layer</w:t>
            </w:r>
          </w:p>
        </w:tc>
        <w:tc>
          <w:tcPr>
            <w:tcW w:type="dxa" w:w="10951"/>
            <w:shd w:fill="1F3864" w:val="clear"/>
            <w:tcMar>
              <w:top w:type="dxa" w:w="70"/>
              <w:left w:type="dxa" w:w="90"/>
              <w:bottom w:type="dxa" w:w="70"/>
              <w:right w:type="dxa" w:w="90"/>
            </w:tcMar>
            <w:vAlign w:val="top"/>
          </w:tcPr>
          <w:p>
            <w:r>
              <w:rPr>
                <w:b/>
                <w:bCs/>
                <w:color w:val="FFFFFF"/>
                <w:sz w:val="17"/>
                <w:szCs w:val="17"/>
              </w:rPr>
              <w:t xml:space="preserve">Encryption Approach</w:t>
            </w:r>
          </w:p>
        </w:tc>
      </w:tr>
      <w:tr>
        <w:tc>
          <w:tcPr>
            <w:tcW w:type="dxa" w:w="3089"/>
            <w:tcMar>
              <w:top w:type="dxa" w:w="70"/>
              <w:left w:type="dxa" w:w="90"/>
              <w:bottom w:type="dxa" w:w="70"/>
              <w:right w:type="dxa" w:w="90"/>
            </w:tcMar>
            <w:vAlign w:val="top"/>
          </w:tcPr>
          <w:p>
            <w:r>
              <w:rPr>
                <w:b/>
                <w:bCs/>
                <w:color w:val="000000"/>
                <w:sz w:val="17"/>
                <w:szCs w:val="17"/>
              </w:rPr>
              <w:t xml:space="preserve">Data at rest</w:t>
            </w:r>
          </w:p>
        </w:tc>
        <w:tc>
          <w:tcPr>
            <w:tcW w:type="dxa" w:w="10951"/>
            <w:tcMar>
              <w:top w:type="dxa" w:w="70"/>
              <w:left w:type="dxa" w:w="90"/>
              <w:bottom w:type="dxa" w:w="70"/>
              <w:right w:type="dxa" w:w="90"/>
            </w:tcMar>
            <w:vAlign w:val="top"/>
          </w:tcPr>
          <w:p>
            <w:r>
              <w:rPr>
                <w:b w:val="false"/>
                <w:bCs w:val="false"/>
                <w:color w:val="000000"/>
                <w:sz w:val="17"/>
                <w:szCs w:val="17"/>
              </w:rPr>
              <w:t xml:space="preserve">All persistent stores encrypted (Part 7); Restricted-classification fields additionally field-level encrypted.</w:t>
            </w:r>
          </w:p>
        </w:tc>
      </w:tr>
      <w:tr>
        <w:tc>
          <w:tcPr>
            <w:tcW w:type="dxa" w:w="3089"/>
            <w:tcMar>
              <w:top w:type="dxa" w:w="70"/>
              <w:left w:type="dxa" w:w="90"/>
              <w:bottom w:type="dxa" w:w="70"/>
              <w:right w:type="dxa" w:w="90"/>
            </w:tcMar>
            <w:vAlign w:val="top"/>
          </w:tcPr>
          <w:p>
            <w:r>
              <w:rPr>
                <w:b/>
                <w:bCs/>
                <w:color w:val="000000"/>
                <w:sz w:val="17"/>
                <w:szCs w:val="17"/>
              </w:rPr>
              <w:t xml:space="preserve">Data in transit</w:t>
            </w:r>
          </w:p>
        </w:tc>
        <w:tc>
          <w:tcPr>
            <w:tcW w:type="dxa" w:w="10951"/>
            <w:tcMar>
              <w:top w:type="dxa" w:w="70"/>
              <w:left w:type="dxa" w:w="90"/>
              <w:bottom w:type="dxa" w:w="70"/>
              <w:right w:type="dxa" w:w="90"/>
            </w:tcMar>
            <w:vAlign w:val="top"/>
          </w:tcPr>
          <w:p>
            <w:r>
              <w:rPr>
                <w:b w:val="false"/>
                <w:bCs w:val="false"/>
                <w:color w:val="000000"/>
                <w:sz w:val="17"/>
                <w:szCs w:val="17"/>
              </w:rPr>
              <w:t xml:space="preserve">TLS 1.2 or higher enforced for all connections, internal and external, with no unencrypted fallback permitted.</w:t>
            </w:r>
          </w:p>
        </w:tc>
      </w:tr>
      <w:tr>
        <w:tc>
          <w:tcPr>
            <w:tcW w:type="dxa" w:w="3089"/>
            <w:tcMar>
              <w:top w:type="dxa" w:w="70"/>
              <w:left w:type="dxa" w:w="90"/>
              <w:bottom w:type="dxa" w:w="70"/>
              <w:right w:type="dxa" w:w="90"/>
            </w:tcMar>
            <w:vAlign w:val="top"/>
          </w:tcPr>
          <w:p>
            <w:r>
              <w:rPr>
                <w:b/>
                <w:bCs/>
                <w:color w:val="000000"/>
                <w:sz w:val="17"/>
                <w:szCs w:val="17"/>
              </w:rPr>
              <w:t xml:space="preserve">Backups</w:t>
            </w:r>
          </w:p>
        </w:tc>
        <w:tc>
          <w:tcPr>
            <w:tcW w:type="dxa" w:w="10951"/>
            <w:tcMar>
              <w:top w:type="dxa" w:w="70"/>
              <w:left w:type="dxa" w:w="90"/>
              <w:bottom w:type="dxa" w:w="70"/>
              <w:right w:type="dxa" w:w="90"/>
            </w:tcMar>
            <w:vAlign w:val="top"/>
          </w:tcPr>
          <w:p>
            <w:r>
              <w:rPr>
                <w:b w:val="false"/>
                <w:bCs w:val="false"/>
                <w:color w:val="000000"/>
                <w:sz w:val="17"/>
                <w:szCs w:val="17"/>
              </w:rPr>
              <w:t xml:space="preserve">Backup files (Part 7) encrypted with keys managed separately from the primary data-store keys.</w:t>
            </w:r>
          </w:p>
        </w:tc>
      </w:tr>
      <w:tr>
        <w:tc>
          <w:tcPr>
            <w:tcW w:type="dxa" w:w="3089"/>
            <w:tcMar>
              <w:top w:type="dxa" w:w="70"/>
              <w:left w:type="dxa" w:w="90"/>
              <w:bottom w:type="dxa" w:w="70"/>
              <w:right w:type="dxa" w:w="90"/>
            </w:tcMar>
            <w:vAlign w:val="top"/>
          </w:tcPr>
          <w:p>
            <w:r>
              <w:rPr>
                <w:b/>
                <w:bCs/>
                <w:color w:val="000000"/>
                <w:sz w:val="17"/>
                <w:szCs w:val="17"/>
              </w:rPr>
              <w:t xml:space="preserve">Key management</w:t>
            </w:r>
          </w:p>
        </w:tc>
        <w:tc>
          <w:tcPr>
            <w:tcW w:type="dxa" w:w="10951"/>
            <w:tcMar>
              <w:top w:type="dxa" w:w="70"/>
              <w:left w:type="dxa" w:w="90"/>
              <w:bottom w:type="dxa" w:w="70"/>
              <w:right w:type="dxa" w:w="90"/>
            </w:tcMar>
            <w:vAlign w:val="top"/>
          </w:tcPr>
          <w:p>
            <w:r>
              <w:rPr>
                <w:b w:val="false"/>
                <w:bCs w:val="false"/>
                <w:color w:val="000000"/>
                <w:sz w:val="17"/>
                <w:szCs w:val="17"/>
              </w:rPr>
              <w:t xml:space="preserve">Centralized key management service with defined key-rotation schedules; no application-embedded keys or secrets in source code.</w:t>
            </w:r>
          </w:p>
        </w:tc>
      </w:tr>
      <w:tr>
        <w:tc>
          <w:tcPr>
            <w:tcW w:type="dxa" w:w="3089"/>
            <w:tcMar>
              <w:top w:type="dxa" w:w="70"/>
              <w:left w:type="dxa" w:w="90"/>
              <w:bottom w:type="dxa" w:w="70"/>
              <w:right w:type="dxa" w:w="90"/>
            </w:tcMar>
            <w:vAlign w:val="top"/>
          </w:tcPr>
          <w:p>
            <w:r>
              <w:rPr>
                <w:b/>
                <w:bCs/>
                <w:color w:val="000000"/>
                <w:sz w:val="17"/>
                <w:szCs w:val="17"/>
              </w:rPr>
              <w:t xml:space="preserve">Mobile device local storage</w:t>
            </w:r>
          </w:p>
        </w:tc>
        <w:tc>
          <w:tcPr>
            <w:tcW w:type="dxa" w:w="10951"/>
            <w:tcMar>
              <w:top w:type="dxa" w:w="70"/>
              <w:left w:type="dxa" w:w="90"/>
              <w:bottom w:type="dxa" w:w="70"/>
              <w:right w:type="dxa" w:w="90"/>
            </w:tcMar>
            <w:vAlign w:val="top"/>
          </w:tcPr>
          <w:p>
            <w:r>
              <w:rPr>
                <w:b w:val="false"/>
                <w:bCs w:val="false"/>
                <w:color w:val="000000"/>
                <w:sz w:val="17"/>
                <w:szCs w:val="17"/>
              </w:rPr>
              <w:t xml:space="preserve">Locally cached offline data (Part 8's Mobile integration) encrypted at the device level.</w:t>
            </w:r>
          </w:p>
        </w:tc>
      </w:tr>
    </w:tbl>
    <w:p>
      <w:pPr>
        <w:pStyle w:val="Heading2"/>
        <w:spacing w:after="90" w:before="220"/>
      </w:pPr>
      <w:r>
        <w:t xml:space="preserve">11. Logging</w:t>
      </w:r>
    </w:p>
    <w:p>
      <w:pPr>
        <w:spacing w:after="140" w:line="264"/>
      </w:pPr>
      <w:r>
        <w:t xml:space="preserve">Logging captures the raw event stream that Monitoring and Audit Trails (below) both depend on — the foundational instrumentation layer, specified here in terms of what is captured and for how long.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5476"/>
        <w:gridCol w:w="5476"/>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Log Source</w:t>
            </w:r>
          </w:p>
        </w:tc>
        <w:tc>
          <w:tcPr>
            <w:tcW w:type="dxa" w:w="5476"/>
            <w:shd w:fill="1F3864" w:val="clear"/>
            <w:tcMar>
              <w:top w:type="dxa" w:w="70"/>
              <w:left w:type="dxa" w:w="90"/>
              <w:bottom w:type="dxa" w:w="70"/>
              <w:right w:type="dxa" w:w="90"/>
            </w:tcMar>
            <w:vAlign w:val="top"/>
          </w:tcPr>
          <w:p>
            <w:r>
              <w:rPr>
                <w:b/>
                <w:bCs/>
                <w:color w:val="FFFFFF"/>
                <w:sz w:val="17"/>
                <w:szCs w:val="17"/>
              </w:rPr>
              <w:t xml:space="preserve">Content Captured</w:t>
            </w:r>
          </w:p>
        </w:tc>
        <w:tc>
          <w:tcPr>
            <w:tcW w:type="dxa" w:w="5476"/>
            <w:shd w:fill="1F3864" w:val="clear"/>
            <w:tcMar>
              <w:top w:type="dxa" w:w="70"/>
              <w:left w:type="dxa" w:w="90"/>
              <w:bottom w:type="dxa" w:w="70"/>
              <w:right w:type="dxa" w:w="90"/>
            </w:tcMar>
            <w:vAlign w:val="top"/>
          </w:tcPr>
          <w:p>
            <w:r>
              <w:rPr>
                <w:b/>
                <w:bCs/>
                <w:color w:val="FFFFFF"/>
                <w:sz w:val="17"/>
                <w:szCs w:val="17"/>
              </w:rPr>
              <w:t xml:space="preserve">Retention</w:t>
            </w:r>
          </w:p>
        </w:tc>
      </w:tr>
      <w:tr>
        <w:tc>
          <w:tcPr>
            <w:tcW w:type="dxa" w:w="3089"/>
            <w:tcMar>
              <w:top w:type="dxa" w:w="70"/>
              <w:left w:type="dxa" w:w="90"/>
              <w:bottom w:type="dxa" w:w="70"/>
              <w:right w:type="dxa" w:w="90"/>
            </w:tcMar>
            <w:vAlign w:val="top"/>
          </w:tcPr>
          <w:p>
            <w:r>
              <w:rPr>
                <w:b/>
                <w:bCs/>
                <w:color w:val="000000"/>
                <w:sz w:val="17"/>
                <w:szCs w:val="17"/>
              </w:rPr>
              <w:t xml:space="preserve">Authentication events</w:t>
            </w:r>
          </w:p>
        </w:tc>
        <w:tc>
          <w:tcPr>
            <w:tcW w:type="dxa" w:w="5476"/>
            <w:tcMar>
              <w:top w:type="dxa" w:w="70"/>
              <w:left w:type="dxa" w:w="90"/>
              <w:bottom w:type="dxa" w:w="70"/>
              <w:right w:type="dxa" w:w="90"/>
            </w:tcMar>
            <w:vAlign w:val="top"/>
          </w:tcPr>
          <w:p>
            <w:r>
              <w:rPr>
                <w:b w:val="false"/>
                <w:bCs w:val="false"/>
                <w:color w:val="000000"/>
                <w:sz w:val="17"/>
                <w:szCs w:val="17"/>
              </w:rPr>
              <w:t xml:space="preserve">Login success/failure, MFA challenges, session start/end.</w:t>
            </w:r>
          </w:p>
        </w:tc>
        <w:tc>
          <w:tcPr>
            <w:tcW w:type="dxa" w:w="5476"/>
            <w:tcMar>
              <w:top w:type="dxa" w:w="70"/>
              <w:left w:type="dxa" w:w="90"/>
              <w:bottom w:type="dxa" w:w="70"/>
              <w:right w:type="dxa" w:w="90"/>
            </w:tcMar>
            <w:vAlign w:val="top"/>
          </w:tcPr>
          <w:p>
            <w:r>
              <w:rPr>
                <w:b w:val="false"/>
                <w:bCs w:val="false"/>
                <w:color w:val="000000"/>
                <w:sz w:val="17"/>
                <w:szCs w:val="17"/>
              </w:rPr>
              <w:t xml:space="preserve">Aligned to Part 7's Access and Audit Logs retention: 5 years.</w:t>
            </w:r>
          </w:p>
        </w:tc>
      </w:tr>
      <w:tr>
        <w:tc>
          <w:tcPr>
            <w:tcW w:type="dxa" w:w="3089"/>
            <w:tcMar>
              <w:top w:type="dxa" w:w="70"/>
              <w:left w:type="dxa" w:w="90"/>
              <w:bottom w:type="dxa" w:w="70"/>
              <w:right w:type="dxa" w:w="90"/>
            </w:tcMar>
            <w:vAlign w:val="top"/>
          </w:tcPr>
          <w:p>
            <w:r>
              <w:rPr>
                <w:b/>
                <w:bCs/>
                <w:color w:val="000000"/>
                <w:sz w:val="17"/>
                <w:szCs w:val="17"/>
              </w:rPr>
              <w:t xml:space="preserve">Authorization decisions</w:t>
            </w:r>
          </w:p>
        </w:tc>
        <w:tc>
          <w:tcPr>
            <w:tcW w:type="dxa" w:w="5476"/>
            <w:tcMar>
              <w:top w:type="dxa" w:w="70"/>
              <w:left w:type="dxa" w:w="90"/>
              <w:bottom w:type="dxa" w:w="70"/>
              <w:right w:type="dxa" w:w="90"/>
            </w:tcMar>
            <w:vAlign w:val="top"/>
          </w:tcPr>
          <w:p>
            <w:r>
              <w:rPr>
                <w:b w:val="false"/>
                <w:bCs w:val="false"/>
                <w:color w:val="000000"/>
                <w:sz w:val="17"/>
                <w:szCs w:val="17"/>
              </w:rPr>
              <w:t xml:space="preserve">Access grants and denials against Classification and role rules.</w:t>
            </w:r>
          </w:p>
        </w:tc>
        <w:tc>
          <w:tcPr>
            <w:tcW w:type="dxa" w:w="5476"/>
            <w:tcMar>
              <w:top w:type="dxa" w:w="70"/>
              <w:left w:type="dxa" w:w="90"/>
              <w:bottom w:type="dxa" w:w="70"/>
              <w:right w:type="dxa" w:w="90"/>
            </w:tcMar>
            <w:vAlign w:val="top"/>
          </w:tcPr>
          <w:p>
            <w:r>
              <w:rPr>
                <w:b w:val="false"/>
                <w:bCs w:val="false"/>
                <w:color w:val="000000"/>
                <w:sz w:val="17"/>
                <w:szCs w:val="17"/>
              </w:rPr>
              <w:t xml:space="preserve">5 years.</w:t>
            </w:r>
          </w:p>
        </w:tc>
      </w:tr>
      <w:tr>
        <w:tc>
          <w:tcPr>
            <w:tcW w:type="dxa" w:w="3089"/>
            <w:tcMar>
              <w:top w:type="dxa" w:w="70"/>
              <w:left w:type="dxa" w:w="90"/>
              <w:bottom w:type="dxa" w:w="70"/>
              <w:right w:type="dxa" w:w="90"/>
            </w:tcMar>
            <w:vAlign w:val="top"/>
          </w:tcPr>
          <w:p>
            <w:r>
              <w:rPr>
                <w:b/>
                <w:bCs/>
                <w:color w:val="000000"/>
                <w:sz w:val="17"/>
                <w:szCs w:val="17"/>
              </w:rPr>
              <w:t xml:space="preserve">Data access to Confidential/Restricted content</w:t>
            </w:r>
          </w:p>
        </w:tc>
        <w:tc>
          <w:tcPr>
            <w:tcW w:type="dxa" w:w="5476"/>
            <w:tcMar>
              <w:top w:type="dxa" w:w="70"/>
              <w:left w:type="dxa" w:w="90"/>
              <w:bottom w:type="dxa" w:w="70"/>
              <w:right w:type="dxa" w:w="90"/>
            </w:tcMar>
            <w:vAlign w:val="top"/>
          </w:tcPr>
          <w:p>
            <w:r>
              <w:rPr>
                <w:b w:val="false"/>
                <w:bCs w:val="false"/>
                <w:color w:val="000000"/>
                <w:sz w:val="17"/>
                <w:szCs w:val="17"/>
              </w:rPr>
              <w:t xml:space="preserve">User, timestamp, record accessed, action taken.</w:t>
            </w:r>
          </w:p>
        </w:tc>
        <w:tc>
          <w:tcPr>
            <w:tcW w:type="dxa" w:w="5476"/>
            <w:tcMar>
              <w:top w:type="dxa" w:w="70"/>
              <w:left w:type="dxa" w:w="90"/>
              <w:bottom w:type="dxa" w:w="70"/>
              <w:right w:type="dxa" w:w="90"/>
            </w:tcMar>
            <w:vAlign w:val="top"/>
          </w:tcPr>
          <w:p>
            <w:r>
              <w:rPr>
                <w:b w:val="false"/>
                <w:bCs w:val="false"/>
                <w:color w:val="000000"/>
                <w:sz w:val="17"/>
                <w:szCs w:val="17"/>
              </w:rPr>
              <w:t xml:space="preserve">5 years.</w:t>
            </w:r>
          </w:p>
        </w:tc>
      </w:tr>
      <w:tr>
        <w:tc>
          <w:tcPr>
            <w:tcW w:type="dxa" w:w="3089"/>
            <w:tcMar>
              <w:top w:type="dxa" w:w="70"/>
              <w:left w:type="dxa" w:w="90"/>
              <w:bottom w:type="dxa" w:w="70"/>
              <w:right w:type="dxa" w:w="90"/>
            </w:tcMar>
            <w:vAlign w:val="top"/>
          </w:tcPr>
          <w:p>
            <w:r>
              <w:rPr>
                <w:b/>
                <w:bCs/>
                <w:color w:val="000000"/>
                <w:sz w:val="17"/>
                <w:szCs w:val="17"/>
              </w:rPr>
              <w:t xml:space="preserve">Administrative and configuration changes</w:t>
            </w:r>
          </w:p>
        </w:tc>
        <w:tc>
          <w:tcPr>
            <w:tcW w:type="dxa" w:w="5476"/>
            <w:tcMar>
              <w:top w:type="dxa" w:w="70"/>
              <w:left w:type="dxa" w:w="90"/>
              <w:bottom w:type="dxa" w:w="70"/>
              <w:right w:type="dxa" w:w="90"/>
            </w:tcMar>
            <w:vAlign w:val="top"/>
          </w:tcPr>
          <w:p>
            <w:r>
              <w:rPr>
                <w:b w:val="false"/>
                <w:bCs w:val="false"/>
                <w:color w:val="000000"/>
                <w:sz w:val="17"/>
                <w:szCs w:val="17"/>
              </w:rPr>
              <w:t xml:space="preserve">Change details, actor, timestamp (feeding the Administration module's Configuration Change Log, Part 5).</w:t>
            </w:r>
          </w:p>
        </w:tc>
        <w:tc>
          <w:tcPr>
            <w:tcW w:type="dxa" w:w="5476"/>
            <w:tcMar>
              <w:top w:type="dxa" w:w="70"/>
              <w:left w:type="dxa" w:w="90"/>
              <w:bottom w:type="dxa" w:w="70"/>
              <w:right w:type="dxa" w:w="90"/>
            </w:tcMar>
            <w:vAlign w:val="top"/>
          </w:tcPr>
          <w:p>
            <w:r>
              <w:rPr>
                <w:b w:val="false"/>
                <w:bCs w:val="false"/>
                <w:color w:val="000000"/>
                <w:sz w:val="17"/>
                <w:szCs w:val="17"/>
              </w:rPr>
              <w:t xml:space="preserve">5 years, or longer where a specific donor audit requirement applies.</w:t>
            </w:r>
          </w:p>
        </w:tc>
      </w:tr>
      <w:tr>
        <w:tc>
          <w:tcPr>
            <w:tcW w:type="dxa" w:w="3089"/>
            <w:tcMar>
              <w:top w:type="dxa" w:w="70"/>
              <w:left w:type="dxa" w:w="90"/>
              <w:bottom w:type="dxa" w:w="70"/>
              <w:right w:type="dxa" w:w="90"/>
            </w:tcMar>
            <w:vAlign w:val="top"/>
          </w:tcPr>
          <w:p>
            <w:r>
              <w:rPr>
                <w:b/>
                <w:bCs/>
                <w:color w:val="000000"/>
                <w:sz w:val="17"/>
                <w:szCs w:val="17"/>
              </w:rPr>
              <w:t xml:space="preserve">Application and infrastructure errors</w:t>
            </w:r>
          </w:p>
        </w:tc>
        <w:tc>
          <w:tcPr>
            <w:tcW w:type="dxa" w:w="5476"/>
            <w:tcMar>
              <w:top w:type="dxa" w:w="70"/>
              <w:left w:type="dxa" w:w="90"/>
              <w:bottom w:type="dxa" w:w="70"/>
              <w:right w:type="dxa" w:w="90"/>
            </w:tcMar>
            <w:vAlign w:val="top"/>
          </w:tcPr>
          <w:p>
            <w:r>
              <w:rPr>
                <w:b w:val="false"/>
                <w:bCs w:val="false"/>
                <w:color w:val="000000"/>
                <w:sz w:val="17"/>
                <w:szCs w:val="17"/>
              </w:rPr>
              <w:t xml:space="preserve">Error type, affected component, timestamp.</w:t>
            </w:r>
          </w:p>
        </w:tc>
        <w:tc>
          <w:tcPr>
            <w:tcW w:type="dxa" w:w="5476"/>
            <w:tcMar>
              <w:top w:type="dxa" w:w="70"/>
              <w:left w:type="dxa" w:w="90"/>
              <w:bottom w:type="dxa" w:w="70"/>
              <w:right w:type="dxa" w:w="90"/>
            </w:tcMar>
            <w:vAlign w:val="top"/>
          </w:tcPr>
          <w:p>
            <w:r>
              <w:rPr>
                <w:b w:val="false"/>
                <w:bCs w:val="false"/>
                <w:color w:val="000000"/>
                <w:sz w:val="17"/>
                <w:szCs w:val="17"/>
              </w:rPr>
              <w:t xml:space="preserve">1 year, sufficient for operational troubleshooting rather than compliance audit.</w:t>
            </w:r>
          </w:p>
        </w:tc>
      </w:tr>
    </w:tbl>
    <w:p>
      <w:pPr>
        <w:pStyle w:val="Heading2"/>
        <w:spacing w:after="90" w:before="220"/>
      </w:pPr>
      <w:r>
        <w:t xml:space="preserve">12. Monitoring</w:t>
      </w:r>
    </w:p>
    <w:p>
      <w:pPr>
        <w:spacing w:after="140" w:line="264"/>
      </w:pPr>
      <w:r>
        <w:t xml:space="preserve">Monitoring analyzes the log stream in near-real-time to detect and respond to security-relevant patterns, the active-detection counterpart to logging's passive recording.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5476"/>
        <w:gridCol w:w="5476"/>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Monitoring Type</w:t>
            </w:r>
          </w:p>
        </w:tc>
        <w:tc>
          <w:tcPr>
            <w:tcW w:type="dxa" w:w="5476"/>
            <w:shd w:fill="1F3864" w:val="clear"/>
            <w:tcMar>
              <w:top w:type="dxa" w:w="70"/>
              <w:left w:type="dxa" w:w="90"/>
              <w:bottom w:type="dxa" w:w="70"/>
              <w:right w:type="dxa" w:w="90"/>
            </w:tcMar>
            <w:vAlign w:val="top"/>
          </w:tcPr>
          <w:p>
            <w:r>
              <w:rPr>
                <w:b/>
                <w:bCs/>
                <w:color w:val="FFFFFF"/>
                <w:sz w:val="17"/>
                <w:szCs w:val="17"/>
              </w:rPr>
              <w:t xml:space="preserve">What It Detects</w:t>
            </w:r>
          </w:p>
        </w:tc>
        <w:tc>
          <w:tcPr>
            <w:tcW w:type="dxa" w:w="5476"/>
            <w:shd w:fill="1F3864" w:val="clear"/>
            <w:tcMar>
              <w:top w:type="dxa" w:w="70"/>
              <w:left w:type="dxa" w:w="90"/>
              <w:bottom w:type="dxa" w:w="70"/>
              <w:right w:type="dxa" w:w="90"/>
            </w:tcMar>
            <w:vAlign w:val="top"/>
          </w:tcPr>
          <w:p>
            <w:r>
              <w:rPr>
                <w:b/>
                <w:bCs/>
                <w:color w:val="FFFFFF"/>
                <w:sz w:val="17"/>
                <w:szCs w:val="17"/>
              </w:rPr>
              <w:t xml:space="preserve">Response</w:t>
            </w:r>
          </w:p>
        </w:tc>
      </w:tr>
      <w:tr>
        <w:tc>
          <w:tcPr>
            <w:tcW w:type="dxa" w:w="3089"/>
            <w:tcMar>
              <w:top w:type="dxa" w:w="70"/>
              <w:left w:type="dxa" w:w="90"/>
              <w:bottom w:type="dxa" w:w="70"/>
              <w:right w:type="dxa" w:w="90"/>
            </w:tcMar>
            <w:vAlign w:val="top"/>
          </w:tcPr>
          <w:p>
            <w:r>
              <w:rPr>
                <w:b/>
                <w:bCs/>
                <w:color w:val="000000"/>
                <w:sz w:val="17"/>
                <w:szCs w:val="17"/>
              </w:rPr>
              <w:t xml:space="preserve">Authentication anomaly detection</w:t>
            </w:r>
          </w:p>
        </w:tc>
        <w:tc>
          <w:tcPr>
            <w:tcW w:type="dxa" w:w="5476"/>
            <w:tcMar>
              <w:top w:type="dxa" w:w="70"/>
              <w:left w:type="dxa" w:w="90"/>
              <w:bottom w:type="dxa" w:w="70"/>
              <w:right w:type="dxa" w:w="90"/>
            </w:tcMar>
            <w:vAlign w:val="top"/>
          </w:tcPr>
          <w:p>
            <w:r>
              <w:rPr>
                <w:b w:val="false"/>
                <w:bCs w:val="false"/>
                <w:color w:val="000000"/>
                <w:sz w:val="17"/>
                <w:szCs w:val="17"/>
              </w:rPr>
              <w:t xml:space="preserve">Unusual login location, time, or repeated failures.</w:t>
            </w:r>
          </w:p>
        </w:tc>
        <w:tc>
          <w:tcPr>
            <w:tcW w:type="dxa" w:w="5476"/>
            <w:tcMar>
              <w:top w:type="dxa" w:w="70"/>
              <w:left w:type="dxa" w:w="90"/>
              <w:bottom w:type="dxa" w:w="70"/>
              <w:right w:type="dxa" w:w="90"/>
            </w:tcMar>
            <w:vAlign w:val="top"/>
          </w:tcPr>
          <w:p>
            <w:r>
              <w:rPr>
                <w:b w:val="false"/>
                <w:bCs w:val="false"/>
                <w:color w:val="000000"/>
                <w:sz w:val="17"/>
                <w:szCs w:val="17"/>
              </w:rPr>
              <w:t xml:space="preserve">Automatic account lockout or step-up MFA challenge; alert to ICT Unit.</w:t>
            </w:r>
          </w:p>
        </w:tc>
      </w:tr>
      <w:tr>
        <w:tc>
          <w:tcPr>
            <w:tcW w:type="dxa" w:w="3089"/>
            <w:tcMar>
              <w:top w:type="dxa" w:w="70"/>
              <w:left w:type="dxa" w:w="90"/>
              <w:bottom w:type="dxa" w:w="70"/>
              <w:right w:type="dxa" w:w="90"/>
            </w:tcMar>
            <w:vAlign w:val="top"/>
          </w:tcPr>
          <w:p>
            <w:r>
              <w:rPr>
                <w:b/>
                <w:bCs/>
                <w:color w:val="000000"/>
                <w:sz w:val="17"/>
                <w:szCs w:val="17"/>
              </w:rPr>
              <w:t xml:space="preserve">Privilege escalation monitoring</w:t>
            </w:r>
          </w:p>
        </w:tc>
        <w:tc>
          <w:tcPr>
            <w:tcW w:type="dxa" w:w="5476"/>
            <w:tcMar>
              <w:top w:type="dxa" w:w="70"/>
              <w:left w:type="dxa" w:w="90"/>
              <w:bottom w:type="dxa" w:w="70"/>
              <w:right w:type="dxa" w:w="90"/>
            </w:tcMar>
            <w:vAlign w:val="top"/>
          </w:tcPr>
          <w:p>
            <w:r>
              <w:rPr>
                <w:b w:val="false"/>
                <w:bCs w:val="false"/>
                <w:color w:val="000000"/>
                <w:sz w:val="17"/>
                <w:szCs w:val="17"/>
              </w:rPr>
              <w:t xml:space="preserve">Use of administrative or elevated-access functions.</w:t>
            </w:r>
          </w:p>
        </w:tc>
        <w:tc>
          <w:tcPr>
            <w:tcW w:type="dxa" w:w="5476"/>
            <w:tcMar>
              <w:top w:type="dxa" w:w="70"/>
              <w:left w:type="dxa" w:w="90"/>
              <w:bottom w:type="dxa" w:w="70"/>
              <w:right w:type="dxa" w:w="90"/>
            </w:tcMar>
            <w:vAlign w:val="top"/>
          </w:tcPr>
          <w:p>
            <w:r>
              <w:rPr>
                <w:b w:val="false"/>
                <w:bCs w:val="false"/>
                <w:color w:val="000000"/>
                <w:sz w:val="17"/>
                <w:szCs w:val="17"/>
              </w:rPr>
              <w:t xml:space="preserve">Real-time alert to Security Operations (below) for review.</w:t>
            </w:r>
          </w:p>
        </w:tc>
      </w:tr>
      <w:tr>
        <w:tc>
          <w:tcPr>
            <w:tcW w:type="dxa" w:w="3089"/>
            <w:tcMar>
              <w:top w:type="dxa" w:w="70"/>
              <w:left w:type="dxa" w:w="90"/>
              <w:bottom w:type="dxa" w:w="70"/>
              <w:right w:type="dxa" w:w="90"/>
            </w:tcMar>
            <w:vAlign w:val="top"/>
          </w:tcPr>
          <w:p>
            <w:r>
              <w:rPr>
                <w:b/>
                <w:bCs/>
                <w:color w:val="000000"/>
                <w:sz w:val="17"/>
                <w:szCs w:val="17"/>
              </w:rPr>
              <w:t xml:space="preserve">Data exfiltration pattern detection</w:t>
            </w:r>
          </w:p>
        </w:tc>
        <w:tc>
          <w:tcPr>
            <w:tcW w:type="dxa" w:w="5476"/>
            <w:tcMar>
              <w:top w:type="dxa" w:w="70"/>
              <w:left w:type="dxa" w:w="90"/>
              <w:bottom w:type="dxa" w:w="70"/>
              <w:right w:type="dxa" w:w="90"/>
            </w:tcMar>
            <w:vAlign w:val="top"/>
          </w:tcPr>
          <w:p>
            <w:r>
              <w:rPr>
                <w:b w:val="false"/>
                <w:bCs w:val="false"/>
                <w:color w:val="000000"/>
                <w:sz w:val="17"/>
                <w:szCs w:val="17"/>
              </w:rPr>
              <w:t xml:space="preserve">Unusually large or rapid data export/download activity.</w:t>
            </w:r>
          </w:p>
        </w:tc>
        <w:tc>
          <w:tcPr>
            <w:tcW w:type="dxa" w:w="5476"/>
            <w:tcMar>
              <w:top w:type="dxa" w:w="70"/>
              <w:left w:type="dxa" w:w="90"/>
              <w:bottom w:type="dxa" w:w="70"/>
              <w:right w:type="dxa" w:w="90"/>
            </w:tcMar>
            <w:vAlign w:val="top"/>
          </w:tcPr>
          <w:p>
            <w:r>
              <w:rPr>
                <w:b w:val="false"/>
                <w:bCs w:val="false"/>
                <w:color w:val="000000"/>
                <w:sz w:val="17"/>
                <w:szCs w:val="17"/>
              </w:rPr>
              <w:t xml:space="preserve">Alert and, where thresholds are exceeded, automatic temporary access suspension pending review.</w:t>
            </w:r>
          </w:p>
        </w:tc>
      </w:tr>
      <w:tr>
        <w:tc>
          <w:tcPr>
            <w:tcW w:type="dxa" w:w="3089"/>
            <w:tcMar>
              <w:top w:type="dxa" w:w="70"/>
              <w:left w:type="dxa" w:w="90"/>
              <w:bottom w:type="dxa" w:w="70"/>
              <w:right w:type="dxa" w:w="90"/>
            </w:tcMar>
            <w:vAlign w:val="top"/>
          </w:tcPr>
          <w:p>
            <w:r>
              <w:rPr>
                <w:b/>
                <w:bCs/>
                <w:color w:val="000000"/>
                <w:sz w:val="17"/>
                <w:szCs w:val="17"/>
              </w:rPr>
              <w:t xml:space="preserve">Infrastructure health monitoring</w:t>
            </w:r>
          </w:p>
        </w:tc>
        <w:tc>
          <w:tcPr>
            <w:tcW w:type="dxa" w:w="5476"/>
            <w:tcMar>
              <w:top w:type="dxa" w:w="70"/>
              <w:left w:type="dxa" w:w="90"/>
              <w:bottom w:type="dxa" w:w="70"/>
              <w:right w:type="dxa" w:w="90"/>
            </w:tcMar>
            <w:vAlign w:val="top"/>
          </w:tcPr>
          <w:p>
            <w:r>
              <w:rPr>
                <w:b w:val="false"/>
                <w:bCs w:val="false"/>
                <w:color w:val="000000"/>
                <w:sz w:val="17"/>
                <w:szCs w:val="17"/>
              </w:rPr>
              <w:t xml:space="preserve">Service availability, performance degradation, resource exhaustion.</w:t>
            </w:r>
          </w:p>
        </w:tc>
        <w:tc>
          <w:tcPr>
            <w:tcW w:type="dxa" w:w="5476"/>
            <w:tcMar>
              <w:top w:type="dxa" w:w="70"/>
              <w:left w:type="dxa" w:w="90"/>
              <w:bottom w:type="dxa" w:w="70"/>
              <w:right w:type="dxa" w:w="90"/>
            </w:tcMar>
            <w:vAlign w:val="top"/>
          </w:tcPr>
          <w:p>
            <w:r>
              <w:rPr>
                <w:b w:val="false"/>
                <w:bCs w:val="false"/>
                <w:color w:val="000000"/>
                <w:sz w:val="17"/>
                <w:szCs w:val="17"/>
              </w:rPr>
              <w:t xml:space="preserve">Automated alert to ICT Unit; feeds the Recovery Time Objective commitments from Part 7.</w:t>
            </w:r>
          </w:p>
        </w:tc>
      </w:tr>
      <w:tr>
        <w:tc>
          <w:tcPr>
            <w:tcW w:type="dxa" w:w="3089"/>
            <w:tcMar>
              <w:top w:type="dxa" w:w="70"/>
              <w:left w:type="dxa" w:w="90"/>
              <w:bottom w:type="dxa" w:w="70"/>
              <w:right w:type="dxa" w:w="90"/>
            </w:tcMar>
            <w:vAlign w:val="top"/>
          </w:tcPr>
          <w:p>
            <w:r>
              <w:rPr>
                <w:b/>
                <w:bCs/>
                <w:color w:val="000000"/>
                <w:sz w:val="17"/>
                <w:szCs w:val="17"/>
              </w:rPr>
              <w:t xml:space="preserve">Vulnerability scanning</w:t>
            </w:r>
          </w:p>
        </w:tc>
        <w:tc>
          <w:tcPr>
            <w:tcW w:type="dxa" w:w="5476"/>
            <w:tcMar>
              <w:top w:type="dxa" w:w="70"/>
              <w:left w:type="dxa" w:w="90"/>
              <w:bottom w:type="dxa" w:w="70"/>
              <w:right w:type="dxa" w:w="90"/>
            </w:tcMar>
            <w:vAlign w:val="top"/>
          </w:tcPr>
          <w:p>
            <w:r>
              <w:rPr>
                <w:b w:val="false"/>
                <w:bCs w:val="false"/>
                <w:color w:val="000000"/>
                <w:sz w:val="17"/>
                <w:szCs w:val="17"/>
              </w:rPr>
              <w:t xml:space="preserve">Known vulnerabilities in platform components and dependencies.</w:t>
            </w:r>
          </w:p>
        </w:tc>
        <w:tc>
          <w:tcPr>
            <w:tcW w:type="dxa" w:w="5476"/>
            <w:tcMar>
              <w:top w:type="dxa" w:w="70"/>
              <w:left w:type="dxa" w:w="90"/>
              <w:bottom w:type="dxa" w:w="70"/>
              <w:right w:type="dxa" w:w="90"/>
            </w:tcMar>
            <w:vAlign w:val="top"/>
          </w:tcPr>
          <w:p>
            <w:r>
              <w:rPr>
                <w:b w:val="false"/>
                <w:bCs w:val="false"/>
                <w:color w:val="000000"/>
                <w:sz w:val="17"/>
                <w:szCs w:val="17"/>
              </w:rPr>
              <w:t xml:space="preserve">Scheduled scans with remediation SLA tied to vulnerability severity.</w:t>
            </w:r>
          </w:p>
        </w:tc>
      </w:tr>
    </w:tbl>
    <w:p>
      <w:pPr>
        <w:pStyle w:val="Heading2"/>
        <w:spacing w:after="90" w:before="220"/>
      </w:pPr>
      <w:r>
        <w:t xml:space="preserve">13. Audit Trails</w:t>
      </w:r>
    </w:p>
    <w:p>
      <w:pPr>
        <w:spacing w:after="140" w:line="264"/>
      </w:pPr>
      <w:r>
        <w:t xml:space="preserve">Audit Trails formalize the Audit module (Part 5, Module 23) into a complete record of accountability, distinguishing routine Logging (above, operational and security-focused) from the durable, tamper-evident record an external or donor auditor would specifically request.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5476"/>
        <w:gridCol w:w="5476"/>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Audit Event Category</w:t>
            </w:r>
          </w:p>
        </w:tc>
        <w:tc>
          <w:tcPr>
            <w:tcW w:type="dxa" w:w="5476"/>
            <w:shd w:fill="1F3864" w:val="clear"/>
            <w:tcMar>
              <w:top w:type="dxa" w:w="70"/>
              <w:left w:type="dxa" w:w="90"/>
              <w:bottom w:type="dxa" w:w="70"/>
              <w:right w:type="dxa" w:w="90"/>
            </w:tcMar>
            <w:vAlign w:val="top"/>
          </w:tcPr>
          <w:p>
            <w:r>
              <w:rPr>
                <w:b/>
                <w:bCs/>
                <w:color w:val="FFFFFF"/>
                <w:sz w:val="17"/>
                <w:szCs w:val="17"/>
              </w:rPr>
              <w:t xml:space="preserve">Captured Data</w:t>
            </w:r>
          </w:p>
        </w:tc>
        <w:tc>
          <w:tcPr>
            <w:tcW w:type="dxa" w:w="5476"/>
            <w:shd w:fill="1F3864" w:val="clear"/>
            <w:tcMar>
              <w:top w:type="dxa" w:w="70"/>
              <w:left w:type="dxa" w:w="90"/>
              <w:bottom w:type="dxa" w:w="70"/>
              <w:right w:type="dxa" w:w="90"/>
            </w:tcMar>
            <w:vAlign w:val="top"/>
          </w:tcPr>
          <w:p>
            <w:r>
              <w:rPr>
                <w:b/>
                <w:bCs/>
                <w:color w:val="FFFFFF"/>
                <w:sz w:val="17"/>
                <w:szCs w:val="17"/>
              </w:rPr>
              <w:t xml:space="preserve">Reviewed By</w:t>
            </w:r>
          </w:p>
        </w:tc>
      </w:tr>
      <w:tr>
        <w:tc>
          <w:tcPr>
            <w:tcW w:type="dxa" w:w="3089"/>
            <w:tcMar>
              <w:top w:type="dxa" w:w="70"/>
              <w:left w:type="dxa" w:w="90"/>
              <w:bottom w:type="dxa" w:w="70"/>
              <w:right w:type="dxa" w:w="90"/>
            </w:tcMar>
            <w:vAlign w:val="top"/>
          </w:tcPr>
          <w:p>
            <w:r>
              <w:rPr>
                <w:b/>
                <w:bCs/>
                <w:color w:val="000000"/>
                <w:sz w:val="17"/>
                <w:szCs w:val="17"/>
              </w:rPr>
              <w:t xml:space="preserve">Governance decisions</w:t>
            </w:r>
          </w:p>
        </w:tc>
        <w:tc>
          <w:tcPr>
            <w:tcW w:type="dxa" w:w="5476"/>
            <w:tcMar>
              <w:top w:type="dxa" w:w="70"/>
              <w:left w:type="dxa" w:w="90"/>
              <w:bottom w:type="dxa" w:w="70"/>
              <w:right w:type="dxa" w:w="90"/>
            </w:tcMar>
            <w:vAlign w:val="top"/>
          </w:tcPr>
          <w:p>
            <w:r>
              <w:rPr>
                <w:b w:val="false"/>
                <w:bCs w:val="false"/>
                <w:color w:val="000000"/>
                <w:sz w:val="17"/>
                <w:szCs w:val="17"/>
              </w:rPr>
              <w:t xml:space="preserve">Decision content, rationale, decision-maker, date (per Part 6's Decision Register).</w:t>
            </w:r>
          </w:p>
        </w:tc>
        <w:tc>
          <w:tcPr>
            <w:tcW w:type="dxa" w:w="5476"/>
            <w:tcMar>
              <w:top w:type="dxa" w:w="70"/>
              <w:left w:type="dxa" w:w="90"/>
              <w:bottom w:type="dxa" w:w="70"/>
              <w:right w:type="dxa" w:w="90"/>
            </w:tcMar>
            <w:vAlign w:val="top"/>
          </w:tcPr>
          <w:p>
            <w:r>
              <w:rPr>
                <w:b w:val="false"/>
                <w:bCs w:val="false"/>
                <w:color w:val="000000"/>
                <w:sz w:val="17"/>
                <w:szCs w:val="17"/>
              </w:rPr>
              <w:t xml:space="preserve">Data &amp; Content Governance Board, annual review.</w:t>
            </w:r>
          </w:p>
        </w:tc>
      </w:tr>
      <w:tr>
        <w:tc>
          <w:tcPr>
            <w:tcW w:type="dxa" w:w="3089"/>
            <w:tcMar>
              <w:top w:type="dxa" w:w="70"/>
              <w:left w:type="dxa" w:w="90"/>
              <w:bottom w:type="dxa" w:w="70"/>
              <w:right w:type="dxa" w:w="90"/>
            </w:tcMar>
            <w:vAlign w:val="top"/>
          </w:tcPr>
          <w:p>
            <w:r>
              <w:rPr>
                <w:b/>
                <w:bCs/>
                <w:color w:val="000000"/>
                <w:sz w:val="17"/>
                <w:szCs w:val="17"/>
              </w:rPr>
              <w:t xml:space="preserve">Procurement and evaluation actions</w:t>
            </w:r>
          </w:p>
        </w:tc>
        <w:tc>
          <w:tcPr>
            <w:tcW w:type="dxa" w:w="5476"/>
            <w:tcMar>
              <w:top w:type="dxa" w:w="70"/>
              <w:left w:type="dxa" w:w="90"/>
              <w:bottom w:type="dxa" w:w="70"/>
              <w:right w:type="dxa" w:w="90"/>
            </w:tcMar>
            <w:vAlign w:val="top"/>
          </w:tcPr>
          <w:p>
            <w:r>
              <w:rPr>
                <w:b w:val="false"/>
                <w:bCs w:val="false"/>
                <w:color w:val="000000"/>
                <w:sz w:val="17"/>
                <w:szCs w:val="17"/>
              </w:rPr>
              <w:t xml:space="preserve">Evaluator, score, timestamp, any score changes with justification.</w:t>
            </w:r>
          </w:p>
        </w:tc>
        <w:tc>
          <w:tcPr>
            <w:tcW w:type="dxa" w:w="5476"/>
            <w:tcMar>
              <w:top w:type="dxa" w:w="70"/>
              <w:left w:type="dxa" w:w="90"/>
              <w:bottom w:type="dxa" w:w="70"/>
              <w:right w:type="dxa" w:w="90"/>
            </w:tcMar>
            <w:vAlign w:val="top"/>
          </w:tcPr>
          <w:p>
            <w:r>
              <w:rPr>
                <w:b w:val="false"/>
                <w:bCs w:val="false"/>
                <w:color w:val="000000"/>
                <w:sz w:val="17"/>
                <w:szCs w:val="17"/>
              </w:rPr>
              <w:t xml:space="preserve">NPCO Procurement, per-procurement-cycle review; external audit on request.</w:t>
            </w:r>
          </w:p>
        </w:tc>
      </w:tr>
      <w:tr>
        <w:tc>
          <w:tcPr>
            <w:tcW w:type="dxa" w:w="3089"/>
            <w:tcMar>
              <w:top w:type="dxa" w:w="70"/>
              <w:left w:type="dxa" w:w="90"/>
              <w:bottom w:type="dxa" w:w="70"/>
              <w:right w:type="dxa" w:w="90"/>
            </w:tcMar>
            <w:vAlign w:val="top"/>
          </w:tcPr>
          <w:p>
            <w:r>
              <w:rPr>
                <w:b/>
                <w:bCs/>
                <w:color w:val="000000"/>
                <w:sz w:val="17"/>
                <w:szCs w:val="17"/>
              </w:rPr>
              <w:t xml:space="preserve">Financial approvals</w:t>
            </w:r>
          </w:p>
        </w:tc>
        <w:tc>
          <w:tcPr>
            <w:tcW w:type="dxa" w:w="5476"/>
            <w:tcMar>
              <w:top w:type="dxa" w:w="70"/>
              <w:left w:type="dxa" w:w="90"/>
              <w:bottom w:type="dxa" w:w="70"/>
              <w:right w:type="dxa" w:w="90"/>
            </w:tcMar>
            <w:vAlign w:val="top"/>
          </w:tcPr>
          <w:p>
            <w:r>
              <w:rPr>
                <w:b w:val="false"/>
                <w:bCs w:val="false"/>
                <w:color w:val="000000"/>
                <w:sz w:val="17"/>
                <w:szCs w:val="17"/>
              </w:rPr>
              <w:t xml:space="preserve">Approver, amount, budget line, timestamp.</w:t>
            </w:r>
          </w:p>
        </w:tc>
        <w:tc>
          <w:tcPr>
            <w:tcW w:type="dxa" w:w="5476"/>
            <w:tcMar>
              <w:top w:type="dxa" w:w="70"/>
              <w:left w:type="dxa" w:w="90"/>
              <w:bottom w:type="dxa" w:w="70"/>
              <w:right w:type="dxa" w:w="90"/>
            </w:tcMar>
            <w:vAlign w:val="top"/>
          </w:tcPr>
          <w:p>
            <w:r>
              <w:rPr>
                <w:b w:val="false"/>
                <w:bCs w:val="false"/>
                <w:color w:val="000000"/>
                <w:sz w:val="17"/>
                <w:szCs w:val="17"/>
              </w:rPr>
              <w:t xml:space="preserve">NPCO Finance, and donor audit missions per their own schedule.</w:t>
            </w:r>
          </w:p>
        </w:tc>
      </w:tr>
      <w:tr>
        <w:tc>
          <w:tcPr>
            <w:tcW w:type="dxa" w:w="3089"/>
            <w:tcMar>
              <w:top w:type="dxa" w:w="70"/>
              <w:left w:type="dxa" w:w="90"/>
              <w:bottom w:type="dxa" w:w="70"/>
              <w:right w:type="dxa" w:w="90"/>
            </w:tcMar>
            <w:vAlign w:val="top"/>
          </w:tcPr>
          <w:p>
            <w:r>
              <w:rPr>
                <w:b/>
                <w:bCs/>
                <w:color w:val="000000"/>
                <w:sz w:val="17"/>
                <w:szCs w:val="17"/>
              </w:rPr>
              <w:t xml:space="preserve">Access and classification changes</w:t>
            </w:r>
          </w:p>
        </w:tc>
        <w:tc>
          <w:tcPr>
            <w:tcW w:type="dxa" w:w="5476"/>
            <w:tcMar>
              <w:top w:type="dxa" w:w="70"/>
              <w:left w:type="dxa" w:w="90"/>
              <w:bottom w:type="dxa" w:w="70"/>
              <w:right w:type="dxa" w:w="90"/>
            </w:tcMar>
            <w:vAlign w:val="top"/>
          </w:tcPr>
          <w:p>
            <w:r>
              <w:rPr>
                <w:b w:val="false"/>
                <w:bCs w:val="false"/>
                <w:color w:val="000000"/>
                <w:sz w:val="17"/>
                <w:szCs w:val="17"/>
              </w:rPr>
              <w:t xml:space="preserve">Who changed what access or classification, when, and why.</w:t>
            </w:r>
          </w:p>
        </w:tc>
        <w:tc>
          <w:tcPr>
            <w:tcW w:type="dxa" w:w="5476"/>
            <w:tcMar>
              <w:top w:type="dxa" w:w="70"/>
              <w:left w:type="dxa" w:w="90"/>
              <w:bottom w:type="dxa" w:w="70"/>
              <w:right w:type="dxa" w:w="90"/>
            </w:tcMar>
            <w:vAlign w:val="top"/>
          </w:tcPr>
          <w:p>
            <w:r>
              <w:rPr>
                <w:b w:val="false"/>
                <w:bCs w:val="false"/>
                <w:color w:val="000000"/>
                <w:sz w:val="17"/>
                <w:szCs w:val="17"/>
              </w:rPr>
              <w:t xml:space="preserve">ICT Unit, quarterly review; Governance Board, annual review.</w:t>
            </w:r>
          </w:p>
        </w:tc>
      </w:tr>
      <w:tr>
        <w:tc>
          <w:tcPr>
            <w:tcW w:type="dxa" w:w="3089"/>
            <w:tcMar>
              <w:top w:type="dxa" w:w="70"/>
              <w:left w:type="dxa" w:w="90"/>
              <w:bottom w:type="dxa" w:w="70"/>
              <w:right w:type="dxa" w:w="90"/>
            </w:tcMar>
            <w:vAlign w:val="top"/>
          </w:tcPr>
          <w:p>
            <w:r>
              <w:rPr>
                <w:b/>
                <w:bCs/>
                <w:color w:val="000000"/>
                <w:sz w:val="17"/>
                <w:szCs w:val="17"/>
              </w:rPr>
              <w:t xml:space="preserve">System configuration changes</w:t>
            </w:r>
          </w:p>
        </w:tc>
        <w:tc>
          <w:tcPr>
            <w:tcW w:type="dxa" w:w="5476"/>
            <w:tcMar>
              <w:top w:type="dxa" w:w="70"/>
              <w:left w:type="dxa" w:w="90"/>
              <w:bottom w:type="dxa" w:w="70"/>
              <w:right w:type="dxa" w:w="90"/>
            </w:tcMar>
            <w:vAlign w:val="top"/>
          </w:tcPr>
          <w:p>
            <w:r>
              <w:rPr>
                <w:b w:val="false"/>
                <w:bCs w:val="false"/>
                <w:color w:val="000000"/>
                <w:sz w:val="17"/>
                <w:szCs w:val="17"/>
              </w:rPr>
              <w:t xml:space="preserve">Change detail, actor, timestamp (Administration module).</w:t>
            </w:r>
          </w:p>
        </w:tc>
        <w:tc>
          <w:tcPr>
            <w:tcW w:type="dxa" w:w="5476"/>
            <w:tcMar>
              <w:top w:type="dxa" w:w="70"/>
              <w:left w:type="dxa" w:w="90"/>
              <w:bottom w:type="dxa" w:w="70"/>
              <w:right w:type="dxa" w:w="90"/>
            </w:tcMar>
            <w:vAlign w:val="top"/>
          </w:tcPr>
          <w:p>
            <w:r>
              <w:rPr>
                <w:b w:val="false"/>
                <w:bCs w:val="false"/>
                <w:color w:val="000000"/>
                <w:sz w:val="17"/>
                <w:szCs w:val="17"/>
              </w:rPr>
              <w:t xml:space="preserve">ICT Unit, monthly review.</w:t>
            </w:r>
          </w:p>
        </w:tc>
      </w:tr>
    </w:tbl>
    <w:p>
      <w:pPr>
        <w:pStyle w:val="Heading2"/>
        <w:spacing w:after="90" w:before="220"/>
      </w:pPr>
      <w:r>
        <w:t xml:space="preserve">14. Threat Model</w:t>
      </w:r>
    </w:p>
    <w:p>
      <w:pPr>
        <w:spacing w:after="140" w:line="264"/>
      </w:pPr>
      <w:r>
        <w:t xml:space="preserve">The Threat Model applies a structured STRIDE-based analysis (Spoofing, Tampering, Repudiation, Information Disclosure, Denial of Service, Elevation of Privilege) to the platform's highest-value assets, translating the abstract 'assume breach' posture into named, assessed risks — deliberately using the same probability/impact rating discipline as Part 5's Risk Register so security risk is visible in the same governance forum as programme risk, not siloed separately.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527"/>
        <w:gridCol w:w="3838"/>
        <w:gridCol w:w="3838"/>
        <w:gridCol w:w="3838"/>
      </w:tblGrid>
      <w:tr>
        <w:trPr>
          <w:tblHeader/>
        </w:trPr>
        <w:tc>
          <w:tcPr>
            <w:tcW w:type="dxa" w:w="2527"/>
            <w:shd w:fill="1F3864" w:val="clear"/>
            <w:tcMar>
              <w:top w:type="dxa" w:w="70"/>
              <w:left w:type="dxa" w:w="90"/>
              <w:bottom w:type="dxa" w:w="70"/>
              <w:right w:type="dxa" w:w="90"/>
            </w:tcMar>
            <w:vAlign w:val="top"/>
          </w:tcPr>
          <w:p>
            <w:r>
              <w:rPr>
                <w:b/>
                <w:bCs/>
                <w:color w:val="FFFFFF"/>
                <w:sz w:val="17"/>
                <w:szCs w:val="17"/>
              </w:rPr>
              <w:t xml:space="preserve">Threat Category</w:t>
            </w:r>
          </w:p>
        </w:tc>
        <w:tc>
          <w:tcPr>
            <w:tcW w:type="dxa" w:w="3838"/>
            <w:shd w:fill="1F3864" w:val="clear"/>
            <w:tcMar>
              <w:top w:type="dxa" w:w="70"/>
              <w:left w:type="dxa" w:w="90"/>
              <w:bottom w:type="dxa" w:w="70"/>
              <w:right w:type="dxa" w:w="90"/>
            </w:tcMar>
            <w:vAlign w:val="top"/>
          </w:tcPr>
          <w:p>
            <w:r>
              <w:rPr>
                <w:b/>
                <w:bCs/>
                <w:color w:val="FFFFFF"/>
                <w:sz w:val="17"/>
                <w:szCs w:val="17"/>
              </w:rPr>
              <w:t xml:space="preserve">Representative Threat</w:t>
            </w:r>
          </w:p>
        </w:tc>
        <w:tc>
          <w:tcPr>
            <w:tcW w:type="dxa" w:w="3838"/>
            <w:shd w:fill="1F3864" w:val="clear"/>
            <w:tcMar>
              <w:top w:type="dxa" w:w="70"/>
              <w:left w:type="dxa" w:w="90"/>
              <w:bottom w:type="dxa" w:w="70"/>
              <w:right w:type="dxa" w:w="90"/>
            </w:tcMar>
            <w:vAlign w:val="top"/>
          </w:tcPr>
          <w:p>
            <w:r>
              <w:rPr>
                <w:b/>
                <w:bCs/>
                <w:color w:val="FFFFFF"/>
                <w:sz w:val="17"/>
                <w:szCs w:val="17"/>
              </w:rPr>
              <w:t xml:space="preserve">Likelihood</w:t>
            </w:r>
          </w:p>
        </w:tc>
        <w:tc>
          <w:tcPr>
            <w:tcW w:type="dxa" w:w="3838"/>
            <w:shd w:fill="1F3864" w:val="clear"/>
            <w:tcMar>
              <w:top w:type="dxa" w:w="70"/>
              <w:left w:type="dxa" w:w="90"/>
              <w:bottom w:type="dxa" w:w="70"/>
              <w:right w:type="dxa" w:w="90"/>
            </w:tcMar>
            <w:vAlign w:val="top"/>
          </w:tcPr>
          <w:p>
            <w:r>
              <w:rPr>
                <w:b/>
                <w:bCs/>
                <w:color w:val="FFFFFF"/>
                <w:sz w:val="17"/>
                <w:szCs w:val="17"/>
              </w:rPr>
              <w:t xml:space="preserve">Mitigation</w:t>
            </w:r>
          </w:p>
        </w:tc>
      </w:tr>
      <w:tr>
        <w:tc>
          <w:tcPr>
            <w:tcW w:type="dxa" w:w="2527"/>
            <w:tcMar>
              <w:top w:type="dxa" w:w="70"/>
              <w:left w:type="dxa" w:w="90"/>
              <w:bottom w:type="dxa" w:w="70"/>
              <w:right w:type="dxa" w:w="90"/>
            </w:tcMar>
            <w:vAlign w:val="top"/>
          </w:tcPr>
          <w:p>
            <w:r>
              <w:rPr>
                <w:b/>
                <w:bCs/>
                <w:color w:val="000000"/>
                <w:sz w:val="17"/>
                <w:szCs w:val="17"/>
              </w:rPr>
              <w:t xml:space="preserve">Spoofing</w:t>
            </w:r>
          </w:p>
        </w:tc>
        <w:tc>
          <w:tcPr>
            <w:tcW w:type="dxa" w:w="3838"/>
            <w:tcMar>
              <w:top w:type="dxa" w:w="70"/>
              <w:left w:type="dxa" w:w="90"/>
              <w:bottom w:type="dxa" w:w="70"/>
              <w:right w:type="dxa" w:w="90"/>
            </w:tcMar>
            <w:vAlign w:val="top"/>
          </w:tcPr>
          <w:p>
            <w:r>
              <w:rPr>
                <w:b w:val="false"/>
                <w:bCs w:val="false"/>
                <w:color w:val="000000"/>
                <w:sz w:val="17"/>
                <w:szCs w:val="17"/>
              </w:rPr>
              <w:t xml:space="preserve">Credential theft enabling impersonation of a legitimate approver.</w:t>
            </w:r>
          </w:p>
        </w:tc>
        <w:tc>
          <w:tcPr>
            <w:tcW w:type="dxa" w:w="3838"/>
            <w:tcMar>
              <w:top w:type="dxa" w:w="70"/>
              <w:left w:type="dxa" w:w="90"/>
              <w:bottom w:type="dxa" w:w="70"/>
              <w:right w:type="dxa" w:w="90"/>
            </w:tcMar>
            <w:vAlign w:val="top"/>
          </w:tcPr>
          <w:p>
            <w:r>
              <w:rPr>
                <w:b w:val="false"/>
                <w:bCs w:val="false"/>
                <w:color w:val="000000"/>
                <w:sz w:val="17"/>
                <w:szCs w:val="17"/>
              </w:rPr>
              <w:t xml:space="preserve">Medium</w:t>
            </w:r>
          </w:p>
        </w:tc>
        <w:tc>
          <w:tcPr>
            <w:tcW w:type="dxa" w:w="3838"/>
            <w:tcMar>
              <w:top w:type="dxa" w:w="70"/>
              <w:left w:type="dxa" w:w="90"/>
              <w:bottom w:type="dxa" w:w="70"/>
              <w:right w:type="dxa" w:w="90"/>
            </w:tcMar>
            <w:vAlign w:val="top"/>
          </w:tcPr>
          <w:p>
            <w:r>
              <w:rPr>
                <w:b w:val="false"/>
                <w:bCs w:val="false"/>
                <w:color w:val="000000"/>
                <w:sz w:val="17"/>
                <w:szCs w:val="17"/>
              </w:rPr>
              <w:t xml:space="preserve">MFA, anomaly detection, short-lived tokens.</w:t>
            </w:r>
          </w:p>
        </w:tc>
      </w:tr>
      <w:tr>
        <w:tc>
          <w:tcPr>
            <w:tcW w:type="dxa" w:w="2527"/>
            <w:tcMar>
              <w:top w:type="dxa" w:w="70"/>
              <w:left w:type="dxa" w:w="90"/>
              <w:bottom w:type="dxa" w:w="70"/>
              <w:right w:type="dxa" w:w="90"/>
            </w:tcMar>
            <w:vAlign w:val="top"/>
          </w:tcPr>
          <w:p>
            <w:r>
              <w:rPr>
                <w:b/>
                <w:bCs/>
                <w:color w:val="000000"/>
                <w:sz w:val="17"/>
                <w:szCs w:val="17"/>
              </w:rPr>
              <w:t xml:space="preserve">Tampering</w:t>
            </w:r>
          </w:p>
        </w:tc>
        <w:tc>
          <w:tcPr>
            <w:tcW w:type="dxa" w:w="3838"/>
            <w:tcMar>
              <w:top w:type="dxa" w:w="70"/>
              <w:left w:type="dxa" w:w="90"/>
              <w:bottom w:type="dxa" w:w="70"/>
              <w:right w:type="dxa" w:w="90"/>
            </w:tcMar>
            <w:vAlign w:val="top"/>
          </w:tcPr>
          <w:p>
            <w:r>
              <w:rPr>
                <w:b w:val="false"/>
                <w:bCs w:val="false"/>
                <w:color w:val="000000"/>
                <w:sz w:val="17"/>
                <w:szCs w:val="17"/>
              </w:rPr>
              <w:t xml:space="preserve">Unauthorized modification of a published document or evaluation score.</w:t>
            </w:r>
          </w:p>
        </w:tc>
        <w:tc>
          <w:tcPr>
            <w:tcW w:type="dxa" w:w="3838"/>
            <w:tcMar>
              <w:top w:type="dxa" w:w="70"/>
              <w:left w:type="dxa" w:w="90"/>
              <w:bottom w:type="dxa" w:w="70"/>
              <w:right w:type="dxa" w:w="90"/>
            </w:tcMar>
            <w:vAlign w:val="top"/>
          </w:tcPr>
          <w:p>
            <w:r>
              <w:rPr>
                <w:b w:val="false"/>
                <w:bCs w:val="false"/>
                <w:color w:val="000000"/>
                <w:sz w:val="17"/>
                <w:szCs w:val="17"/>
              </w:rPr>
              <w:t xml:space="preserve">Low</w:t>
            </w:r>
          </w:p>
        </w:tc>
        <w:tc>
          <w:tcPr>
            <w:tcW w:type="dxa" w:w="3838"/>
            <w:tcMar>
              <w:top w:type="dxa" w:w="70"/>
              <w:left w:type="dxa" w:w="90"/>
              <w:bottom w:type="dxa" w:w="70"/>
              <w:right w:type="dxa" w:w="90"/>
            </w:tcMar>
            <w:vAlign w:val="top"/>
          </w:tcPr>
          <w:p>
            <w:r>
              <w:rPr>
                <w:b w:val="false"/>
                <w:bCs w:val="false"/>
                <w:color w:val="000000"/>
                <w:sz w:val="17"/>
                <w:szCs w:val="17"/>
              </w:rPr>
              <w:t xml:space="preserve">Immutable versioning, RBAC, Audit Trails.</w:t>
            </w:r>
          </w:p>
        </w:tc>
      </w:tr>
      <w:tr>
        <w:tc>
          <w:tcPr>
            <w:tcW w:type="dxa" w:w="2527"/>
            <w:tcMar>
              <w:top w:type="dxa" w:w="70"/>
              <w:left w:type="dxa" w:w="90"/>
              <w:bottom w:type="dxa" w:w="70"/>
              <w:right w:type="dxa" w:w="90"/>
            </w:tcMar>
            <w:vAlign w:val="top"/>
          </w:tcPr>
          <w:p>
            <w:r>
              <w:rPr>
                <w:b/>
                <w:bCs/>
                <w:color w:val="000000"/>
                <w:sz w:val="17"/>
                <w:szCs w:val="17"/>
              </w:rPr>
              <w:t xml:space="preserve">Repudiation</w:t>
            </w:r>
          </w:p>
        </w:tc>
        <w:tc>
          <w:tcPr>
            <w:tcW w:type="dxa" w:w="3838"/>
            <w:tcMar>
              <w:top w:type="dxa" w:w="70"/>
              <w:left w:type="dxa" w:w="90"/>
              <w:bottom w:type="dxa" w:w="70"/>
              <w:right w:type="dxa" w:w="90"/>
            </w:tcMar>
            <w:vAlign w:val="top"/>
          </w:tcPr>
          <w:p>
            <w:r>
              <w:rPr>
                <w:b w:val="false"/>
                <w:bCs w:val="false"/>
                <w:color w:val="000000"/>
                <w:sz w:val="17"/>
                <w:szCs w:val="17"/>
              </w:rPr>
              <w:t xml:space="preserve">A user denying having taken an approval or configuration action.</w:t>
            </w:r>
          </w:p>
        </w:tc>
        <w:tc>
          <w:tcPr>
            <w:tcW w:type="dxa" w:w="3838"/>
            <w:tcMar>
              <w:top w:type="dxa" w:w="70"/>
              <w:left w:type="dxa" w:w="90"/>
              <w:bottom w:type="dxa" w:w="70"/>
              <w:right w:type="dxa" w:w="90"/>
            </w:tcMar>
            <w:vAlign w:val="top"/>
          </w:tcPr>
          <w:p>
            <w:r>
              <w:rPr>
                <w:b w:val="false"/>
                <w:bCs w:val="false"/>
                <w:color w:val="000000"/>
                <w:sz w:val="17"/>
                <w:szCs w:val="17"/>
              </w:rPr>
              <w:t xml:space="preserve">Low</w:t>
            </w:r>
          </w:p>
        </w:tc>
        <w:tc>
          <w:tcPr>
            <w:tcW w:type="dxa" w:w="3838"/>
            <w:tcMar>
              <w:top w:type="dxa" w:w="70"/>
              <w:left w:type="dxa" w:w="90"/>
              <w:bottom w:type="dxa" w:w="70"/>
              <w:right w:type="dxa" w:w="90"/>
            </w:tcMar>
            <w:vAlign w:val="top"/>
          </w:tcPr>
          <w:p>
            <w:r>
              <w:rPr>
                <w:b w:val="false"/>
                <w:bCs w:val="false"/>
                <w:color w:val="000000"/>
                <w:sz w:val="17"/>
                <w:szCs w:val="17"/>
              </w:rPr>
              <w:t xml:space="preserve">Non-repudiable Audit Trails tied to authenticated identity.</w:t>
            </w:r>
          </w:p>
        </w:tc>
      </w:tr>
      <w:tr>
        <w:tc>
          <w:tcPr>
            <w:tcW w:type="dxa" w:w="2527"/>
            <w:tcMar>
              <w:top w:type="dxa" w:w="70"/>
              <w:left w:type="dxa" w:w="90"/>
              <w:bottom w:type="dxa" w:w="70"/>
              <w:right w:type="dxa" w:w="90"/>
            </w:tcMar>
            <w:vAlign w:val="top"/>
          </w:tcPr>
          <w:p>
            <w:r>
              <w:rPr>
                <w:b/>
                <w:bCs/>
                <w:color w:val="000000"/>
                <w:sz w:val="17"/>
                <w:szCs w:val="17"/>
              </w:rPr>
              <w:t xml:space="preserve">Information Disclosure</w:t>
            </w:r>
          </w:p>
        </w:tc>
        <w:tc>
          <w:tcPr>
            <w:tcW w:type="dxa" w:w="3838"/>
            <w:tcMar>
              <w:top w:type="dxa" w:w="70"/>
              <w:left w:type="dxa" w:w="90"/>
              <w:bottom w:type="dxa" w:w="70"/>
              <w:right w:type="dxa" w:w="90"/>
            </w:tcMar>
            <w:vAlign w:val="top"/>
          </w:tcPr>
          <w:p>
            <w:r>
              <w:rPr>
                <w:b w:val="false"/>
                <w:bCs w:val="false"/>
                <w:color w:val="000000"/>
                <w:sz w:val="17"/>
                <w:szCs w:val="17"/>
              </w:rPr>
              <w:t xml:space="preserve">Unauthorized access to Restricted-classification procurement data before award.</w:t>
            </w:r>
          </w:p>
        </w:tc>
        <w:tc>
          <w:tcPr>
            <w:tcW w:type="dxa" w:w="3838"/>
            <w:tcMar>
              <w:top w:type="dxa" w:w="70"/>
              <w:left w:type="dxa" w:w="90"/>
              <w:bottom w:type="dxa" w:w="70"/>
              <w:right w:type="dxa" w:w="90"/>
            </w:tcMar>
            <w:vAlign w:val="top"/>
          </w:tcPr>
          <w:p>
            <w:r>
              <w:rPr>
                <w:b w:val="false"/>
                <w:bCs w:val="false"/>
                <w:color w:val="000000"/>
                <w:sz w:val="17"/>
                <w:szCs w:val="17"/>
              </w:rPr>
              <w:t xml:space="preserve">Medium</w:t>
            </w:r>
          </w:p>
        </w:tc>
        <w:tc>
          <w:tcPr>
            <w:tcW w:type="dxa" w:w="3838"/>
            <w:tcMar>
              <w:top w:type="dxa" w:w="70"/>
              <w:left w:type="dxa" w:w="90"/>
              <w:bottom w:type="dxa" w:w="70"/>
              <w:right w:type="dxa" w:w="90"/>
            </w:tcMar>
            <w:vAlign w:val="top"/>
          </w:tcPr>
          <w:p>
            <w:r>
              <w:rPr>
                <w:b w:val="false"/>
                <w:bCs w:val="false"/>
                <w:color w:val="000000"/>
                <w:sz w:val="17"/>
                <w:szCs w:val="17"/>
              </w:rPr>
              <w:t xml:space="preserve">Classification-based access control, field-level encryption, least privilege.</w:t>
            </w:r>
          </w:p>
        </w:tc>
      </w:tr>
      <w:tr>
        <w:tc>
          <w:tcPr>
            <w:tcW w:type="dxa" w:w="2527"/>
            <w:tcMar>
              <w:top w:type="dxa" w:w="70"/>
              <w:left w:type="dxa" w:w="90"/>
              <w:bottom w:type="dxa" w:w="70"/>
              <w:right w:type="dxa" w:w="90"/>
            </w:tcMar>
            <w:vAlign w:val="top"/>
          </w:tcPr>
          <w:p>
            <w:r>
              <w:rPr>
                <w:b/>
                <w:bCs/>
                <w:color w:val="000000"/>
                <w:sz w:val="17"/>
                <w:szCs w:val="17"/>
              </w:rPr>
              <w:t xml:space="preserve">Denial of Service</w:t>
            </w:r>
          </w:p>
        </w:tc>
        <w:tc>
          <w:tcPr>
            <w:tcW w:type="dxa" w:w="3838"/>
            <w:tcMar>
              <w:top w:type="dxa" w:w="70"/>
              <w:left w:type="dxa" w:w="90"/>
              <w:bottom w:type="dxa" w:w="70"/>
              <w:right w:type="dxa" w:w="90"/>
            </w:tcMar>
            <w:vAlign w:val="top"/>
          </w:tcPr>
          <w:p>
            <w:r>
              <w:rPr>
                <w:b w:val="false"/>
                <w:bCs w:val="false"/>
                <w:color w:val="000000"/>
                <w:sz w:val="17"/>
                <w:szCs w:val="17"/>
              </w:rPr>
              <w:t xml:space="preserve">Availability disruption during a critical submission or approval deadline.</w:t>
            </w:r>
          </w:p>
        </w:tc>
        <w:tc>
          <w:tcPr>
            <w:tcW w:type="dxa" w:w="3838"/>
            <w:tcMar>
              <w:top w:type="dxa" w:w="70"/>
              <w:left w:type="dxa" w:w="90"/>
              <w:bottom w:type="dxa" w:w="70"/>
              <w:right w:type="dxa" w:w="90"/>
            </w:tcMar>
            <w:vAlign w:val="top"/>
          </w:tcPr>
          <w:p>
            <w:r>
              <w:rPr>
                <w:b w:val="false"/>
                <w:bCs w:val="false"/>
                <w:color w:val="000000"/>
                <w:sz w:val="17"/>
                <w:szCs w:val="17"/>
              </w:rPr>
              <w:t xml:space="preserve">Low-Medium</w:t>
            </w:r>
          </w:p>
        </w:tc>
        <w:tc>
          <w:tcPr>
            <w:tcW w:type="dxa" w:w="3838"/>
            <w:tcMar>
              <w:top w:type="dxa" w:w="70"/>
              <w:left w:type="dxa" w:w="90"/>
              <w:bottom w:type="dxa" w:w="70"/>
              <w:right w:type="dxa" w:w="90"/>
            </w:tcMar>
            <w:vAlign w:val="top"/>
          </w:tcPr>
          <w:p>
            <w:r>
              <w:rPr>
                <w:b w:val="false"/>
                <w:bCs w:val="false"/>
                <w:color w:val="000000"/>
                <w:sz w:val="17"/>
                <w:szCs w:val="17"/>
              </w:rPr>
              <w:t xml:space="preserve">Network-layer DDoS protection, high-availability infrastructure (Part 10 will elaborate).</w:t>
            </w:r>
          </w:p>
        </w:tc>
      </w:tr>
      <w:tr>
        <w:tc>
          <w:tcPr>
            <w:tcW w:type="dxa" w:w="2527"/>
            <w:tcMar>
              <w:top w:type="dxa" w:w="70"/>
              <w:left w:type="dxa" w:w="90"/>
              <w:bottom w:type="dxa" w:w="70"/>
              <w:right w:type="dxa" w:w="90"/>
            </w:tcMar>
            <w:vAlign w:val="top"/>
          </w:tcPr>
          <w:p>
            <w:r>
              <w:rPr>
                <w:b/>
                <w:bCs/>
                <w:color w:val="000000"/>
                <w:sz w:val="17"/>
                <w:szCs w:val="17"/>
              </w:rPr>
              <w:t xml:space="preserve">Elevation of Privilege</w:t>
            </w:r>
          </w:p>
        </w:tc>
        <w:tc>
          <w:tcPr>
            <w:tcW w:type="dxa" w:w="3838"/>
            <w:tcMar>
              <w:top w:type="dxa" w:w="70"/>
              <w:left w:type="dxa" w:w="90"/>
              <w:bottom w:type="dxa" w:w="70"/>
              <w:right w:type="dxa" w:w="90"/>
            </w:tcMar>
            <w:vAlign w:val="top"/>
          </w:tcPr>
          <w:p>
            <w:r>
              <w:rPr>
                <w:b w:val="false"/>
                <w:bCs w:val="false"/>
                <w:color w:val="000000"/>
                <w:sz w:val="17"/>
                <w:szCs w:val="17"/>
              </w:rPr>
              <w:t xml:space="preserve">A standard user gaining administrative access through a software flaw.</w:t>
            </w:r>
          </w:p>
        </w:tc>
        <w:tc>
          <w:tcPr>
            <w:tcW w:type="dxa" w:w="3838"/>
            <w:tcMar>
              <w:top w:type="dxa" w:w="70"/>
              <w:left w:type="dxa" w:w="90"/>
              <w:bottom w:type="dxa" w:w="70"/>
              <w:right w:type="dxa" w:w="90"/>
            </w:tcMar>
            <w:vAlign w:val="top"/>
          </w:tcPr>
          <w:p>
            <w:r>
              <w:rPr>
                <w:b w:val="false"/>
                <w:bCs w:val="false"/>
                <w:color w:val="000000"/>
                <w:sz w:val="17"/>
                <w:szCs w:val="17"/>
              </w:rPr>
              <w:t xml:space="preserve">Low</w:t>
            </w:r>
          </w:p>
        </w:tc>
        <w:tc>
          <w:tcPr>
            <w:tcW w:type="dxa" w:w="3838"/>
            <w:tcMar>
              <w:top w:type="dxa" w:w="70"/>
              <w:left w:type="dxa" w:w="90"/>
              <w:bottom w:type="dxa" w:w="70"/>
              <w:right w:type="dxa" w:w="90"/>
            </w:tcMar>
            <w:vAlign w:val="top"/>
          </w:tcPr>
          <w:p>
            <w:r>
              <w:rPr>
                <w:b w:val="false"/>
                <w:bCs w:val="false"/>
                <w:color w:val="000000"/>
                <w:sz w:val="17"/>
                <w:szCs w:val="17"/>
              </w:rPr>
              <w:t xml:space="preserve">OWASP-aligned secure development practice, dependency scanning, least privilege.</w:t>
            </w:r>
          </w:p>
        </w:tc>
      </w:tr>
    </w:tbl>
    <w:p>
      <w:pPr>
        <w:pStyle w:val="Heading1"/>
        <w:spacing w:after="130" w:before="300"/>
      </w:pPr>
      <w:r>
        <w:t xml:space="preserve">Band 4 — Resilience &amp; Operations</w:t>
      </w:r>
    </w:p>
    <w:p>
      <w:pPr>
        <w:spacing w:after="140" w:line="264"/>
      </w:pPr>
      <w:r>
        <w:t xml:space="preserve">Resilience &amp; Operations closes this Part by defining how the platform responds when prevention and detection are not enough — incident response, disaster recovery, and business continuity — and the standing governance and operational structures that keep every preceding control actually functioning rather than only documented.</w:t>
      </w:r>
    </w:p>
    <w:p>
      <w:pPr>
        <w:pStyle w:val="Heading2"/>
        <w:spacing w:after="90" w:before="220"/>
      </w:pPr>
      <w:r>
        <w:t xml:space="preserve">15. Incident Response</w:t>
      </w:r>
    </w:p>
    <w:p>
      <w:pPr>
        <w:spacing w:after="140" w:line="264"/>
      </w:pPr>
      <w:r>
        <w:t xml:space="preserve">Incident Response defines the structured process triggered when Monitoring (Band 3) detects, or a user reports, a suspected security incident — sequenced using the standard preparation-through-lessons-learned lifecycle.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5476"/>
        <w:gridCol w:w="5476"/>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Phase</w:t>
            </w:r>
          </w:p>
        </w:tc>
        <w:tc>
          <w:tcPr>
            <w:tcW w:type="dxa" w:w="5476"/>
            <w:shd w:fill="1F3864" w:val="clear"/>
            <w:tcMar>
              <w:top w:type="dxa" w:w="70"/>
              <w:left w:type="dxa" w:w="90"/>
              <w:bottom w:type="dxa" w:w="70"/>
              <w:right w:type="dxa" w:w="90"/>
            </w:tcMar>
            <w:vAlign w:val="top"/>
          </w:tcPr>
          <w:p>
            <w:r>
              <w:rPr>
                <w:b/>
                <w:bCs/>
                <w:color w:val="FFFFFF"/>
                <w:sz w:val="17"/>
                <w:szCs w:val="17"/>
              </w:rPr>
              <w:t xml:space="preserve">Key Activities</w:t>
            </w:r>
          </w:p>
        </w:tc>
        <w:tc>
          <w:tcPr>
            <w:tcW w:type="dxa" w:w="5476"/>
            <w:shd w:fill="1F3864" w:val="clear"/>
            <w:tcMar>
              <w:top w:type="dxa" w:w="70"/>
              <w:left w:type="dxa" w:w="90"/>
              <w:bottom w:type="dxa" w:w="70"/>
              <w:right w:type="dxa" w:w="90"/>
            </w:tcMar>
            <w:vAlign w:val="top"/>
          </w:tcPr>
          <w:p>
            <w:r>
              <w:rPr>
                <w:b/>
                <w:bCs/>
                <w:color w:val="FFFFFF"/>
                <w:sz w:val="17"/>
                <w:szCs w:val="17"/>
              </w:rPr>
              <w:t xml:space="preserve">Owner</w:t>
            </w:r>
          </w:p>
        </w:tc>
      </w:tr>
      <w:tr>
        <w:tc>
          <w:tcPr>
            <w:tcW w:type="dxa" w:w="3089"/>
            <w:tcMar>
              <w:top w:type="dxa" w:w="70"/>
              <w:left w:type="dxa" w:w="90"/>
              <w:bottom w:type="dxa" w:w="70"/>
              <w:right w:type="dxa" w:w="90"/>
            </w:tcMar>
            <w:vAlign w:val="top"/>
          </w:tcPr>
          <w:p>
            <w:r>
              <w:rPr>
                <w:b/>
                <w:bCs/>
                <w:color w:val="000000"/>
                <w:sz w:val="17"/>
                <w:szCs w:val="17"/>
              </w:rPr>
              <w:t xml:space="preserve">Preparation</w:t>
            </w:r>
          </w:p>
        </w:tc>
        <w:tc>
          <w:tcPr>
            <w:tcW w:type="dxa" w:w="5476"/>
            <w:tcMar>
              <w:top w:type="dxa" w:w="70"/>
              <w:left w:type="dxa" w:w="90"/>
              <w:bottom w:type="dxa" w:w="70"/>
              <w:right w:type="dxa" w:w="90"/>
            </w:tcMar>
            <w:vAlign w:val="top"/>
          </w:tcPr>
          <w:p>
            <w:r>
              <w:rPr>
                <w:b w:val="false"/>
                <w:bCs w:val="false"/>
                <w:color w:val="000000"/>
                <w:sz w:val="17"/>
                <w:szCs w:val="17"/>
              </w:rPr>
              <w:t xml:space="preserve">Maintain incident response runbooks, contact lists, and tooling readiness; conduct periodic tabletop exercises.</w:t>
            </w:r>
          </w:p>
        </w:tc>
        <w:tc>
          <w:tcPr>
            <w:tcW w:type="dxa" w:w="5476"/>
            <w:tcMar>
              <w:top w:type="dxa" w:w="70"/>
              <w:left w:type="dxa" w:w="90"/>
              <w:bottom w:type="dxa" w:w="70"/>
              <w:right w:type="dxa" w:w="90"/>
            </w:tcMar>
            <w:vAlign w:val="top"/>
          </w:tcPr>
          <w:p>
            <w:r>
              <w:rPr>
                <w:b w:val="false"/>
                <w:bCs w:val="false"/>
                <w:color w:val="000000"/>
                <w:sz w:val="17"/>
                <w:szCs w:val="17"/>
              </w:rPr>
              <w:t xml:space="preserve">ICT Unit / Security Operations</w:t>
            </w:r>
          </w:p>
        </w:tc>
      </w:tr>
      <w:tr>
        <w:tc>
          <w:tcPr>
            <w:tcW w:type="dxa" w:w="3089"/>
            <w:tcMar>
              <w:top w:type="dxa" w:w="70"/>
              <w:left w:type="dxa" w:w="90"/>
              <w:bottom w:type="dxa" w:w="70"/>
              <w:right w:type="dxa" w:w="90"/>
            </w:tcMar>
            <w:vAlign w:val="top"/>
          </w:tcPr>
          <w:p>
            <w:r>
              <w:rPr>
                <w:b/>
                <w:bCs/>
                <w:color w:val="000000"/>
                <w:sz w:val="17"/>
                <w:szCs w:val="17"/>
              </w:rPr>
              <w:t xml:space="preserve">Detection &amp; Analysis</w:t>
            </w:r>
          </w:p>
        </w:tc>
        <w:tc>
          <w:tcPr>
            <w:tcW w:type="dxa" w:w="5476"/>
            <w:tcMar>
              <w:top w:type="dxa" w:w="70"/>
              <w:left w:type="dxa" w:w="90"/>
              <w:bottom w:type="dxa" w:w="70"/>
              <w:right w:type="dxa" w:w="90"/>
            </w:tcMar>
            <w:vAlign w:val="top"/>
          </w:tcPr>
          <w:p>
            <w:r>
              <w:rPr>
                <w:b w:val="false"/>
                <w:bCs w:val="false"/>
                <w:color w:val="000000"/>
                <w:sz w:val="17"/>
                <w:szCs w:val="17"/>
              </w:rPr>
              <w:t xml:space="preserve">Triage alerts from Monitoring; confirm whether an event constitutes an incident; classify severity.</w:t>
            </w:r>
          </w:p>
        </w:tc>
        <w:tc>
          <w:tcPr>
            <w:tcW w:type="dxa" w:w="5476"/>
            <w:tcMar>
              <w:top w:type="dxa" w:w="70"/>
              <w:left w:type="dxa" w:w="90"/>
              <w:bottom w:type="dxa" w:w="70"/>
              <w:right w:type="dxa" w:w="90"/>
            </w:tcMar>
            <w:vAlign w:val="top"/>
          </w:tcPr>
          <w:p>
            <w:r>
              <w:rPr>
                <w:b w:val="false"/>
                <w:bCs w:val="false"/>
                <w:color w:val="000000"/>
                <w:sz w:val="17"/>
                <w:szCs w:val="17"/>
              </w:rPr>
              <w:t xml:space="preserve">Security Operations</w:t>
            </w:r>
          </w:p>
        </w:tc>
      </w:tr>
      <w:tr>
        <w:tc>
          <w:tcPr>
            <w:tcW w:type="dxa" w:w="3089"/>
            <w:tcMar>
              <w:top w:type="dxa" w:w="70"/>
              <w:left w:type="dxa" w:w="90"/>
              <w:bottom w:type="dxa" w:w="70"/>
              <w:right w:type="dxa" w:w="90"/>
            </w:tcMar>
            <w:vAlign w:val="top"/>
          </w:tcPr>
          <w:p>
            <w:r>
              <w:rPr>
                <w:b/>
                <w:bCs/>
                <w:color w:val="000000"/>
                <w:sz w:val="17"/>
                <w:szCs w:val="17"/>
              </w:rPr>
              <w:t xml:space="preserve">Containment</w:t>
            </w:r>
          </w:p>
        </w:tc>
        <w:tc>
          <w:tcPr>
            <w:tcW w:type="dxa" w:w="5476"/>
            <w:tcMar>
              <w:top w:type="dxa" w:w="70"/>
              <w:left w:type="dxa" w:w="90"/>
              <w:bottom w:type="dxa" w:w="70"/>
              <w:right w:type="dxa" w:w="90"/>
            </w:tcMar>
            <w:vAlign w:val="top"/>
          </w:tcPr>
          <w:p>
            <w:r>
              <w:rPr>
                <w:b w:val="false"/>
                <w:bCs w:val="false"/>
                <w:color w:val="000000"/>
                <w:sz w:val="17"/>
                <w:szCs w:val="17"/>
              </w:rPr>
              <w:t xml:space="preserve">Isolate affected accounts, systems, or network segments to limit spread, leveraging the Zero Trust micro-segmentation already in place.</w:t>
            </w:r>
          </w:p>
        </w:tc>
        <w:tc>
          <w:tcPr>
            <w:tcW w:type="dxa" w:w="5476"/>
            <w:tcMar>
              <w:top w:type="dxa" w:w="70"/>
              <w:left w:type="dxa" w:w="90"/>
              <w:bottom w:type="dxa" w:w="70"/>
              <w:right w:type="dxa" w:w="90"/>
            </w:tcMar>
            <w:vAlign w:val="top"/>
          </w:tcPr>
          <w:p>
            <w:r>
              <w:rPr>
                <w:b w:val="false"/>
                <w:bCs w:val="false"/>
                <w:color w:val="000000"/>
                <w:sz w:val="17"/>
                <w:szCs w:val="17"/>
              </w:rPr>
              <w:t xml:space="preserve">Security Operations, with ICT Unit</w:t>
            </w:r>
          </w:p>
        </w:tc>
      </w:tr>
      <w:tr>
        <w:tc>
          <w:tcPr>
            <w:tcW w:type="dxa" w:w="3089"/>
            <w:tcMar>
              <w:top w:type="dxa" w:w="70"/>
              <w:left w:type="dxa" w:w="90"/>
              <w:bottom w:type="dxa" w:w="70"/>
              <w:right w:type="dxa" w:w="90"/>
            </w:tcMar>
            <w:vAlign w:val="top"/>
          </w:tcPr>
          <w:p>
            <w:r>
              <w:rPr>
                <w:b/>
                <w:bCs/>
                <w:color w:val="000000"/>
                <w:sz w:val="17"/>
                <w:szCs w:val="17"/>
              </w:rPr>
              <w:t xml:space="preserve">Eradication &amp; Recovery</w:t>
            </w:r>
          </w:p>
        </w:tc>
        <w:tc>
          <w:tcPr>
            <w:tcW w:type="dxa" w:w="5476"/>
            <w:tcMar>
              <w:top w:type="dxa" w:w="70"/>
              <w:left w:type="dxa" w:w="90"/>
              <w:bottom w:type="dxa" w:w="70"/>
              <w:right w:type="dxa" w:w="90"/>
            </w:tcMar>
            <w:vAlign w:val="top"/>
          </w:tcPr>
          <w:p>
            <w:r>
              <w:rPr>
                <w:b w:val="false"/>
                <w:bCs w:val="false"/>
                <w:color w:val="000000"/>
                <w:sz w:val="17"/>
                <w:szCs w:val="17"/>
              </w:rPr>
              <w:t xml:space="preserve">Remove the root cause; restore affected systems from clean backups where needed (Part 7's Backup/Recovery objectives).</w:t>
            </w:r>
          </w:p>
        </w:tc>
        <w:tc>
          <w:tcPr>
            <w:tcW w:type="dxa" w:w="5476"/>
            <w:tcMar>
              <w:top w:type="dxa" w:w="70"/>
              <w:left w:type="dxa" w:w="90"/>
              <w:bottom w:type="dxa" w:w="70"/>
              <w:right w:type="dxa" w:w="90"/>
            </w:tcMar>
            <w:vAlign w:val="top"/>
          </w:tcPr>
          <w:p>
            <w:r>
              <w:rPr>
                <w:b w:val="false"/>
                <w:bCs w:val="false"/>
                <w:color w:val="000000"/>
                <w:sz w:val="17"/>
                <w:szCs w:val="17"/>
              </w:rPr>
              <w:t xml:space="preserve">ICT Unit</w:t>
            </w:r>
          </w:p>
        </w:tc>
      </w:tr>
      <w:tr>
        <w:tc>
          <w:tcPr>
            <w:tcW w:type="dxa" w:w="3089"/>
            <w:tcMar>
              <w:top w:type="dxa" w:w="70"/>
              <w:left w:type="dxa" w:w="90"/>
              <w:bottom w:type="dxa" w:w="70"/>
              <w:right w:type="dxa" w:w="90"/>
            </w:tcMar>
            <w:vAlign w:val="top"/>
          </w:tcPr>
          <w:p>
            <w:r>
              <w:rPr>
                <w:b/>
                <w:bCs/>
                <w:color w:val="000000"/>
                <w:sz w:val="17"/>
                <w:szCs w:val="17"/>
              </w:rPr>
              <w:t xml:space="preserve">Notification</w:t>
            </w:r>
          </w:p>
        </w:tc>
        <w:tc>
          <w:tcPr>
            <w:tcW w:type="dxa" w:w="5476"/>
            <w:tcMar>
              <w:top w:type="dxa" w:w="70"/>
              <w:left w:type="dxa" w:w="90"/>
              <w:bottom w:type="dxa" w:w="70"/>
              <w:right w:type="dxa" w:w="90"/>
            </w:tcMar>
            <w:vAlign w:val="top"/>
          </w:tcPr>
          <w:p>
            <w:r>
              <w:rPr>
                <w:b w:val="false"/>
                <w:bCs w:val="false"/>
                <w:color w:val="000000"/>
                <w:sz w:val="17"/>
                <w:szCs w:val="17"/>
              </w:rPr>
              <w:t xml:space="preserve">Notify the Data Protection Officer, NDPC, and affected data subjects where personal data is involved, within the NDPR-required timeframe; notify the Steering Committee and relevant donors per the Governance Model (Part 2).</w:t>
            </w:r>
          </w:p>
        </w:tc>
        <w:tc>
          <w:tcPr>
            <w:tcW w:type="dxa" w:w="5476"/>
            <w:tcMar>
              <w:top w:type="dxa" w:w="70"/>
              <w:left w:type="dxa" w:w="90"/>
              <w:bottom w:type="dxa" w:w="70"/>
              <w:right w:type="dxa" w:w="90"/>
            </w:tcMar>
            <w:vAlign w:val="top"/>
          </w:tcPr>
          <w:p>
            <w:r>
              <w:rPr>
                <w:b w:val="false"/>
                <w:bCs w:val="false"/>
                <w:color w:val="000000"/>
                <w:sz w:val="17"/>
                <w:szCs w:val="17"/>
              </w:rPr>
              <w:t xml:space="preserve">Data Protection Officer / NPCO leadership</w:t>
            </w:r>
          </w:p>
        </w:tc>
      </w:tr>
      <w:tr>
        <w:tc>
          <w:tcPr>
            <w:tcW w:type="dxa" w:w="3089"/>
            <w:tcMar>
              <w:top w:type="dxa" w:w="70"/>
              <w:left w:type="dxa" w:w="90"/>
              <w:bottom w:type="dxa" w:w="70"/>
              <w:right w:type="dxa" w:w="90"/>
            </w:tcMar>
            <w:vAlign w:val="top"/>
          </w:tcPr>
          <w:p>
            <w:r>
              <w:rPr>
                <w:b/>
                <w:bCs/>
                <w:color w:val="000000"/>
                <w:sz w:val="17"/>
                <w:szCs w:val="17"/>
              </w:rPr>
              <w:t xml:space="preserve">Lessons Learned</w:t>
            </w:r>
          </w:p>
        </w:tc>
        <w:tc>
          <w:tcPr>
            <w:tcW w:type="dxa" w:w="5476"/>
            <w:tcMar>
              <w:top w:type="dxa" w:w="70"/>
              <w:left w:type="dxa" w:w="90"/>
              <w:bottom w:type="dxa" w:w="70"/>
              <w:right w:type="dxa" w:w="90"/>
            </w:tcMar>
            <w:vAlign w:val="top"/>
          </w:tcPr>
          <w:p>
            <w:r>
              <w:rPr>
                <w:b w:val="false"/>
                <w:bCs w:val="false"/>
                <w:color w:val="000000"/>
                <w:sz w:val="17"/>
                <w:szCs w:val="17"/>
              </w:rPr>
              <w:t xml:space="preserve">Post-incident review feeding both the Threat Model's likelihood ratings and the Knowledge Repository (as a Knowledge Asset, per Part 6), so the same incident type is harder to repeat.</w:t>
            </w:r>
          </w:p>
        </w:tc>
        <w:tc>
          <w:tcPr>
            <w:tcW w:type="dxa" w:w="5476"/>
            <w:tcMar>
              <w:top w:type="dxa" w:w="70"/>
              <w:left w:type="dxa" w:w="90"/>
              <w:bottom w:type="dxa" w:w="70"/>
              <w:right w:type="dxa" w:w="90"/>
            </w:tcMar>
            <w:vAlign w:val="top"/>
          </w:tcPr>
          <w:p>
            <w:r>
              <w:rPr>
                <w:b w:val="false"/>
                <w:bCs w:val="false"/>
                <w:color w:val="000000"/>
                <w:sz w:val="17"/>
                <w:szCs w:val="17"/>
              </w:rPr>
              <w:t xml:space="preserve">Data &amp; Content Governance Board</w:t>
            </w:r>
          </w:p>
        </w:tc>
      </w:tr>
    </w:tbl>
    <w:p>
      <w:pPr>
        <w:pStyle w:val="Heading2"/>
        <w:spacing w:after="90" w:before="220"/>
      </w:pPr>
      <w:r>
        <w:t xml:space="preserve">16. Disaster Recovery</w:t>
      </w:r>
    </w:p>
    <w:p>
      <w:pPr>
        <w:spacing w:after="140" w:line="264"/>
      </w:pPr>
      <w:r>
        <w:t xml:space="preserve">Disaster Recovery extends Part 7's per-data-domain Recovery Time and Recovery Point Objectives into a platform-wide recovery strategy covering infrastructure-level failure scenarios, not only data-store failure.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5476"/>
        <w:gridCol w:w="5476"/>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Disaster Scenario</w:t>
            </w:r>
          </w:p>
        </w:tc>
        <w:tc>
          <w:tcPr>
            <w:tcW w:type="dxa" w:w="5476"/>
            <w:shd w:fill="1F3864" w:val="clear"/>
            <w:tcMar>
              <w:top w:type="dxa" w:w="70"/>
              <w:left w:type="dxa" w:w="90"/>
              <w:bottom w:type="dxa" w:w="70"/>
              <w:right w:type="dxa" w:w="90"/>
            </w:tcMar>
            <w:vAlign w:val="top"/>
          </w:tcPr>
          <w:p>
            <w:r>
              <w:rPr>
                <w:b/>
                <w:bCs/>
                <w:color w:val="FFFFFF"/>
                <w:sz w:val="17"/>
                <w:szCs w:val="17"/>
              </w:rPr>
              <w:t xml:space="preserve">Recovery Strategy</w:t>
            </w:r>
          </w:p>
        </w:tc>
        <w:tc>
          <w:tcPr>
            <w:tcW w:type="dxa" w:w="5476"/>
            <w:shd w:fill="1F3864" w:val="clear"/>
            <w:tcMar>
              <w:top w:type="dxa" w:w="70"/>
              <w:left w:type="dxa" w:w="90"/>
              <w:bottom w:type="dxa" w:w="70"/>
              <w:right w:type="dxa" w:w="90"/>
            </w:tcMar>
            <w:vAlign w:val="top"/>
          </w:tcPr>
          <w:p>
            <w:r>
              <w:rPr>
                <w:b/>
                <w:bCs/>
                <w:color w:val="FFFFFF"/>
                <w:sz w:val="17"/>
                <w:szCs w:val="17"/>
              </w:rPr>
              <w:t xml:space="preserve">Platform-Wide RTO</w:t>
            </w:r>
          </w:p>
        </w:tc>
      </w:tr>
      <w:tr>
        <w:tc>
          <w:tcPr>
            <w:tcW w:type="dxa" w:w="3089"/>
            <w:tcMar>
              <w:top w:type="dxa" w:w="70"/>
              <w:left w:type="dxa" w:w="90"/>
              <w:bottom w:type="dxa" w:w="70"/>
              <w:right w:type="dxa" w:w="90"/>
            </w:tcMar>
            <w:vAlign w:val="top"/>
          </w:tcPr>
          <w:p>
            <w:r>
              <w:rPr>
                <w:b/>
                <w:bCs/>
                <w:color w:val="000000"/>
                <w:sz w:val="17"/>
                <w:szCs w:val="17"/>
              </w:rPr>
              <w:t xml:space="preserve">Single data-store failure</w:t>
            </w:r>
          </w:p>
        </w:tc>
        <w:tc>
          <w:tcPr>
            <w:tcW w:type="dxa" w:w="5476"/>
            <w:tcMar>
              <w:top w:type="dxa" w:w="70"/>
              <w:left w:type="dxa" w:w="90"/>
              <w:bottom w:type="dxa" w:w="70"/>
              <w:right w:type="dxa" w:w="90"/>
            </w:tcMar>
            <w:vAlign w:val="top"/>
          </w:tcPr>
          <w:p>
            <w:r>
              <w:rPr>
                <w:b w:val="false"/>
                <w:bCs w:val="false"/>
                <w:color w:val="000000"/>
                <w:sz w:val="17"/>
                <w:szCs w:val="17"/>
              </w:rPr>
              <w:t xml:space="preserve">Automatic failover to replica (Part 7's high-availability configuration).</w:t>
            </w:r>
          </w:p>
        </w:tc>
        <w:tc>
          <w:tcPr>
            <w:tcW w:type="dxa" w:w="5476"/>
            <w:tcMar>
              <w:top w:type="dxa" w:w="70"/>
              <w:left w:type="dxa" w:w="90"/>
              <w:bottom w:type="dxa" w:w="70"/>
              <w:right w:type="dxa" w:w="90"/>
            </w:tcMar>
            <w:vAlign w:val="top"/>
          </w:tcPr>
          <w:p>
            <w:r>
              <w:rPr>
                <w:b w:val="false"/>
                <w:bCs w:val="false"/>
                <w:color w:val="000000"/>
                <w:sz w:val="17"/>
                <w:szCs w:val="17"/>
              </w:rPr>
              <w:t xml:space="preserve">Consistent with the affected domain's Part 7 RTO (2-24 hours depending on domain).</w:t>
            </w:r>
          </w:p>
        </w:tc>
      </w:tr>
      <w:tr>
        <w:tc>
          <w:tcPr>
            <w:tcW w:type="dxa" w:w="3089"/>
            <w:tcMar>
              <w:top w:type="dxa" w:w="70"/>
              <w:left w:type="dxa" w:w="90"/>
              <w:bottom w:type="dxa" w:w="70"/>
              <w:right w:type="dxa" w:w="90"/>
            </w:tcMar>
            <w:vAlign w:val="top"/>
          </w:tcPr>
          <w:p>
            <w:r>
              <w:rPr>
                <w:b/>
                <w:bCs/>
                <w:color w:val="000000"/>
                <w:sz w:val="17"/>
                <w:szCs w:val="17"/>
              </w:rPr>
              <w:t xml:space="preserve">Full primary data-center/region outage</w:t>
            </w:r>
          </w:p>
        </w:tc>
        <w:tc>
          <w:tcPr>
            <w:tcW w:type="dxa" w:w="5476"/>
            <w:tcMar>
              <w:top w:type="dxa" w:w="70"/>
              <w:left w:type="dxa" w:w="90"/>
              <w:bottom w:type="dxa" w:w="70"/>
              <w:right w:type="dxa" w:w="90"/>
            </w:tcMar>
            <w:vAlign w:val="top"/>
          </w:tcPr>
          <w:p>
            <w:r>
              <w:rPr>
                <w:b w:val="false"/>
                <w:bCs w:val="false"/>
                <w:color w:val="000000"/>
                <w:sz w:val="17"/>
                <w:szCs w:val="17"/>
              </w:rPr>
              <w:t xml:space="preserve">Failover to a geographically separate secondary environment maintained in a warm-standby configuration.</w:t>
            </w:r>
          </w:p>
        </w:tc>
        <w:tc>
          <w:tcPr>
            <w:tcW w:type="dxa" w:w="5476"/>
            <w:tcMar>
              <w:top w:type="dxa" w:w="70"/>
              <w:left w:type="dxa" w:w="90"/>
              <w:bottom w:type="dxa" w:w="70"/>
              <w:right w:type="dxa" w:w="90"/>
            </w:tcMar>
            <w:vAlign w:val="top"/>
          </w:tcPr>
          <w:p>
            <w:r>
              <w:rPr>
                <w:b w:val="false"/>
                <w:bCs w:val="false"/>
                <w:color w:val="000000"/>
                <w:sz w:val="17"/>
                <w:szCs w:val="17"/>
              </w:rPr>
              <w:t xml:space="preserve">24 hours, reflecting the additional coordination a full regional failover requires beyond a single data-store failover.</w:t>
            </w:r>
          </w:p>
        </w:tc>
      </w:tr>
      <w:tr>
        <w:tc>
          <w:tcPr>
            <w:tcW w:type="dxa" w:w="3089"/>
            <w:tcMar>
              <w:top w:type="dxa" w:w="70"/>
              <w:left w:type="dxa" w:w="90"/>
              <w:bottom w:type="dxa" w:w="70"/>
              <w:right w:type="dxa" w:w="90"/>
            </w:tcMar>
            <w:vAlign w:val="top"/>
          </w:tcPr>
          <w:p>
            <w:r>
              <w:rPr>
                <w:b/>
                <w:bCs/>
                <w:color w:val="000000"/>
                <w:sz w:val="17"/>
                <w:szCs w:val="17"/>
              </w:rPr>
              <w:t xml:space="preserve">Application-layer failure (bad deployment, software fault)</w:t>
            </w:r>
          </w:p>
        </w:tc>
        <w:tc>
          <w:tcPr>
            <w:tcW w:type="dxa" w:w="5476"/>
            <w:tcMar>
              <w:top w:type="dxa" w:w="70"/>
              <w:left w:type="dxa" w:w="90"/>
              <w:bottom w:type="dxa" w:w="70"/>
              <w:right w:type="dxa" w:w="90"/>
            </w:tcMar>
            <w:vAlign w:val="top"/>
          </w:tcPr>
          <w:p>
            <w:r>
              <w:rPr>
                <w:b w:val="false"/>
                <w:bCs w:val="false"/>
                <w:color w:val="000000"/>
                <w:sz w:val="17"/>
                <w:szCs w:val="17"/>
              </w:rPr>
              <w:t xml:space="preserve">Automated rollback to the last known-good deployment version (Part 10 will detail the deployment pipeline).</w:t>
            </w:r>
          </w:p>
        </w:tc>
        <w:tc>
          <w:tcPr>
            <w:tcW w:type="dxa" w:w="5476"/>
            <w:tcMar>
              <w:top w:type="dxa" w:w="70"/>
              <w:left w:type="dxa" w:w="90"/>
              <w:bottom w:type="dxa" w:w="70"/>
              <w:right w:type="dxa" w:w="90"/>
            </w:tcMar>
            <w:vAlign w:val="top"/>
          </w:tcPr>
          <w:p>
            <w:r>
              <w:rPr>
                <w:b w:val="false"/>
                <w:bCs w:val="false"/>
                <w:color w:val="000000"/>
                <w:sz w:val="17"/>
                <w:szCs w:val="17"/>
              </w:rPr>
              <w:t xml:space="preserve">1 hour.</w:t>
            </w:r>
          </w:p>
        </w:tc>
      </w:tr>
      <w:tr>
        <w:tc>
          <w:tcPr>
            <w:tcW w:type="dxa" w:w="3089"/>
            <w:tcMar>
              <w:top w:type="dxa" w:w="70"/>
              <w:left w:type="dxa" w:w="90"/>
              <w:bottom w:type="dxa" w:w="70"/>
              <w:right w:type="dxa" w:w="90"/>
            </w:tcMar>
            <w:vAlign w:val="top"/>
          </w:tcPr>
          <w:p>
            <w:r>
              <w:rPr>
                <w:b/>
                <w:bCs/>
                <w:color w:val="000000"/>
                <w:sz w:val="17"/>
                <w:szCs w:val="17"/>
              </w:rPr>
              <w:t xml:space="preserve">Extended multi-day outage</w:t>
            </w:r>
          </w:p>
        </w:tc>
        <w:tc>
          <w:tcPr>
            <w:tcW w:type="dxa" w:w="5476"/>
            <w:tcMar>
              <w:top w:type="dxa" w:w="70"/>
              <w:left w:type="dxa" w:w="90"/>
              <w:bottom w:type="dxa" w:w="70"/>
              <w:right w:type="dxa" w:w="90"/>
            </w:tcMar>
            <w:vAlign w:val="top"/>
          </w:tcPr>
          <w:p>
            <w:r>
              <w:rPr>
                <w:b w:val="false"/>
                <w:bCs w:val="false"/>
                <w:color w:val="000000"/>
                <w:sz w:val="17"/>
                <w:szCs w:val="17"/>
              </w:rPr>
              <w:t xml:space="preserve">Manual failover runbook execution with NPCO ICT and vendor support engagement per the Support module's SLA tracking (Part 5, Module 26).</w:t>
            </w:r>
          </w:p>
        </w:tc>
        <w:tc>
          <w:tcPr>
            <w:tcW w:type="dxa" w:w="5476"/>
            <w:tcMar>
              <w:top w:type="dxa" w:w="70"/>
              <w:left w:type="dxa" w:w="90"/>
              <w:bottom w:type="dxa" w:w="70"/>
              <w:right w:type="dxa" w:w="90"/>
            </w:tcMar>
            <w:vAlign w:val="top"/>
          </w:tcPr>
          <w:p>
            <w:r>
              <w:rPr>
                <w:b w:val="false"/>
                <w:bCs w:val="false"/>
                <w:color w:val="000000"/>
                <w:sz w:val="17"/>
                <w:szCs w:val="17"/>
              </w:rPr>
              <w:t xml:space="preserve">As documented in the runbook; exercised at least annually.</w:t>
            </w:r>
          </w:p>
        </w:tc>
      </w:tr>
    </w:tbl>
    <w:p>
      <w:pPr>
        <w:pStyle w:val="Heading2"/>
        <w:spacing w:after="90" w:before="220"/>
      </w:pPr>
      <w:r>
        <w:t xml:space="preserve">17. Business Continuity</w:t>
      </w:r>
    </w:p>
    <w:p>
      <w:pPr>
        <w:spacing w:after="140" w:line="264"/>
      </w:pPr>
      <w:r>
        <w:t xml:space="preserve">Business Continuity addresses the broader organizational question Disaster Recovery does not fully answer on its own: how NPCO and state teams continue essential programme functions if the platform itself is unavailable for an extended period, however well the technical recovery plan performs.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10951"/>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Essential Function</w:t>
            </w:r>
          </w:p>
        </w:tc>
        <w:tc>
          <w:tcPr>
            <w:tcW w:type="dxa" w:w="10951"/>
            <w:shd w:fill="1F3864" w:val="clear"/>
            <w:tcMar>
              <w:top w:type="dxa" w:w="70"/>
              <w:left w:type="dxa" w:w="90"/>
              <w:bottom w:type="dxa" w:w="70"/>
              <w:right w:type="dxa" w:w="90"/>
            </w:tcMar>
            <w:vAlign w:val="top"/>
          </w:tcPr>
          <w:p>
            <w:r>
              <w:rPr>
                <w:b/>
                <w:bCs/>
                <w:color w:val="FFFFFF"/>
                <w:sz w:val="17"/>
                <w:szCs w:val="17"/>
              </w:rPr>
              <w:t xml:space="preserve">Continuity Strategy During Platform Unavailability</w:t>
            </w:r>
          </w:p>
        </w:tc>
      </w:tr>
      <w:tr>
        <w:tc>
          <w:tcPr>
            <w:tcW w:type="dxa" w:w="3089"/>
            <w:tcMar>
              <w:top w:type="dxa" w:w="70"/>
              <w:left w:type="dxa" w:w="90"/>
              <w:bottom w:type="dxa" w:w="70"/>
              <w:right w:type="dxa" w:w="90"/>
            </w:tcMar>
            <w:vAlign w:val="top"/>
          </w:tcPr>
          <w:p>
            <w:r>
              <w:rPr>
                <w:b/>
                <w:bCs/>
                <w:color w:val="000000"/>
                <w:sz w:val="17"/>
                <w:szCs w:val="17"/>
              </w:rPr>
              <w:t xml:space="preserve">Time-critical approvals</w:t>
            </w:r>
          </w:p>
        </w:tc>
        <w:tc>
          <w:tcPr>
            <w:tcW w:type="dxa" w:w="10951"/>
            <w:tcMar>
              <w:top w:type="dxa" w:w="70"/>
              <w:left w:type="dxa" w:w="90"/>
              <w:bottom w:type="dxa" w:w="70"/>
              <w:right w:type="dxa" w:w="90"/>
            </w:tcMar>
            <w:vAlign w:val="top"/>
          </w:tcPr>
          <w:p>
            <w:r>
              <w:rPr>
                <w:b w:val="false"/>
                <w:bCs w:val="false"/>
                <w:color w:val="000000"/>
                <w:sz w:val="17"/>
                <w:szCs w:val="17"/>
              </w:rPr>
              <w:t xml:space="preserve">Documented manual approval fallback procedure (paper or email-based) with mandatory retroactive entry into the platform once restored, preserving the Audit Trail's completeness.</w:t>
            </w:r>
          </w:p>
        </w:tc>
      </w:tr>
      <w:tr>
        <w:tc>
          <w:tcPr>
            <w:tcW w:type="dxa" w:w="3089"/>
            <w:tcMar>
              <w:top w:type="dxa" w:w="70"/>
              <w:left w:type="dxa" w:w="90"/>
              <w:bottom w:type="dxa" w:w="70"/>
              <w:right w:type="dxa" w:w="90"/>
            </w:tcMar>
            <w:vAlign w:val="top"/>
          </w:tcPr>
          <w:p>
            <w:r>
              <w:rPr>
                <w:b/>
                <w:bCs/>
                <w:color w:val="000000"/>
                <w:sz w:val="17"/>
                <w:szCs w:val="17"/>
              </w:rPr>
              <w:t xml:space="preserve">Field data capture</w:t>
            </w:r>
          </w:p>
        </w:tc>
        <w:tc>
          <w:tcPr>
            <w:tcW w:type="dxa" w:w="10951"/>
            <w:tcMar>
              <w:top w:type="dxa" w:w="70"/>
              <w:left w:type="dxa" w:w="90"/>
              <w:bottom w:type="dxa" w:w="70"/>
              <w:right w:type="dxa" w:w="90"/>
            </w:tcMar>
            <w:vAlign w:val="top"/>
          </w:tcPr>
          <w:p>
            <w:r>
              <w:rPr>
                <w:b w:val="false"/>
                <w:bCs w:val="false"/>
                <w:color w:val="000000"/>
                <w:sz w:val="17"/>
                <w:szCs w:val="17"/>
              </w:rPr>
              <w:t xml:space="preserve">The Mobile module's offline-first design (Part 8) already provides substantial continuity for field capture even during a central platform outage; extended outages fall back to manual field logs.</w:t>
            </w:r>
          </w:p>
        </w:tc>
      </w:tr>
      <w:tr>
        <w:tc>
          <w:tcPr>
            <w:tcW w:type="dxa" w:w="3089"/>
            <w:tcMar>
              <w:top w:type="dxa" w:w="70"/>
              <w:left w:type="dxa" w:w="90"/>
              <w:bottom w:type="dxa" w:w="70"/>
              <w:right w:type="dxa" w:w="90"/>
            </w:tcMar>
            <w:vAlign w:val="top"/>
          </w:tcPr>
          <w:p>
            <w:r>
              <w:rPr>
                <w:b/>
                <w:bCs/>
                <w:color w:val="000000"/>
                <w:sz w:val="17"/>
                <w:szCs w:val="17"/>
              </w:rPr>
              <w:t xml:space="preserve">Donor reporting deadlines</w:t>
            </w:r>
          </w:p>
        </w:tc>
        <w:tc>
          <w:tcPr>
            <w:tcW w:type="dxa" w:w="10951"/>
            <w:tcMar>
              <w:top w:type="dxa" w:w="70"/>
              <w:left w:type="dxa" w:w="90"/>
              <w:bottom w:type="dxa" w:w="70"/>
              <w:right w:type="dxa" w:w="90"/>
            </w:tcMar>
            <w:vAlign w:val="top"/>
          </w:tcPr>
          <w:p>
            <w:r>
              <w:rPr>
                <w:b w:val="false"/>
                <w:bCs w:val="false"/>
                <w:color w:val="000000"/>
                <w:sz w:val="17"/>
                <w:szCs w:val="17"/>
              </w:rPr>
              <w:t xml:space="preserve">Pre-agreed grace-period communication protocol with donors, invoked only for extended outages exceeding the Disaster Recovery RTOs above.</w:t>
            </w:r>
          </w:p>
        </w:tc>
      </w:tr>
      <w:tr>
        <w:tc>
          <w:tcPr>
            <w:tcW w:type="dxa" w:w="3089"/>
            <w:tcMar>
              <w:top w:type="dxa" w:w="70"/>
              <w:left w:type="dxa" w:w="90"/>
              <w:bottom w:type="dxa" w:w="70"/>
              <w:right w:type="dxa" w:w="90"/>
            </w:tcMar>
            <w:vAlign w:val="top"/>
          </w:tcPr>
          <w:p>
            <w:r>
              <w:rPr>
                <w:b/>
                <w:bCs/>
                <w:color w:val="000000"/>
                <w:sz w:val="17"/>
                <w:szCs w:val="17"/>
              </w:rPr>
              <w:t xml:space="preserve">Governance meetings</w:t>
            </w:r>
          </w:p>
        </w:tc>
        <w:tc>
          <w:tcPr>
            <w:tcW w:type="dxa" w:w="10951"/>
            <w:tcMar>
              <w:top w:type="dxa" w:w="70"/>
              <w:left w:type="dxa" w:w="90"/>
              <w:bottom w:type="dxa" w:w="70"/>
              <w:right w:type="dxa" w:w="90"/>
            </w:tcMar>
            <w:vAlign w:val="top"/>
          </w:tcPr>
          <w:p>
            <w:r>
              <w:rPr>
                <w:b w:val="false"/>
                <w:bCs w:val="false"/>
                <w:color w:val="000000"/>
                <w:sz w:val="17"/>
                <w:szCs w:val="17"/>
              </w:rPr>
              <w:t xml:space="preserve">Governance bodies continue to convene using standard office productivity tools (Part 8's Microsoft 365 / Google Workspace integrations) even if the platform's native Meetings module is unavailable.</w:t>
            </w:r>
          </w:p>
        </w:tc>
      </w:tr>
    </w:tbl>
    <w:p>
      <w:pPr>
        <w:pStyle w:val="Heading2"/>
        <w:spacing w:after="90" w:before="220"/>
      </w:pPr>
      <w:r>
        <w:t xml:space="preserve">18. Security Governance</w:t>
      </w:r>
    </w:p>
    <w:p>
      <w:pPr>
        <w:spacing w:after="140" w:line="264"/>
      </w:pPr>
      <w:r>
        <w:t xml:space="preserve">Security Governance assigns accountable ownership for every preceding control, ensuring this Part functions as a living management system rather than a one-time design document — directly extending the Data &amp; Content Governance Board's remit from Part 2.</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5476"/>
        <w:gridCol w:w="5476"/>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Governance Area</w:t>
            </w:r>
          </w:p>
        </w:tc>
        <w:tc>
          <w:tcPr>
            <w:tcW w:type="dxa" w:w="5476"/>
            <w:shd w:fill="1F3864" w:val="clear"/>
            <w:tcMar>
              <w:top w:type="dxa" w:w="70"/>
              <w:left w:type="dxa" w:w="90"/>
              <w:bottom w:type="dxa" w:w="70"/>
              <w:right w:type="dxa" w:w="90"/>
            </w:tcMar>
            <w:vAlign w:val="top"/>
          </w:tcPr>
          <w:p>
            <w:r>
              <w:rPr>
                <w:b/>
                <w:bCs/>
                <w:color w:val="FFFFFF"/>
                <w:sz w:val="17"/>
                <w:szCs w:val="17"/>
              </w:rPr>
              <w:t xml:space="preserve">Owning Body</w:t>
            </w:r>
          </w:p>
        </w:tc>
        <w:tc>
          <w:tcPr>
            <w:tcW w:type="dxa" w:w="5476"/>
            <w:shd w:fill="1F3864" w:val="clear"/>
            <w:tcMar>
              <w:top w:type="dxa" w:w="70"/>
              <w:left w:type="dxa" w:w="90"/>
              <w:bottom w:type="dxa" w:w="70"/>
              <w:right w:type="dxa" w:w="90"/>
            </w:tcMar>
            <w:vAlign w:val="top"/>
          </w:tcPr>
          <w:p>
            <w:r>
              <w:rPr>
                <w:b/>
                <w:bCs/>
                <w:color w:val="FFFFFF"/>
                <w:sz w:val="17"/>
                <w:szCs w:val="17"/>
              </w:rPr>
              <w:t xml:space="preserve">Review Cadence</w:t>
            </w:r>
          </w:p>
        </w:tc>
      </w:tr>
      <w:tr>
        <w:tc>
          <w:tcPr>
            <w:tcW w:type="dxa" w:w="3089"/>
            <w:tcMar>
              <w:top w:type="dxa" w:w="70"/>
              <w:left w:type="dxa" w:w="90"/>
              <w:bottom w:type="dxa" w:w="70"/>
              <w:right w:type="dxa" w:w="90"/>
            </w:tcMar>
            <w:vAlign w:val="top"/>
          </w:tcPr>
          <w:p>
            <w:r>
              <w:rPr>
                <w:b/>
                <w:bCs/>
                <w:color w:val="000000"/>
                <w:sz w:val="17"/>
                <w:szCs w:val="17"/>
              </w:rPr>
              <w:t xml:space="preserve">Overall security policy and risk acceptance</w:t>
            </w:r>
          </w:p>
        </w:tc>
        <w:tc>
          <w:tcPr>
            <w:tcW w:type="dxa" w:w="5476"/>
            <w:tcMar>
              <w:top w:type="dxa" w:w="70"/>
              <w:left w:type="dxa" w:w="90"/>
              <w:bottom w:type="dxa" w:w="70"/>
              <w:right w:type="dxa" w:w="90"/>
            </w:tcMar>
            <w:vAlign w:val="top"/>
          </w:tcPr>
          <w:p>
            <w:r>
              <w:rPr>
                <w:b w:val="false"/>
                <w:bCs w:val="false"/>
                <w:color w:val="000000"/>
                <w:sz w:val="17"/>
                <w:szCs w:val="17"/>
              </w:rPr>
              <w:t xml:space="preserve">Data &amp; Content Governance Board, with Steering Committee escalation for high-severity risk decisions.</w:t>
            </w:r>
          </w:p>
        </w:tc>
        <w:tc>
          <w:tcPr>
            <w:tcW w:type="dxa" w:w="5476"/>
            <w:tcMar>
              <w:top w:type="dxa" w:w="70"/>
              <w:left w:type="dxa" w:w="90"/>
              <w:bottom w:type="dxa" w:w="70"/>
              <w:right w:type="dxa" w:w="90"/>
            </w:tcMar>
            <w:vAlign w:val="top"/>
          </w:tcPr>
          <w:p>
            <w:r>
              <w:rPr>
                <w:b w:val="false"/>
                <w:bCs w:val="false"/>
                <w:color w:val="000000"/>
                <w:sz w:val="17"/>
                <w:szCs w:val="17"/>
              </w:rPr>
              <w:t xml:space="preserve">Annual, or on-demand following a significant incident.</w:t>
            </w:r>
          </w:p>
        </w:tc>
      </w:tr>
      <w:tr>
        <w:tc>
          <w:tcPr>
            <w:tcW w:type="dxa" w:w="3089"/>
            <w:tcMar>
              <w:top w:type="dxa" w:w="70"/>
              <w:left w:type="dxa" w:w="90"/>
              <w:bottom w:type="dxa" w:w="70"/>
              <w:right w:type="dxa" w:w="90"/>
            </w:tcMar>
            <w:vAlign w:val="top"/>
          </w:tcPr>
          <w:p>
            <w:r>
              <w:rPr>
                <w:b/>
                <w:bCs/>
                <w:color w:val="000000"/>
                <w:sz w:val="17"/>
                <w:szCs w:val="17"/>
              </w:rPr>
              <w:t xml:space="preserve">Access control and classification policy</w:t>
            </w:r>
          </w:p>
        </w:tc>
        <w:tc>
          <w:tcPr>
            <w:tcW w:type="dxa" w:w="5476"/>
            <w:tcMar>
              <w:top w:type="dxa" w:w="70"/>
              <w:left w:type="dxa" w:w="90"/>
              <w:bottom w:type="dxa" w:w="70"/>
              <w:right w:type="dxa" w:w="90"/>
            </w:tcMar>
            <w:vAlign w:val="top"/>
          </w:tcPr>
          <w:p>
            <w:r>
              <w:rPr>
                <w:b w:val="false"/>
                <w:bCs w:val="false"/>
                <w:color w:val="000000"/>
                <w:sz w:val="17"/>
                <w:szCs w:val="17"/>
              </w:rPr>
              <w:t xml:space="preserve">Data &amp; Content Governance Board.</w:t>
            </w:r>
          </w:p>
        </w:tc>
        <w:tc>
          <w:tcPr>
            <w:tcW w:type="dxa" w:w="5476"/>
            <w:tcMar>
              <w:top w:type="dxa" w:w="70"/>
              <w:left w:type="dxa" w:w="90"/>
              <w:bottom w:type="dxa" w:w="70"/>
              <w:right w:type="dxa" w:w="90"/>
            </w:tcMar>
            <w:vAlign w:val="top"/>
          </w:tcPr>
          <w:p>
            <w:r>
              <w:rPr>
                <w:b w:val="false"/>
                <w:bCs w:val="false"/>
                <w:color w:val="000000"/>
                <w:sz w:val="17"/>
                <w:szCs w:val="17"/>
              </w:rPr>
              <w:t xml:space="preserve">Annual.</w:t>
            </w:r>
          </w:p>
        </w:tc>
      </w:tr>
      <w:tr>
        <w:tc>
          <w:tcPr>
            <w:tcW w:type="dxa" w:w="3089"/>
            <w:tcMar>
              <w:top w:type="dxa" w:w="70"/>
              <w:left w:type="dxa" w:w="90"/>
              <w:bottom w:type="dxa" w:w="70"/>
              <w:right w:type="dxa" w:w="90"/>
            </w:tcMar>
            <w:vAlign w:val="top"/>
          </w:tcPr>
          <w:p>
            <w:r>
              <w:rPr>
                <w:b/>
                <w:bCs/>
                <w:color w:val="000000"/>
                <w:sz w:val="17"/>
                <w:szCs w:val="17"/>
              </w:rPr>
              <w:t xml:space="preserve">ISMS internal audit (ISO 27001)</w:t>
            </w:r>
          </w:p>
        </w:tc>
        <w:tc>
          <w:tcPr>
            <w:tcW w:type="dxa" w:w="5476"/>
            <w:tcMar>
              <w:top w:type="dxa" w:w="70"/>
              <w:left w:type="dxa" w:w="90"/>
              <w:bottom w:type="dxa" w:w="70"/>
              <w:right w:type="dxa" w:w="90"/>
            </w:tcMar>
            <w:vAlign w:val="top"/>
          </w:tcPr>
          <w:p>
            <w:r>
              <w:rPr>
                <w:b w:val="false"/>
                <w:bCs w:val="false"/>
                <w:color w:val="000000"/>
                <w:sz w:val="17"/>
                <w:szCs w:val="17"/>
              </w:rPr>
              <w:t xml:space="preserve">Independent internal audit function, reporting to the Steering Committee.</w:t>
            </w:r>
          </w:p>
        </w:tc>
        <w:tc>
          <w:tcPr>
            <w:tcW w:type="dxa" w:w="5476"/>
            <w:tcMar>
              <w:top w:type="dxa" w:w="70"/>
              <w:left w:type="dxa" w:w="90"/>
              <w:bottom w:type="dxa" w:w="70"/>
              <w:right w:type="dxa" w:w="90"/>
            </w:tcMar>
            <w:vAlign w:val="top"/>
          </w:tcPr>
          <w:p>
            <w:r>
              <w:rPr>
                <w:b w:val="false"/>
                <w:bCs w:val="false"/>
                <w:color w:val="000000"/>
                <w:sz w:val="17"/>
                <w:szCs w:val="17"/>
              </w:rPr>
              <w:t xml:space="preserve">Annual.</w:t>
            </w:r>
          </w:p>
        </w:tc>
      </w:tr>
      <w:tr>
        <w:tc>
          <w:tcPr>
            <w:tcW w:type="dxa" w:w="3089"/>
            <w:tcMar>
              <w:top w:type="dxa" w:w="70"/>
              <w:left w:type="dxa" w:w="90"/>
              <w:bottom w:type="dxa" w:w="70"/>
              <w:right w:type="dxa" w:w="90"/>
            </w:tcMar>
            <w:vAlign w:val="top"/>
          </w:tcPr>
          <w:p>
            <w:r>
              <w:rPr>
                <w:b/>
                <w:bCs/>
                <w:color w:val="000000"/>
                <w:sz w:val="17"/>
                <w:szCs w:val="17"/>
              </w:rPr>
              <w:t xml:space="preserve">NDPR / data protection compliance</w:t>
            </w:r>
          </w:p>
        </w:tc>
        <w:tc>
          <w:tcPr>
            <w:tcW w:type="dxa" w:w="5476"/>
            <w:tcMar>
              <w:top w:type="dxa" w:w="70"/>
              <w:left w:type="dxa" w:w="90"/>
              <w:bottom w:type="dxa" w:w="70"/>
              <w:right w:type="dxa" w:w="90"/>
            </w:tcMar>
            <w:vAlign w:val="top"/>
          </w:tcPr>
          <w:p>
            <w:r>
              <w:rPr>
                <w:b w:val="false"/>
                <w:bCs w:val="false"/>
                <w:color w:val="000000"/>
                <w:sz w:val="17"/>
                <w:szCs w:val="17"/>
              </w:rPr>
              <w:t xml:space="preserve">Data Protection Officer.</w:t>
            </w:r>
          </w:p>
        </w:tc>
        <w:tc>
          <w:tcPr>
            <w:tcW w:type="dxa" w:w="5476"/>
            <w:tcMar>
              <w:top w:type="dxa" w:w="70"/>
              <w:left w:type="dxa" w:w="90"/>
              <w:bottom w:type="dxa" w:w="70"/>
              <w:right w:type="dxa" w:w="90"/>
            </w:tcMar>
            <w:vAlign w:val="top"/>
          </w:tcPr>
          <w:p>
            <w:r>
              <w:rPr>
                <w:b w:val="false"/>
                <w:bCs w:val="false"/>
                <w:color w:val="000000"/>
                <w:sz w:val="17"/>
                <w:szCs w:val="17"/>
              </w:rPr>
              <w:t xml:space="preserve">Annual, plus per-incident review.</w:t>
            </w:r>
          </w:p>
        </w:tc>
      </w:tr>
      <w:tr>
        <w:tc>
          <w:tcPr>
            <w:tcW w:type="dxa" w:w="3089"/>
            <w:tcMar>
              <w:top w:type="dxa" w:w="70"/>
              <w:left w:type="dxa" w:w="90"/>
              <w:bottom w:type="dxa" w:w="70"/>
              <w:right w:type="dxa" w:w="90"/>
            </w:tcMar>
            <w:vAlign w:val="top"/>
          </w:tcPr>
          <w:p>
            <w:r>
              <w:rPr>
                <w:b/>
                <w:bCs/>
                <w:color w:val="000000"/>
                <w:sz w:val="17"/>
                <w:szCs w:val="17"/>
              </w:rPr>
              <w:t xml:space="preserve">Vendor/consultant security compliance</w:t>
            </w:r>
          </w:p>
        </w:tc>
        <w:tc>
          <w:tcPr>
            <w:tcW w:type="dxa" w:w="5476"/>
            <w:tcMar>
              <w:top w:type="dxa" w:w="70"/>
              <w:left w:type="dxa" w:w="90"/>
              <w:bottom w:type="dxa" w:w="70"/>
              <w:right w:type="dxa" w:w="90"/>
            </w:tcMar>
            <w:vAlign w:val="top"/>
          </w:tcPr>
          <w:p>
            <w:r>
              <w:rPr>
                <w:b w:val="false"/>
                <w:bCs w:val="false"/>
                <w:color w:val="000000"/>
                <w:sz w:val="17"/>
                <w:szCs w:val="17"/>
              </w:rPr>
              <w:t xml:space="preserve">NPCO ICT, via the Support module's SLA tracking (Part 5, Module 26).</w:t>
            </w:r>
          </w:p>
        </w:tc>
        <w:tc>
          <w:tcPr>
            <w:tcW w:type="dxa" w:w="5476"/>
            <w:tcMar>
              <w:top w:type="dxa" w:w="70"/>
              <w:left w:type="dxa" w:w="90"/>
              <w:bottom w:type="dxa" w:w="70"/>
              <w:right w:type="dxa" w:w="90"/>
            </w:tcMar>
            <w:vAlign w:val="top"/>
          </w:tcPr>
          <w:p>
            <w:r>
              <w:rPr>
                <w:b w:val="false"/>
                <w:bCs w:val="false"/>
                <w:color w:val="000000"/>
                <w:sz w:val="17"/>
                <w:szCs w:val="17"/>
              </w:rPr>
              <w:t xml:space="preserve">Per contract review cycle.</w:t>
            </w:r>
          </w:p>
        </w:tc>
      </w:tr>
    </w:tbl>
    <w:p>
      <w:pPr>
        <w:pStyle w:val="Heading2"/>
        <w:spacing w:after="90" w:before="220"/>
      </w:pPr>
      <w:r>
        <w:t xml:space="preserve">19. Security Operations</w:t>
      </w:r>
    </w:p>
    <w:p>
      <w:pPr>
        <w:spacing w:after="140" w:line="264"/>
      </w:pPr>
      <w:r>
        <w:t xml:space="preserve">Security Operations is the day-to-day operational function executing the controls this Part defines — the standing team and toolset, as distinct from the policies (Security Governance) and the models (Threat Model, Incident Response) they operate against.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5476"/>
        <w:gridCol w:w="5476"/>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Function</w:t>
            </w:r>
          </w:p>
        </w:tc>
        <w:tc>
          <w:tcPr>
            <w:tcW w:type="dxa" w:w="5476"/>
            <w:shd w:fill="1F3864" w:val="clear"/>
            <w:tcMar>
              <w:top w:type="dxa" w:w="70"/>
              <w:left w:type="dxa" w:w="90"/>
              <w:bottom w:type="dxa" w:w="70"/>
              <w:right w:type="dxa" w:w="90"/>
            </w:tcMar>
            <w:vAlign w:val="top"/>
          </w:tcPr>
          <w:p>
            <w:r>
              <w:rPr>
                <w:b/>
                <w:bCs/>
                <w:color w:val="FFFFFF"/>
                <w:sz w:val="17"/>
                <w:szCs w:val="17"/>
              </w:rPr>
              <w:t xml:space="preserve">Description</w:t>
            </w:r>
          </w:p>
        </w:tc>
        <w:tc>
          <w:tcPr>
            <w:tcW w:type="dxa" w:w="5476"/>
            <w:shd w:fill="1F3864" w:val="clear"/>
            <w:tcMar>
              <w:top w:type="dxa" w:w="70"/>
              <w:left w:type="dxa" w:w="90"/>
              <w:bottom w:type="dxa" w:w="70"/>
              <w:right w:type="dxa" w:w="90"/>
            </w:tcMar>
            <w:vAlign w:val="top"/>
          </w:tcPr>
          <w:p>
            <w:r>
              <w:rPr>
                <w:b/>
                <w:bCs/>
                <w:color w:val="FFFFFF"/>
                <w:sz w:val="17"/>
                <w:szCs w:val="17"/>
              </w:rPr>
              <w:t xml:space="preserve">Primary Tooling</w:t>
            </w:r>
          </w:p>
        </w:tc>
      </w:tr>
      <w:tr>
        <w:tc>
          <w:tcPr>
            <w:tcW w:type="dxa" w:w="3089"/>
            <w:tcMar>
              <w:top w:type="dxa" w:w="70"/>
              <w:left w:type="dxa" w:w="90"/>
              <w:bottom w:type="dxa" w:w="70"/>
              <w:right w:type="dxa" w:w="90"/>
            </w:tcMar>
            <w:vAlign w:val="top"/>
          </w:tcPr>
          <w:p>
            <w:r>
              <w:rPr>
                <w:b/>
                <w:bCs/>
                <w:color w:val="000000"/>
                <w:sz w:val="17"/>
                <w:szCs w:val="17"/>
              </w:rPr>
              <w:t xml:space="preserve">Alert triage and response</w:t>
            </w:r>
          </w:p>
        </w:tc>
        <w:tc>
          <w:tcPr>
            <w:tcW w:type="dxa" w:w="5476"/>
            <w:tcMar>
              <w:top w:type="dxa" w:w="70"/>
              <w:left w:type="dxa" w:w="90"/>
              <w:bottom w:type="dxa" w:w="70"/>
              <w:right w:type="dxa" w:w="90"/>
            </w:tcMar>
            <w:vAlign w:val="top"/>
          </w:tcPr>
          <w:p>
            <w:r>
              <w:rPr>
                <w:b w:val="false"/>
                <w:bCs w:val="false"/>
                <w:color w:val="000000"/>
                <w:sz w:val="17"/>
                <w:szCs w:val="17"/>
              </w:rPr>
              <w:t xml:space="preserve">Continuous monitoring of Logging/Monitoring alerts (Band 3), initial incident triage.</w:t>
            </w:r>
          </w:p>
        </w:tc>
        <w:tc>
          <w:tcPr>
            <w:tcW w:type="dxa" w:w="5476"/>
            <w:tcMar>
              <w:top w:type="dxa" w:w="70"/>
              <w:left w:type="dxa" w:w="90"/>
              <w:bottom w:type="dxa" w:w="70"/>
              <w:right w:type="dxa" w:w="90"/>
            </w:tcMar>
            <w:vAlign w:val="top"/>
          </w:tcPr>
          <w:p>
            <w:r>
              <w:rPr>
                <w:b w:val="false"/>
                <w:bCs w:val="false"/>
                <w:color w:val="000000"/>
                <w:sz w:val="17"/>
                <w:szCs w:val="17"/>
              </w:rPr>
              <w:t xml:space="preserve">Security information and event management (SIEM)-class platform.</w:t>
            </w:r>
          </w:p>
        </w:tc>
      </w:tr>
      <w:tr>
        <w:tc>
          <w:tcPr>
            <w:tcW w:type="dxa" w:w="3089"/>
            <w:tcMar>
              <w:top w:type="dxa" w:w="70"/>
              <w:left w:type="dxa" w:w="90"/>
              <w:bottom w:type="dxa" w:w="70"/>
              <w:right w:type="dxa" w:w="90"/>
            </w:tcMar>
            <w:vAlign w:val="top"/>
          </w:tcPr>
          <w:p>
            <w:r>
              <w:rPr>
                <w:b/>
                <w:bCs/>
                <w:color w:val="000000"/>
                <w:sz w:val="17"/>
                <w:szCs w:val="17"/>
              </w:rPr>
              <w:t xml:space="preserve">Vulnerability management</w:t>
            </w:r>
          </w:p>
        </w:tc>
        <w:tc>
          <w:tcPr>
            <w:tcW w:type="dxa" w:w="5476"/>
            <w:tcMar>
              <w:top w:type="dxa" w:w="70"/>
              <w:left w:type="dxa" w:w="90"/>
              <w:bottom w:type="dxa" w:w="70"/>
              <w:right w:type="dxa" w:w="90"/>
            </w:tcMar>
            <w:vAlign w:val="top"/>
          </w:tcPr>
          <w:p>
            <w:r>
              <w:rPr>
                <w:b w:val="false"/>
                <w:bCs w:val="false"/>
                <w:color w:val="000000"/>
                <w:sz w:val="17"/>
                <w:szCs w:val="17"/>
              </w:rPr>
              <w:t xml:space="preserve">Scheduled scanning, patch prioritization, remediation tracking.</w:t>
            </w:r>
          </w:p>
        </w:tc>
        <w:tc>
          <w:tcPr>
            <w:tcW w:type="dxa" w:w="5476"/>
            <w:tcMar>
              <w:top w:type="dxa" w:w="70"/>
              <w:left w:type="dxa" w:w="90"/>
              <w:bottom w:type="dxa" w:w="70"/>
              <w:right w:type="dxa" w:w="90"/>
            </w:tcMar>
            <w:vAlign w:val="top"/>
          </w:tcPr>
          <w:p>
            <w:r>
              <w:rPr>
                <w:b w:val="false"/>
                <w:bCs w:val="false"/>
                <w:color w:val="000000"/>
                <w:sz w:val="17"/>
                <w:szCs w:val="17"/>
              </w:rPr>
              <w:t xml:space="preserve">Automated vulnerability scanner integrated with the deployment pipeline.</w:t>
            </w:r>
          </w:p>
        </w:tc>
      </w:tr>
      <w:tr>
        <w:tc>
          <w:tcPr>
            <w:tcW w:type="dxa" w:w="3089"/>
            <w:tcMar>
              <w:top w:type="dxa" w:w="70"/>
              <w:left w:type="dxa" w:w="90"/>
              <w:bottom w:type="dxa" w:w="70"/>
              <w:right w:type="dxa" w:w="90"/>
            </w:tcMar>
            <w:vAlign w:val="top"/>
          </w:tcPr>
          <w:p>
            <w:r>
              <w:rPr>
                <w:b/>
                <w:bCs/>
                <w:color w:val="000000"/>
                <w:sz w:val="17"/>
                <w:szCs w:val="17"/>
              </w:rPr>
              <w:t xml:space="preserve">Access administration</w:t>
            </w:r>
          </w:p>
        </w:tc>
        <w:tc>
          <w:tcPr>
            <w:tcW w:type="dxa" w:w="5476"/>
            <w:tcMar>
              <w:top w:type="dxa" w:w="70"/>
              <w:left w:type="dxa" w:w="90"/>
              <w:bottom w:type="dxa" w:w="70"/>
              <w:right w:type="dxa" w:w="90"/>
            </w:tcMar>
            <w:vAlign w:val="top"/>
          </w:tcPr>
          <w:p>
            <w:r>
              <w:rPr>
                <w:b w:val="false"/>
                <w:bCs w:val="false"/>
                <w:color w:val="000000"/>
                <w:sz w:val="17"/>
                <w:szCs w:val="17"/>
              </w:rPr>
              <w:t xml:space="preserve">User provisioning/deprovisioning, periodic access recertification (Part 5, Module 20).</w:t>
            </w:r>
          </w:p>
        </w:tc>
        <w:tc>
          <w:tcPr>
            <w:tcW w:type="dxa" w:w="5476"/>
            <w:tcMar>
              <w:top w:type="dxa" w:w="70"/>
              <w:left w:type="dxa" w:w="90"/>
              <w:bottom w:type="dxa" w:w="70"/>
              <w:right w:type="dxa" w:w="90"/>
            </w:tcMar>
            <w:vAlign w:val="top"/>
          </w:tcPr>
          <w:p>
            <w:r>
              <w:rPr>
                <w:b w:val="false"/>
                <w:bCs w:val="false"/>
                <w:color w:val="000000"/>
                <w:sz w:val="17"/>
                <w:szCs w:val="17"/>
              </w:rPr>
              <w:t xml:space="preserve">Identity Management console.</w:t>
            </w:r>
          </w:p>
        </w:tc>
      </w:tr>
      <w:tr>
        <w:tc>
          <w:tcPr>
            <w:tcW w:type="dxa" w:w="3089"/>
            <w:tcMar>
              <w:top w:type="dxa" w:w="70"/>
              <w:left w:type="dxa" w:w="90"/>
              <w:bottom w:type="dxa" w:w="70"/>
              <w:right w:type="dxa" w:w="90"/>
            </w:tcMar>
            <w:vAlign w:val="top"/>
          </w:tcPr>
          <w:p>
            <w:r>
              <w:rPr>
                <w:b/>
                <w:bCs/>
                <w:color w:val="000000"/>
                <w:sz w:val="17"/>
                <w:szCs w:val="17"/>
              </w:rPr>
              <w:t xml:space="preserve">Security awareness support</w:t>
            </w:r>
          </w:p>
        </w:tc>
        <w:tc>
          <w:tcPr>
            <w:tcW w:type="dxa" w:w="5476"/>
            <w:tcMar>
              <w:top w:type="dxa" w:w="70"/>
              <w:left w:type="dxa" w:w="90"/>
              <w:bottom w:type="dxa" w:w="70"/>
              <w:right w:type="dxa" w:w="90"/>
            </w:tcMar>
            <w:vAlign w:val="top"/>
          </w:tcPr>
          <w:p>
            <w:r>
              <w:rPr>
                <w:b w:val="false"/>
                <w:bCs w:val="false"/>
                <w:color w:val="000000"/>
                <w:sz w:val="17"/>
                <w:szCs w:val="17"/>
              </w:rPr>
              <w:t xml:space="preserve">Coordination with the Training module (Part 5, Module 24) on ongoing phishing-awareness and secure-practice training.</w:t>
            </w:r>
          </w:p>
        </w:tc>
        <w:tc>
          <w:tcPr>
            <w:tcW w:type="dxa" w:w="5476"/>
            <w:tcMar>
              <w:top w:type="dxa" w:w="70"/>
              <w:left w:type="dxa" w:w="90"/>
              <w:bottom w:type="dxa" w:w="70"/>
              <w:right w:type="dxa" w:w="90"/>
            </w:tcMar>
            <w:vAlign w:val="top"/>
          </w:tcPr>
          <w:p>
            <w:r>
              <w:rPr>
                <w:b w:val="false"/>
                <w:bCs w:val="false"/>
                <w:color w:val="000000"/>
                <w:sz w:val="17"/>
                <w:szCs w:val="17"/>
              </w:rPr>
              <w:t xml:space="preserve">Training module content and completion tracking.</w:t>
            </w:r>
          </w:p>
        </w:tc>
      </w:tr>
      <w:tr>
        <w:tc>
          <w:tcPr>
            <w:tcW w:type="dxa" w:w="3089"/>
            <w:tcMar>
              <w:top w:type="dxa" w:w="70"/>
              <w:left w:type="dxa" w:w="90"/>
              <w:bottom w:type="dxa" w:w="70"/>
              <w:right w:type="dxa" w:w="90"/>
            </w:tcMar>
            <w:vAlign w:val="top"/>
          </w:tcPr>
          <w:p>
            <w:r>
              <w:rPr>
                <w:b/>
                <w:bCs/>
                <w:color w:val="000000"/>
                <w:sz w:val="17"/>
                <w:szCs w:val="17"/>
              </w:rPr>
              <w:t xml:space="preserve">Compliance reporting</w:t>
            </w:r>
          </w:p>
        </w:tc>
        <w:tc>
          <w:tcPr>
            <w:tcW w:type="dxa" w:w="5476"/>
            <w:tcMar>
              <w:top w:type="dxa" w:w="70"/>
              <w:left w:type="dxa" w:w="90"/>
              <w:bottom w:type="dxa" w:w="70"/>
              <w:right w:type="dxa" w:w="90"/>
            </w:tcMar>
            <w:vAlign w:val="top"/>
          </w:tcPr>
          <w:p>
            <w:r>
              <w:rPr>
                <w:b w:val="false"/>
                <w:bCs w:val="false"/>
                <w:color w:val="000000"/>
                <w:sz w:val="17"/>
                <w:szCs w:val="17"/>
              </w:rPr>
              <w:t xml:space="preserve">Preparing ISO 27001, NDPR, and donor-specific security evidence packages on request.</w:t>
            </w:r>
          </w:p>
        </w:tc>
        <w:tc>
          <w:tcPr>
            <w:tcW w:type="dxa" w:w="5476"/>
            <w:tcMar>
              <w:top w:type="dxa" w:w="70"/>
              <w:left w:type="dxa" w:w="90"/>
              <w:bottom w:type="dxa" w:w="70"/>
              <w:right w:type="dxa" w:w="90"/>
            </w:tcMar>
            <w:vAlign w:val="top"/>
          </w:tcPr>
          <w:p>
            <w:r>
              <w:rPr>
                <w:b w:val="false"/>
                <w:bCs w:val="false"/>
                <w:color w:val="000000"/>
                <w:sz w:val="17"/>
                <w:szCs w:val="17"/>
              </w:rPr>
              <w:t xml:space="preserve">Audit Trail exports (Band 3) and Governance documentation.</w:t>
            </w:r>
          </w:p>
        </w:tc>
      </w:tr>
    </w:tbl>
    <w:p>
      <w:pPr>
        <w:pStyle w:val="Heading1"/>
        <w:spacing w:after="130" w:before="300"/>
      </w:pPr>
      <w:r>
        <w:t xml:space="preserve">Continuing This Blueprint</w:t>
      </w:r>
    </w:p>
    <w:p>
      <w:pPr>
        <w:spacing w:after="140" w:line="264"/>
      </w:pPr>
      <w:r>
        <w:t xml:space="preserve">Part 9 completes this Blueprint's security discipline: nineteen artifacts spanning the frameworks that set the bar (Zero Trust, OWASP, ISO 27001, NDPR), the access-control mechanisms that enforce it (Least Privilege, Defense in Depth, RBAC, ABAC, MFA), the visibility that proves it is working (Encryption, Logging, Monitoring, Audit Trails, Threat Model), and the resilience and governance that sustain it under stress (Incident Response, Disaster Recovery, Business Continuity, Security Governance, Security Operations). Every control here is traceable to an upstream Classification tier, data domain, module, or governance body already established in Parts 1 through 8 — this Part organizes and completes the security posture rather than introducing it from nothing.</w:t>
      </w:r>
    </w:p>
    <w:p>
      <w:pPr>
        <w:spacing w:after="140" w:line="264"/>
      </w:pPr>
      <w:r>
        <w:t xml:space="preserve">Part 10 will define the Deployment and Migration Architecture — the environments, release pipeline, and cutover approach that put everything designed across Parts 1 through 9 into production, including the specific DevSecOps pipeline this Part's OWASP and vulnerability-management controls presuppose. Part 11 will close the Blueprint with Architecture Governance and the Implementation Roadmap sequencing delivery of all eleven Parts.</w:t>
      </w:r>
    </w:p>
    <w:sectPr>
      <w:pgSz w:w="15840" w:h="122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rFonts w:ascii="Arial" w:cs="Arial" w:eastAsia="Arial" w:hAnsi="Arial"/>
      <w:b/>
      <w:bCs/>
      <w:color w:val="1F3864"/>
      <w:sz w:val="24"/>
      <w:szCs w:val="24"/>
    </w:rPr>
  </w:style>
  <w:style w:type="paragraph" w:styleId="Heading2">
    <w:name w:val="Heading 2"/>
    <w:basedOn w:val="Normal"/>
    <w:next w:val="Normal"/>
    <w:qFormat/>
    <w:pPr>
      <w:spacing w:after="80" w:before="160"/>
    </w:pPr>
    <w:rPr>
      <w:rFonts w:ascii="Arial" w:cs="Arial" w:eastAsia="Arial" w:hAnsi="Arial"/>
      <w:b/>
      <w:bCs/>
      <w:color w:val="2E539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2026-07-17T20:58:36.755Z</dcterms:created>
  <dcterms:modified xsi:type="dcterms:W3CDTF">2026-07-17T20:58:36.756Z</dcterms:modified>
</cp:coreProperties>
</file>

<file path=docProps/custom.xml><?xml version="1.0" encoding="utf-8"?>
<Properties xmlns="http://schemas.openxmlformats.org/officeDocument/2006/custom-properties" xmlns:vt="http://schemas.openxmlformats.org/officeDocument/2006/docPropsVTypes"/>
</file>