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808080"/>
          <w:sz w:val="20"/>
          <w:szCs w:val="20"/>
        </w:rPr>
        <w:t xml:space="preserve">SAPZ PROGRAMME</w:t>
      </w:r>
    </w:p>
    <w:p>
      <w:pPr>
        <w:spacing w:after="60"/>
        <w:jc w:val="center"/>
      </w:pPr>
      <w:r>
        <w:rPr>
          <w:b/>
          <w:bCs/>
          <w:color w:val="1F3864"/>
          <w:sz w:val="32"/>
          <w:szCs w:val="32"/>
        </w:rPr>
        <w:t xml:space="preserve">Solution Strategy for the Enterprise System Management (ESM) Platform and Central Knowledge Repository (CKR)</w:t>
      </w:r>
    </w:p>
    <w:p>
      <w:pPr>
        <w:spacing w:after="60"/>
        <w:jc w:val="center"/>
      </w:pPr>
      <w:r>
        <w:rPr>
          <w:i/>
          <w:iCs/>
          <w:color w:val="555555"/>
          <w:sz w:val="22"/>
          <w:szCs w:val="22"/>
        </w:rPr>
        <w:t xml:space="preserve">A Strategic Positioning Note — Not a System Design</w:t>
      </w:r>
    </w:p>
    <w:p>
      <w:pPr>
        <w:spacing w:after="300"/>
        <w:jc w:val="center"/>
      </w:pPr>
      <w:r>
        <w:rPr>
          <w:color w:val="808080"/>
          <w:sz w:val="18"/>
          <w:szCs w:val="18"/>
        </w:rPr>
        <w:t xml:space="preserve">Ref: NPCO/SAPZ/IFAD/26/1023/588</w:t>
      </w:r>
    </w:p>
    <w:p>
      <w:pPr>
        <w:pStyle w:val="Heading1"/>
        <w:spacing w:after="160" w:before="360"/>
      </w:pPr>
      <w:r>
        <w:t xml:space="preserve">Purpose and Positioning</w:t>
      </w:r>
    </w:p>
    <w:p>
      <w:pPr>
        <w:spacing w:after="160" w:line="276"/>
      </w:pPr>
      <w:r>
        <w:t xml:space="preserve">This note sets out the strategic approach an outstanding consultant would bring to the SAPZ ESM/CKR assignment. It deliberately stops short of system design: no data models, screen layouts, or vendor-specific architectures are proposed here. Detailed design belongs to the Requirements Analysis and System Design activity in Weeks 1–2 of the TOR's own timeline, once stakeholder consultation and a content/data audit have taken place. What follows is the thinking that should govern that design — the choices, principles, and sequencing that separate a technically competent build from one that durably fixes the problems named in the TOR's own Problem Statement (Section 1.1).</w:t>
      </w:r>
    </w:p>
    <w:p>
      <w:pPr>
        <w:spacing w:after="160" w:line="276"/>
      </w:pPr>
      <w:r>
        <w:t xml:space="preserve">Two design decisions run through every section below. First, ESM and CKR are treated as two systems under one governance model — independent in hosting and access (as TOR Section 4 requires) but sharing a single taxonomy, metadata standard, and data-governance charter, so the programme does not solve fragmentation in one system while recreating it between two. Second, every proposed capability is mapped to a specific pain point already identified in the Client Pain Analysis, so nothing here is technology for its own sake.</w:t>
      </w:r>
    </w:p>
    <w:p>
      <w:pPr>
        <w:pStyle w:val="Heading2"/>
        <w:spacing w:after="100" w:before="260"/>
      </w:pPr>
      <w:r>
        <w:rPr>
          <w:b/>
          <w:bCs/>
        </w:rPr>
        <w:t xml:space="preserve">1. Enterprise Content Management (ECM)</w:t>
      </w:r>
    </w:p>
    <w:p>
      <w:pPr>
        <w:spacing w:after="160" w:line="276"/>
      </w:pPr>
      <w:r>
        <w:t xml:space="preserve">The strategic goal is 'capture once, govern everywhere.' ESM should be positioned as the single system of record for programme documentation, replacing the fragmented, decentralized storage named in the TOR's Problem Statement — not as one more repository alongside existing ones. The approach should be federated-but-governed: each state team retains day-to-day ownership of its own content, but all content sits under one central taxonomy, retention policy, and lifecycle standard set at national level. A mature, configurable ECM platform class (SharePoint-, Alfresco-, or OpenText-type) should be favoured over bespoke development, so the 12-week schedule is spent on configuration and adoption rather than building document-management primitives from scratch.</w:t>
      </w:r>
    </w:p>
    <w:p>
      <w:pPr>
        <w:pStyle w:val="Heading2"/>
        <w:spacing w:after="100" w:before="260"/>
      </w:pPr>
      <w:r>
        <w:rPr>
          <w:b/>
          <w:bCs/>
        </w:rPr>
        <w:t xml:space="preserve">2. Workflow Automation</w:t>
      </w:r>
    </w:p>
    <w:p>
      <w:pPr>
        <w:spacing w:after="160" w:line="276"/>
      </w:pPr>
      <w:r>
        <w:t xml:space="preserve">The strategy is process-first, technology-second: map the real approval hierarchies across state, regional, and national tiers before configuring any workflow, so automation reflects how SAPZ actually governs itself rather than a generic template. Escalation and SLA rules should be treated as a governance decision — who is accountable when a document stalls — not merely a technical toggle, because this is what converts the TOR's 'audit trails' objective from a logging feature into a genuine accountability mechanism. A single configurable workflow engine should serve all four named document types (work plans, reports, memos, procurement) rather than four separate builds.</w:t>
      </w:r>
    </w:p>
    <w:p>
      <w:pPr>
        <w:pStyle w:val="Heading2"/>
        <w:spacing w:after="100" w:before="260"/>
      </w:pPr>
      <w:r>
        <w:rPr>
          <w:b/>
          <w:bCs/>
        </w:rPr>
        <w:t xml:space="preserve">3. Knowledge Management (KM)</w:t>
      </w:r>
    </w:p>
    <w:p>
      <w:pPr>
        <w:spacing w:after="160" w:line="276"/>
      </w:pPr>
      <w:r>
        <w:t xml:space="preserve">CKR should be positioned as the programme's institutional memory, not a document library. The strategy follows a full KM lifecycle — capture, curate, disseminate, reuse — with named ownership at each stage, since knowledge-management initiatives typically fail from lack of stewardship rather than lack of software. Content stewards should be identified per state and per programme component so knowledge capture is someone's explicit responsibility, not an afterthought. Critically, KM should be wired into the programme's own M&amp;E cycle, so lessons from one state's implementation systematically reach the other six plus the FCT, directly answering the TOR's 'weak coordination' and 'inadequate knowledge capture' findings.</w:t>
      </w:r>
    </w:p>
    <w:p>
      <w:pPr>
        <w:pStyle w:val="Heading2"/>
        <w:spacing w:after="100" w:before="260"/>
      </w:pPr>
      <w:r>
        <w:rPr>
          <w:b/>
          <w:bCs/>
        </w:rPr>
        <w:t xml:space="preserve">4. Enterprise Search</w:t>
      </w:r>
    </w:p>
    <w:p>
      <w:pPr>
        <w:spacing w:after="160" w:line="276"/>
      </w:pPr>
      <w:r>
        <w:t xml:space="preserve">Search strategy must respect the ESM/CKR security boundary: a federated search approach — separate indexes honouring each system's access rules — is the right posture, not a single index that risks leaking restricted ESM content into the public CKR. The precondition for search to work at all is the shared metadata/taxonomy backbone described under ECM and KM above; search should be planned as a consequence of good information architecture, not a bolt-on feature purchased to compensate for poor tagging.</w:t>
      </w:r>
    </w:p>
    <w:p>
      <w:pPr>
        <w:pStyle w:val="Heading2"/>
        <w:spacing w:after="100" w:before="260"/>
      </w:pPr>
      <w:r>
        <w:rPr>
          <w:b/>
          <w:bCs/>
        </w:rPr>
        <w:t xml:space="preserve">5. Dashboards</w:t>
      </w:r>
    </w:p>
    <w:p>
      <w:pPr>
        <w:spacing w:after="160" w:line="276"/>
      </w:pPr>
      <w:r>
        <w:t xml:space="preserve">A tiered dashboard strategy is proposed rather than one generic dashboard: an executive tier for the National Programme Coordinator and donors focused on the Section 10 KPIs, a management tier for state- and component-level progress, and an operational tier for task-level status. Each tier should be designed around what its specific audience decides, not simply what data happens to be available. Given real network variability across seven states, the strategy should commit to real-time refresh where infrastructure supports it and a clearly-flagged near-real-time fallback elsewhere, rather than promising 'real time' everywhere and risking an unmet commitment.</w:t>
      </w:r>
    </w:p>
    <w:p>
      <w:pPr>
        <w:pStyle w:val="Heading2"/>
        <w:spacing w:after="100" w:before="260"/>
      </w:pPr>
      <w:r>
        <w:rPr>
          <w:b/>
          <w:bCs/>
        </w:rPr>
        <w:t xml:space="preserve">6. Reporting</w:t>
      </w:r>
    </w:p>
    <w:p>
      <w:pPr>
        <w:spacing w:after="160" w:line="276"/>
      </w:pPr>
      <w:r>
        <w:t xml:space="preserve">The strategic shift is from manually compiled reports to templated, automated report generation drawn directly from system data. Report formats should be aligned to the conventions AfDB, IFAD, and IsDB already expect from co-financed programmes, so the same underlying data serves internal management and donor supervision missions without re-keying. This directly retires the 'heavy reliance on manual...processes' finding in the TOR's own Problem Statement for the reporting function specifically, and reduces the error risk that donor reviewers are most likely to flag.</w:t>
      </w:r>
    </w:p>
    <w:p>
      <w:pPr>
        <w:pStyle w:val="Heading2"/>
        <w:spacing w:after="100" w:before="260"/>
      </w:pPr>
      <w:r>
        <w:rPr>
          <w:b/>
          <w:bCs/>
        </w:rPr>
        <w:t xml:space="preserve">7. Business Intelligence (BI)</w:t>
      </w:r>
    </w:p>
    <w:p>
      <w:pPr>
        <w:spacing w:after="160" w:line="276"/>
      </w:pPr>
      <w:r>
        <w:t xml:space="preserve">BI should be distinguished from basic reporting as a deliberate strategic layer: trend analysis across states, comparative component performance, and early-warning flags for milestones at risk of slipping. The strategy is to build this analytical layer over the KPI dataset from the outset rather than as a later add-on, so the programme's own decision-making shifts over its life from reactive (responding to problems already visible) to anticipatory — the substance behind the TOR's Section 11 outcome of 'better decision-making.'</w:t>
      </w:r>
    </w:p>
    <w:p>
      <w:pPr>
        <w:pStyle w:val="Heading2"/>
        <w:spacing w:after="100" w:before="260"/>
      </w:pPr>
      <w:r>
        <w:rPr>
          <w:b/>
          <w:bCs/>
        </w:rPr>
        <w:t xml:space="preserve">8. Security</w:t>
      </w:r>
    </w:p>
    <w:p>
      <w:pPr>
        <w:spacing w:after="160" w:line="276"/>
      </w:pPr>
      <w:r>
        <w:t xml:space="preserve">Security should be 'designed in,' not layered on afterward: role-based access control, multi-factor authentication, and encryption are the technical baseline, but the strategic contribution is the governance model around them — clear ownership of security risk decisions, a defined incident-response process, and explicit alignment to the Nigeria Data Protection Regulation. The single most important security decision in the whole assignment is the strict separation between ESM (internal, restricted) and CKR (external, public) that TOR Section 4 already mandates; every other control exists to reinforce that boundary, not replace it.</w:t>
      </w:r>
    </w:p>
    <w:p>
      <w:pPr>
        <w:pStyle w:val="Heading2"/>
        <w:spacing w:after="100" w:before="260"/>
      </w:pPr>
      <w:r>
        <w:rPr>
          <w:b/>
          <w:bCs/>
        </w:rPr>
        <w:t xml:space="preserve">9. Governance</w:t>
      </w:r>
    </w:p>
    <w:p>
      <w:pPr>
        <w:spacing w:after="160" w:line="276"/>
      </w:pPr>
      <w:r>
        <w:t xml:space="preserve">The strategy calls for a short, formally adopted Data &amp; Content Governance Charter produced in Weeks 1–2, defining who owns which content, who has taxonomy authority, and how decisions are made between federal and state levels. This is deliberately treated as an institutional practice the client will operate long after the consultant's 12-week engagement ends, not a one-time system configuration — because without it, the new systems will quietly re-fragment within a year of go-live, and the entire rationale for the investment erodes.</w:t>
      </w:r>
    </w:p>
    <w:p>
      <w:pPr>
        <w:pStyle w:val="Heading2"/>
        <w:spacing w:after="100" w:before="260"/>
      </w:pPr>
      <w:r>
        <w:rPr>
          <w:b/>
          <w:bCs/>
        </w:rPr>
        <w:t xml:space="preserve">10. Collaboration</w:t>
      </w:r>
    </w:p>
    <w:p>
      <w:pPr>
        <w:spacing w:after="160" w:line="276"/>
      </w:pPr>
      <w:r>
        <w:t xml:space="preserve">Collaboration features — comments, co-authoring, structured review cycles — should live inside the document and workflow lifecycle users are already in, rather than existing as a separate 'collaboration tool' nobody remembers to open. This reduces adoption friction directly, addressing the TOR's own named risk of 'adoption resistance.' Dedicated cross-state collaboration spaces should be planned so the seven states and the FCT have a structured channel to work together, not only to report upward.</w:t>
      </w:r>
    </w:p>
    <w:p>
      <w:pPr>
        <w:pStyle w:val="Heading2"/>
        <w:spacing w:after="100" w:before="260"/>
      </w:pPr>
      <w:r>
        <w:rPr>
          <w:b/>
          <w:bCs/>
        </w:rPr>
        <w:t xml:space="preserve">11. Artificial Intelligence (AI)</w:t>
      </w:r>
    </w:p>
    <w:p>
      <w:pPr>
        <w:spacing w:after="160" w:line="276"/>
      </w:pPr>
      <w:r>
        <w:t xml:space="preserve">AI sits outside the TOR's explicit scope and should be presented candidly as that: a value-adding option, not a Weeks 1–12 commitment. Three low-risk, high-value use cases are worth proposing as a Phase 2 roadmap item — AI-assisted document classification and tagging to reduce the manual metadata burden during migration; AI-assisted search and summarisation over the CKR knowledge base; and predictive flagging of workflow bottlenecks using the programme's own approval-cycle data. The governing principle is that no AI feature should be proposed unless its output is explainable and auditable, given the fiduciary scrutiny of three co-financing DFIs and NDPR's compliance requirements. Positioning AI as a considered future option — rather than an unscoped promise inside a fixed 12-week contract — is itself a mark of a mature proposal.</w:t>
      </w:r>
    </w:p>
    <w:p>
      <w:pPr>
        <w:pStyle w:val="Heading2"/>
        <w:spacing w:after="100" w:before="260"/>
      </w:pPr>
      <w:r>
        <w:rPr>
          <w:b/>
          <w:bCs/>
        </w:rPr>
        <w:t xml:space="preserve">12. Scalability</w:t>
      </w:r>
    </w:p>
    <w:p>
      <w:pPr>
        <w:spacing w:after="160" w:line="276"/>
      </w:pPr>
      <w:r>
        <w:t xml:space="preserve">The strategic principle is to design for several times today's known scale — more states, additional donor co-financiers, a larger user base — without requiring re-architecture, rather than sizing the system tightly to current, likely under-stated requirements. This is a design posture to state up front, not a technical specification to commit to before the Week 1–2 requirements analysis has actually quantified expected load.</w:t>
      </w:r>
    </w:p>
    <w:p>
      <w:pPr>
        <w:pStyle w:val="Heading2"/>
        <w:spacing w:after="100" w:before="260"/>
      </w:pPr>
      <w:r>
        <w:rPr>
          <w:b/>
          <w:bCs/>
        </w:rPr>
        <w:t xml:space="preserve">13. Cloud</w:t>
      </w:r>
    </w:p>
    <w:p>
      <w:pPr>
        <w:spacing w:after="160" w:line="276"/>
      </w:pPr>
      <w:r>
        <w:t xml:space="preserve">A cloud-first posture is recommended for cost-effective high availability and consistent access across seven states plus the FCT, but the choice of specific provider and hosting region should be gated by Nigerian Data Protection Regulation compliance and data-residency considerations — a governance decision as much as a technical one. Managed, platform-level cloud services should be preferred over custom-built infrastructure, both to protect the fixed 12-week schedule and to reduce the operational burden left with SAPZ's own KM and ICT Units after the consultant's engagement ends.</w:t>
      </w:r>
    </w:p>
    <w:p>
      <w:pPr>
        <w:pStyle w:val="Heading2"/>
        <w:spacing w:after="100" w:before="260"/>
      </w:pPr>
      <w:r>
        <w:rPr>
          <w:b/>
          <w:bCs/>
        </w:rPr>
        <w:t xml:space="preserve">14. Integration</w:t>
      </w:r>
    </w:p>
    <w:p>
      <w:pPr>
        <w:spacing w:after="160" w:line="276"/>
      </w:pPr>
      <w:r>
        <w:t xml:space="preserve">The integration principle is to connect at the edges, not the core: ESM and CKR remain independent systems per TOR Section 4, linked only through clearly documented interfaces to each other (optional) and to the existing SAPZ website. Every integration point should be governed by the same Data &amp; Content Governance Charter proposed above, so integration becomes a controlled, deliberate decision rather than an ad hoc source of the data duplication the TOR itself warns against.</w:t>
      </w:r>
    </w:p>
    <w:p>
      <w:pPr>
        <w:pStyle w:val="Heading2"/>
        <w:spacing w:after="100" w:before="260"/>
      </w:pPr>
      <w:r>
        <w:rPr>
          <w:b/>
          <w:bCs/>
        </w:rPr>
        <w:t xml:space="preserve">15. Analytics</w:t>
      </w:r>
    </w:p>
    <w:p>
      <w:pPr>
        <w:spacing w:after="160" w:line="276"/>
      </w:pPr>
      <w:r>
        <w:t xml:space="preserve">Analytics, in this strategy, refers specifically to usage and engagement data on the CKR — what is searched, downloaded, and read — feeding back into KM curation decisions. The point is a feedback loop: the knowledge base should visibly improve over time based on evidence of what stakeholders actually use, rather than staying static after initial content migration. This is the direct mechanism behind the TOR's own 'knowledge usage metrics' KPI.</w:t>
      </w:r>
    </w:p>
    <w:p>
      <w:pPr>
        <w:pStyle w:val="Heading2"/>
        <w:spacing w:after="100" w:before="260"/>
      </w:pPr>
      <w:r>
        <w:rPr>
          <w:b/>
          <w:bCs/>
        </w:rPr>
        <w:t xml:space="preserve">16. Knowledge Graph</w:t>
      </w:r>
    </w:p>
    <w:p>
      <w:pPr>
        <w:spacing w:after="160" w:line="276"/>
      </w:pPr>
      <w:r>
        <w:t xml:space="preserve">Also outside the TOR's explicit baseline, a knowledge graph is worth proposing as a forward-looking Phase 2 enhancement rather than a near-term commitment. Instead of flat folders and tags, it would model relationships between programme entities — states, components, projects, documents, people, and outcomes — so a user researching, for example, a particular state's agro-processing results can discover related reports, case studies, and contacts automatically rather than searching for each separately. This is presented as an idea that builds on the taxonomy and metadata foundation laid in Phase 1, intended to signal forward thinking without inflating the near-term scope or risk of a fixed-price, fixed-schedule engagement.</w:t>
      </w:r>
    </w:p>
    <w:p>
      <w:pPr>
        <w:pStyle w:val="Heading1"/>
        <w:spacing w:after="160" w:before="360"/>
      </w:pPr>
      <w:r>
        <w:t xml:space="preserve">Phasing: TOR-Mandated Baseline vs. Recommended Roadmap</w:t>
      </w:r>
    </w:p>
    <w:p>
      <w:pPr>
        <w:spacing w:after="160" w:line="276"/>
      </w:pPr>
      <w:r>
        <w:t xml:space="preserve">To keep this strategy honest against the TOR's own fixed 12-week, fixed-scope structure, the sixteen areas above fall into two tiers:</w:t>
      </w:r>
    </w:p>
    <w:p>
      <w:pPr>
        <w:pStyle w:val="ListParagraph"/>
        <w:numPr>
          <w:ilvl w:val="0"/>
          <w:numId w:val="1"/>
        </w:numPr>
        <w:spacing w:after="80"/>
      </w:pPr>
      <w:r>
        <w:t xml:space="preserve">Phase 1 — Weeks 1–12 (TOR-mandated baseline): Enterprise Content Management, Workflow Automation, Knowledge Management, Enterprise Search, Dashboards, Reporting, Security, Governance, Collaboration, Scalability, Cloud, and Integration. These map directly to named TOR requirements and should be fully delivered within the assignment as scoped.</w:t>
      </w:r>
    </w:p>
    <w:p>
      <w:pPr>
        <w:pStyle w:val="ListParagraph"/>
        <w:numPr>
          <w:ilvl w:val="0"/>
          <w:numId w:val="1"/>
        </w:numPr>
        <w:spacing w:after="80"/>
      </w:pPr>
      <w:r>
        <w:t xml:space="preserve">Phase 2 — Recommended post-go-live roadmap: Business Intelligence (beyond baseline reporting), Artificial Intelligence, Analytics-driven curation, and the Knowledge Graph. These extend value beyond the TOR's explicit scope and should be proposed as a costed, optional follow-on roadmap — not folded silently into the 12-week price or timeline.</w:t>
      </w:r>
    </w:p>
    <w:p>
      <w:pPr>
        <w:spacing w:after="160" w:line="276"/>
      </w:pPr>
      <w:r>
        <w:t xml:space="preserve">This separation matters for the evaluation: it demonstrates the methodological maturity the Evaluation Criteria reward under 'quality of proposed approach,' while protecting the consultant from being judged against commitments the TOR never actually priced or scheduled.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pPr>
    <w:rPr>
      <w:rFonts w:ascii="Arial" w:cs="Arial" w:eastAsia="Arial" w:hAnsi="Arial"/>
      <w:b/>
      <w:bCs/>
      <w:color w:val="1F3864"/>
      <w:sz w:val="28"/>
      <w:szCs w:val="28"/>
    </w:rPr>
  </w:style>
  <w:style w:type="paragraph" w:styleId="Heading2">
    <w:name w:val="Heading 2"/>
    <w:basedOn w:val="Normal"/>
    <w:next w:val="Normal"/>
    <w:qFormat/>
    <w:pPr>
      <w:spacing w:after="100" w:before="220"/>
    </w:pPr>
    <w:rPr>
      <w:rFonts w:ascii="Arial" w:cs="Arial" w:eastAsia="Arial" w:hAnsi="Arial"/>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2026-07-17T18:02:49.812Z</dcterms:created>
  <dcterms:modified xsi:type="dcterms:W3CDTF">2026-07-17T18:02:49.813Z</dcterms:modified>
</cp:coreProperties>
</file>

<file path=docProps/custom.xml><?xml version="1.0" encoding="utf-8"?>
<Properties xmlns="http://schemas.openxmlformats.org/officeDocument/2006/custom-properties" xmlns:vt="http://schemas.openxmlformats.org/officeDocument/2006/docPropsVTypes"/>
</file>