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2E5395"/>
          <w:sz w:val="22"/>
          <w:szCs w:val="22"/>
        </w:rPr>
        <w:t xml:space="preserve">Enterprise System Management (ESM) Platform and Central Knowledge Repository (CKR)</w:t>
      </w:r>
    </w:p>
    <w:p>
      <w:pPr>
        <w:spacing w:after="40"/>
        <w:jc w:val="center"/>
      </w:pPr>
      <w:r>
        <w:rPr>
          <w:b/>
          <w:bCs/>
          <w:color w:val="2E5395"/>
          <w:sz w:val="24"/>
          <w:szCs w:val="24"/>
        </w:rPr>
        <w:t xml:space="preserve">Section 1 of 16 — Executive Architecture Summary</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3864" w:sz="6" w:space="4"/>
        </w:pBdr>
        <w:spacing w:after="130" w:before="320"/>
      </w:pPr>
      <w:r>
        <w:t xml:space="preserve">1.1 Purpose and Scope of This Blueprint</w:t>
      </w:r>
    </w:p>
    <w:p>
      <w:pPr>
        <w:spacing w:after="150" w:line="276"/>
        <w:jc w:val="both"/>
      </w:pPr>
      <w:r>
        <w:t xml:space="preserve">This Blueprint sets out the enterprise architecture for the Enterprise System Management (ESM) Platform and the Central Knowledge Repository (CKR) to be designed, developed, and deployed for the Special Agro-Industrial Processing Zones (SAPZ) Programme under NPCO/SAPZ/IFAD/26/1023/588. It is written as a single governing reference — suitable for Steering Committee approval, CTO review, an Enterprise Architecture Review Board, IFAD technical review, and Government ICT review — from which every subsequent design, engineering, and implementation artefact should be derived.</w:t>
      </w:r>
    </w:p>
    <w:p>
      <w:pPr>
        <w:spacing w:after="150" w:line="276"/>
        <w:jc w:val="both"/>
      </w:pPr>
      <w:r>
        <w:t xml:space="preserve">The Procurement Intelligence Report compiled for this bid — the Requirements Traceability Matrix, Client Pain Analysis, Solution Strategy, Evaluation Strategy, Competitor Analysis, Winning Bid Strategy, and Executive Advice Briefing — is treated throughout this Blueprint as the governing strategy document. Every architectural recommendation in the sixteen sections that follow aligns with its findings; none contradicts it. Where the Terms of Reference (TOR) is silent on a matter the architecture must nonetheless address, this Blueprint says so explicitly and explains what is being added and why, rather than presenting an invented requirement as if the TOR had asked for it.</w:t>
      </w:r>
    </w:p>
    <w:p>
      <w:pPr>
        <w:spacing w:after="150" w:line="276"/>
        <w:jc w:val="both"/>
      </w:pPr>
      <w:r>
        <w:t xml:space="preserve">This document is Section 1 of 16. It is being produced one section at a time, each concluded and verified before the next begins, so that the full Blueprint is built to a single, professional, internally consistent standard rather than assembled piecemeal.</w:t>
      </w:r>
    </w:p>
    <w:p>
      <w:pPr>
        <w:pStyle w:val="Heading1"/>
        <w:pBdr>
          <w:bottom w:val="single" w:color="1F3864" w:sz="6" w:space="4"/>
        </w:pBdr>
        <w:spacing w:after="130" w:before="320"/>
      </w:pPr>
      <w:r>
        <w:t xml:space="preserve">1.2 Current State Assessment</w:t>
      </w:r>
    </w:p>
    <w:p>
      <w:pPr>
        <w:spacing w:after="150" w:line="276"/>
        <w:jc w:val="both"/>
      </w:pPr>
      <w:r>
        <w:t xml:space="preserve">The TOR's own Problem Statement, corroborated by the Client Pain Analysis produced during Phase 1, describes a programme whose information environment has not kept pace with its institutional scale. Programme documentation — work plans, reports, memos, procurement records — is fragmented and decentralized across seven states and the Federal Capital Territory, with no shared taxonomy governing how it is organized, named, or retained. Approval processes for these same document types are handled manually, so no consistent, system-enforced audit trail exists to show who approved what, when, and under whose authority.</w:t>
      </w:r>
    </w:p>
    <w:p>
      <w:pPr>
        <w:spacing w:after="150" w:line="276"/>
        <w:jc w:val="both"/>
      </w:pPr>
      <w:r>
        <w:t xml:space="preserve">Institutional knowledge is captured inconsistently, and lessons learned in one state rarely reach the other six plus the FCT in any structured way — the programme currently has no mechanism that converts one state's experience into another state's advantage. Reporting is compiled by hand from scattered sources, which is slow, error-prone, and not aligned to the reporting conventions that AfDB, IFAD, and IsDB — the programme's three co-financing development finance institutions — already expect from comparable programmes they supervise. Where search or dashboard capability exists at all today, it is local and siloed rather than programme-wide, and there is no coordinated, tiered view that lets an executive, a state manager, and an operational officer each see what is actually relevant to their role.</w:t>
      </w:r>
    </w:p>
    <w:p>
      <w:pPr>
        <w:spacing w:after="150" w:line="276"/>
        <w:jc w:val="both"/>
      </w:pPr>
      <w:r>
        <w:t xml:space="preserve">Underlying all of this is the absence of a formally adopted data and content governance charter: no single document currently defines who owns which content, who holds taxonomy authority, or how decisions are made between the federal and state levels. Left unaddressed, this gap does not stay static — as the programme scales toward its intended reach across seven states and the FCT, and as fiduciary scrutiny from three co-financing DFIs intensifies, fragmentation compounds rather than resolves itself.</w:t>
      </w:r>
    </w:p>
    <w:p>
      <w:pPr>
        <w:pStyle w:val="Heading1"/>
        <w:pBdr>
          <w:bottom w:val="single" w:color="1F3864" w:sz="6" w:space="4"/>
        </w:pBdr>
        <w:spacing w:after="130" w:before="320"/>
      </w:pPr>
      <w:r>
        <w:t xml:space="preserve">1.3 Future State Vision</w:t>
      </w:r>
    </w:p>
    <w:p>
      <w:pPr>
        <w:spacing w:after="150" w:line="276"/>
        <w:jc w:val="both"/>
      </w:pPr>
      <w:r>
        <w:t xml:space="preserve">The target state is two independent systems operating under one shared governance model. ESM is the internal, restricted system of record for programme documentation and workflow; CKR is the external, public system for institutional knowledge and learning content. Consistent with TOR Section 4, the two remain separately hosted and separately access-controlled — but they share a single taxonomy, a single metadata standard, and one Data and Content Governance Charter, so the programme does not solve fragmentation inside one system while quietly recreating it between the two.</w:t>
      </w:r>
    </w:p>
    <w:p>
      <w:pPr>
        <w:spacing w:after="150" w:line="276"/>
        <w:jc w:val="both"/>
      </w:pPr>
      <w:r>
        <w:t xml:space="preserve">Content management follows a federated-but-governed model: each state team keeps day-to-day ownership of its own content, while taxonomy, retention, and lifecycle rules are set once at national level and applied consistently everywhere. A single configurable workflow engine automates approval for all four named document types — work plans, reports, memos, and procurement — across state, regional, and national tiers, producing the system-enforced audit trail the current manual process cannot provide. Knowledge management runs a full capture-curate-disseminate-reuse lifecycle with named stewards per state and per programme component, wired directly into the programme's own M&amp;E cycle so that a lesson learned in one state is designed, structurally, to reach the rest.</w:t>
      </w:r>
    </w:p>
    <w:p>
      <w:pPr>
        <w:spacing w:after="150" w:line="276"/>
        <w:jc w:val="both"/>
      </w:pPr>
      <w:r>
        <w:t xml:space="preserve">Enterprise search is federated across ESM and CKR, honouring the access boundary between them rather than risking a single index that could leak restricted content into the public repository. A tiered dashboard strategy — executive, management, and operational — gives each stakeholder group the view suited to its decisions, with real-time refresh where infrastructure supports it and a clearly flagged near-real-time fallback where it does not, reflecting the genuine network variability across seven states rather than promising uniform real-time performance the infrastructure cannot guarantee everywhere. Reporting shifts from manual compilation to templated, automated generation aligned to AfDB, IFAD, and IsDB conventions, drawing on the same underlying data used for internal management.</w:t>
      </w:r>
    </w:p>
    <w:p>
      <w:pPr>
        <w:spacing w:after="150" w:line="276"/>
        <w:jc w:val="both"/>
      </w:pPr>
      <w:r>
        <w:t xml:space="preserve">Security is designed in rather than layered on afterward: role-based access control, multi-factor authentication, and encryption form the technical baseline, anchored to the ESM/CKR access boundary as the single most important control in the architecture, and aligned throughout to the Nigeria Data Protection Regulation. The technology posture is cloud-first and managed-services-preferred, sized to scale several times beyond today's known load without requiring re-architecture, protecting both the fixed 12-week delivery schedule and SAPZ's own KM and ICT Units after the consultant's engagement ends. Capabilities that sit outside the TOR's explicit baseline — deeper Business Intelligence, Artificial Intelligence, usage-driven analytics, and a knowledge graph — are held out as a distinct, costed Phase 2 roadmap rather than folded silently into the Phase 1 commitment.</w:t>
      </w:r>
    </w:p>
    <w:p>
      <w:pPr>
        <w:pStyle w:val="Heading1"/>
        <w:pBdr>
          <w:bottom w:val="single" w:color="1F3864" w:sz="6" w:space="4"/>
        </w:pBdr>
        <w:spacing w:after="130" w:before="320"/>
      </w:pPr>
      <w:r>
        <w:t xml:space="preserve">1.4 Transformation Vision Statement</w:t>
      </w:r>
    </w:p>
    <w:p>
      <w:pPr>
        <w:spacing w:after="150" w:line="276"/>
        <w:jc w:val="both"/>
      </w:pPr>
      <w:r>
        <w:t xml:space="preserve">Within the TOR's fixed twelve-week timeline, the SAPZ Programme moves from fragmented, manually governed documentation across seven states and the FCT to two purpose-built, securely bounded systems — ESM and CKR — operating under one shared taxonomy, one governance charter, and one accountable data-stewardship model, so that every state's work becomes visible, auditable, and reusable at national level without compromising the access controls three co-financing donors and Nigeria's own data protection regulation require.</w:t>
      </w:r>
    </w:p>
    <w:p>
      <w:pPr>
        <w:pStyle w:val="Heading1"/>
        <w:pBdr>
          <w:bottom w:val="single" w:color="1F3864" w:sz="6" w:space="4"/>
        </w:pBdr>
        <w:spacing w:after="130" w:before="320"/>
      </w:pPr>
      <w:r>
        <w:t xml:space="preserve">1.5 Business Drivers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3864" w:val="clear"/>
            <w:tcMar>
              <w:top w:type="dxa" w:w="80"/>
              <w:left w:type="dxa" w:w="100"/>
              <w:bottom w:type="dxa" w:w="80"/>
              <w:right w:type="dxa" w:w="100"/>
            </w:tcMar>
            <w:vAlign w:val="top"/>
          </w:tcPr>
          <w:p>
            <w:r>
              <w:rPr>
                <w:b/>
                <w:bCs/>
                <w:color w:val="FFFFFF"/>
                <w:sz w:val="18"/>
                <w:szCs w:val="18"/>
              </w:rPr>
              <w:t xml:space="preserve">Driver</w:t>
            </w:r>
          </w:p>
        </w:tc>
        <w:tc>
          <w:tcPr>
            <w:tcW w:type="dxa" w:w="7056"/>
            <w:shd w:fill="1F3864" w:val="clear"/>
            <w:tcMar>
              <w:top w:type="dxa" w:w="80"/>
              <w:left w:type="dxa" w:w="100"/>
              <w:bottom w:type="dxa" w:w="80"/>
              <w:right w:type="dxa" w:w="100"/>
            </w:tcMar>
            <w:vAlign w:val="top"/>
          </w:tcPr>
          <w:p>
            <w:r>
              <w:rPr>
                <w:b/>
                <w:bCs/>
                <w:color w:val="FFFFFF"/>
                <w:sz w:val="18"/>
                <w:szCs w:val="18"/>
              </w:rPr>
              <w:t xml:space="preserve">Evidence and Rationale</w:t>
            </w:r>
          </w:p>
        </w:tc>
      </w:tr>
      <w:tr>
        <w:tc>
          <w:tcPr>
            <w:tcW w:type="dxa" w:w="3024"/>
            <w:tcMar>
              <w:top w:type="dxa" w:w="80"/>
              <w:left w:type="dxa" w:w="100"/>
              <w:bottom w:type="dxa" w:w="80"/>
              <w:right w:type="dxa" w:w="100"/>
            </w:tcMar>
            <w:vAlign w:val="top"/>
          </w:tcPr>
          <w:p>
            <w:r>
              <w:rPr>
                <w:b/>
                <w:bCs/>
                <w:color w:val="000000"/>
                <w:sz w:val="18"/>
                <w:szCs w:val="18"/>
              </w:rPr>
              <w:t xml:space="preserve">Fragmented, decentralized documentation</w:t>
            </w:r>
          </w:p>
        </w:tc>
        <w:tc>
          <w:tcPr>
            <w:tcW w:type="dxa" w:w="7056"/>
            <w:tcMar>
              <w:top w:type="dxa" w:w="80"/>
              <w:left w:type="dxa" w:w="100"/>
              <w:bottom w:type="dxa" w:w="80"/>
              <w:right w:type="dxa" w:w="100"/>
            </w:tcMar>
            <w:vAlign w:val="top"/>
          </w:tcPr>
          <w:p>
            <w:r>
              <w:rPr>
                <w:b w:val="false"/>
                <w:bCs w:val="false"/>
                <w:color w:val="000000"/>
                <w:sz w:val="18"/>
                <w:szCs w:val="18"/>
              </w:rPr>
              <w:t xml:space="preserve">Named directly in the TOR's Problem Statement; documentation is scattered across seven states and the FCT with no shared taxonomy.</w:t>
            </w:r>
          </w:p>
        </w:tc>
      </w:tr>
      <w:tr>
        <w:tc>
          <w:tcPr>
            <w:tcW w:type="dxa" w:w="3024"/>
            <w:tcMar>
              <w:top w:type="dxa" w:w="80"/>
              <w:left w:type="dxa" w:w="100"/>
              <w:bottom w:type="dxa" w:w="80"/>
              <w:right w:type="dxa" w:w="100"/>
            </w:tcMar>
            <w:vAlign w:val="top"/>
          </w:tcPr>
          <w:p>
            <w:r>
              <w:rPr>
                <w:b/>
                <w:bCs/>
                <w:color w:val="000000"/>
                <w:sz w:val="18"/>
                <w:szCs w:val="18"/>
              </w:rPr>
              <w:t xml:space="preserve">Manual, error-prone reporting</w:t>
            </w:r>
          </w:p>
        </w:tc>
        <w:tc>
          <w:tcPr>
            <w:tcW w:type="dxa" w:w="7056"/>
            <w:tcMar>
              <w:top w:type="dxa" w:w="80"/>
              <w:left w:type="dxa" w:w="100"/>
              <w:bottom w:type="dxa" w:w="80"/>
              <w:right w:type="dxa" w:w="100"/>
            </w:tcMar>
            <w:vAlign w:val="top"/>
          </w:tcPr>
          <w:p>
            <w:r>
              <w:rPr>
                <w:b w:val="false"/>
                <w:bCs w:val="false"/>
                <w:color w:val="000000"/>
                <w:sz w:val="18"/>
                <w:szCs w:val="18"/>
              </w:rPr>
              <w:t xml:space="preserve">Reports are compiled by hand from scattered sources, inconsistent with AfDB/IFAD/IsDB donor reporting conventions.</w:t>
            </w:r>
          </w:p>
        </w:tc>
      </w:tr>
      <w:tr>
        <w:tc>
          <w:tcPr>
            <w:tcW w:type="dxa" w:w="3024"/>
            <w:tcMar>
              <w:top w:type="dxa" w:w="80"/>
              <w:left w:type="dxa" w:w="100"/>
              <w:bottom w:type="dxa" w:w="80"/>
              <w:right w:type="dxa" w:w="100"/>
            </w:tcMar>
            <w:vAlign w:val="top"/>
          </w:tcPr>
          <w:p>
            <w:r>
              <w:rPr>
                <w:b/>
                <w:bCs/>
                <w:color w:val="000000"/>
                <w:sz w:val="18"/>
                <w:szCs w:val="18"/>
              </w:rPr>
              <w:t xml:space="preserve">Weak cross-state coordination and knowledge reuse</w:t>
            </w:r>
          </w:p>
        </w:tc>
        <w:tc>
          <w:tcPr>
            <w:tcW w:type="dxa" w:w="7056"/>
            <w:tcMar>
              <w:top w:type="dxa" w:w="80"/>
              <w:left w:type="dxa" w:w="100"/>
              <w:bottom w:type="dxa" w:w="80"/>
              <w:right w:type="dxa" w:w="100"/>
            </w:tcMar>
            <w:vAlign w:val="top"/>
          </w:tcPr>
          <w:p>
            <w:r>
              <w:rPr>
                <w:b w:val="false"/>
                <w:bCs w:val="false"/>
                <w:color w:val="000000"/>
                <w:sz w:val="18"/>
                <w:szCs w:val="18"/>
              </w:rPr>
              <w:t xml:space="preserve">No structured mechanism currently moves a lesson learned in one state to the other six states plus the FCT.</w:t>
            </w:r>
          </w:p>
        </w:tc>
      </w:tr>
      <w:tr>
        <w:tc>
          <w:tcPr>
            <w:tcW w:type="dxa" w:w="3024"/>
            <w:tcMar>
              <w:top w:type="dxa" w:w="80"/>
              <w:left w:type="dxa" w:w="100"/>
              <w:bottom w:type="dxa" w:w="80"/>
              <w:right w:type="dxa" w:w="100"/>
            </w:tcMar>
            <w:vAlign w:val="top"/>
          </w:tcPr>
          <w:p>
            <w:r>
              <w:rPr>
                <w:b/>
                <w:bCs/>
                <w:color w:val="000000"/>
                <w:sz w:val="18"/>
                <w:szCs w:val="18"/>
              </w:rPr>
              <w:t xml:space="preserve">Absence of institutional memory</w:t>
            </w:r>
          </w:p>
        </w:tc>
        <w:tc>
          <w:tcPr>
            <w:tcW w:type="dxa" w:w="7056"/>
            <w:tcMar>
              <w:top w:type="dxa" w:w="80"/>
              <w:left w:type="dxa" w:w="100"/>
              <w:bottom w:type="dxa" w:w="80"/>
              <w:right w:type="dxa" w:w="100"/>
            </w:tcMar>
            <w:vAlign w:val="top"/>
          </w:tcPr>
          <w:p>
            <w:r>
              <w:rPr>
                <w:b w:val="false"/>
                <w:bCs w:val="false"/>
                <w:color w:val="000000"/>
                <w:sz w:val="18"/>
                <w:szCs w:val="18"/>
              </w:rPr>
              <w:t xml:space="preserve">Knowledge capture is inconsistent and not owned by any named steward, so it is not durably retained.</w:t>
            </w:r>
          </w:p>
        </w:tc>
      </w:tr>
      <w:tr>
        <w:tc>
          <w:tcPr>
            <w:tcW w:type="dxa" w:w="3024"/>
            <w:tcMar>
              <w:top w:type="dxa" w:w="80"/>
              <w:left w:type="dxa" w:w="100"/>
              <w:bottom w:type="dxa" w:w="80"/>
              <w:right w:type="dxa" w:w="100"/>
            </w:tcMar>
            <w:vAlign w:val="top"/>
          </w:tcPr>
          <w:p>
            <w:r>
              <w:rPr>
                <w:b/>
                <w:bCs/>
                <w:color w:val="000000"/>
                <w:sz w:val="18"/>
                <w:szCs w:val="18"/>
              </w:rPr>
              <w:t xml:space="preserve">Multi-donor fiduciary scrutiny</w:t>
            </w:r>
          </w:p>
        </w:tc>
        <w:tc>
          <w:tcPr>
            <w:tcW w:type="dxa" w:w="7056"/>
            <w:tcMar>
              <w:top w:type="dxa" w:w="80"/>
              <w:left w:type="dxa" w:w="100"/>
              <w:bottom w:type="dxa" w:w="80"/>
              <w:right w:type="dxa" w:w="100"/>
            </w:tcMar>
            <w:vAlign w:val="top"/>
          </w:tcPr>
          <w:p>
            <w:r>
              <w:rPr>
                <w:b w:val="false"/>
                <w:bCs w:val="false"/>
                <w:color w:val="000000"/>
                <w:sz w:val="18"/>
                <w:szCs w:val="18"/>
              </w:rPr>
              <w:t xml:space="preserve">IFAD, AfDB, and IsDB co-finance the programme jointly, each with its own fiduciary and supervision expectations.</w:t>
            </w:r>
          </w:p>
        </w:tc>
      </w:tr>
      <w:tr>
        <w:tc>
          <w:tcPr>
            <w:tcW w:type="dxa" w:w="3024"/>
            <w:tcMar>
              <w:top w:type="dxa" w:w="80"/>
              <w:left w:type="dxa" w:w="100"/>
              <w:bottom w:type="dxa" w:w="80"/>
              <w:right w:type="dxa" w:w="100"/>
            </w:tcMar>
            <w:vAlign w:val="top"/>
          </w:tcPr>
          <w:p>
            <w:r>
              <w:rPr>
                <w:b/>
                <w:bCs/>
                <w:color w:val="000000"/>
                <w:sz w:val="18"/>
                <w:szCs w:val="18"/>
              </w:rPr>
              <w:t xml:space="preserve">Regulatory obligation under the Nigeria Data Protection Regulation</w:t>
            </w:r>
          </w:p>
        </w:tc>
        <w:tc>
          <w:tcPr>
            <w:tcW w:type="dxa" w:w="7056"/>
            <w:tcMar>
              <w:top w:type="dxa" w:w="80"/>
              <w:left w:type="dxa" w:w="100"/>
              <w:bottom w:type="dxa" w:w="80"/>
              <w:right w:type="dxa" w:w="100"/>
            </w:tcMar>
            <w:vAlign w:val="top"/>
          </w:tcPr>
          <w:p>
            <w:r>
              <w:rPr>
                <w:b w:val="false"/>
                <w:bCs w:val="false"/>
                <w:color w:val="000000"/>
                <w:sz w:val="18"/>
                <w:szCs w:val="18"/>
              </w:rPr>
              <w:t xml:space="preserve">NDPR compliance is a binding legal requirement for any system processing personal data in Nigeria, referenced in the Solution Strategy.</w:t>
            </w:r>
          </w:p>
        </w:tc>
      </w:tr>
      <w:tr>
        <w:tc>
          <w:tcPr>
            <w:tcW w:type="dxa" w:w="3024"/>
            <w:tcMar>
              <w:top w:type="dxa" w:w="80"/>
              <w:left w:type="dxa" w:w="100"/>
              <w:bottom w:type="dxa" w:w="80"/>
              <w:right w:type="dxa" w:w="100"/>
            </w:tcMar>
            <w:vAlign w:val="top"/>
          </w:tcPr>
          <w:p>
            <w:r>
              <w:rPr>
                <w:b/>
                <w:bCs/>
                <w:color w:val="000000"/>
                <w:sz w:val="18"/>
                <w:szCs w:val="18"/>
              </w:rPr>
              <w:t xml:space="preserve">Adoption resistance risk</w:t>
            </w:r>
          </w:p>
        </w:tc>
        <w:tc>
          <w:tcPr>
            <w:tcW w:type="dxa" w:w="7056"/>
            <w:tcMar>
              <w:top w:type="dxa" w:w="80"/>
              <w:left w:type="dxa" w:w="100"/>
              <w:bottom w:type="dxa" w:w="80"/>
              <w:right w:type="dxa" w:w="100"/>
            </w:tcMar>
            <w:vAlign w:val="top"/>
          </w:tcPr>
          <w:p>
            <w:r>
              <w:rPr>
                <w:b w:val="false"/>
                <w:bCs w:val="false"/>
                <w:color w:val="000000"/>
                <w:sz w:val="18"/>
                <w:szCs w:val="18"/>
              </w:rPr>
              <w:t xml:space="preserve">Named explicitly as a risk in the TOR; features must sit inside workflows users are already in, not in a separate tool nobody opens.</w:t>
            </w:r>
          </w:p>
        </w:tc>
      </w:tr>
      <w:tr>
        <w:tc>
          <w:tcPr>
            <w:tcW w:type="dxa" w:w="3024"/>
            <w:tcMar>
              <w:top w:type="dxa" w:w="80"/>
              <w:left w:type="dxa" w:w="100"/>
              <w:bottom w:type="dxa" w:w="80"/>
              <w:right w:type="dxa" w:w="100"/>
            </w:tcMar>
            <w:vAlign w:val="top"/>
          </w:tcPr>
          <w:p>
            <w:r>
              <w:rPr>
                <w:b/>
                <w:bCs/>
                <w:color w:val="000000"/>
                <w:sz w:val="18"/>
                <w:szCs w:val="18"/>
              </w:rPr>
              <w:t xml:space="preserve">Absence of formal data and content governance</w:t>
            </w:r>
          </w:p>
        </w:tc>
        <w:tc>
          <w:tcPr>
            <w:tcW w:type="dxa" w:w="7056"/>
            <w:tcMar>
              <w:top w:type="dxa" w:w="80"/>
              <w:left w:type="dxa" w:w="100"/>
              <w:bottom w:type="dxa" w:w="80"/>
              <w:right w:type="dxa" w:w="100"/>
            </w:tcMar>
            <w:vAlign w:val="top"/>
          </w:tcPr>
          <w:p>
            <w:r>
              <w:rPr>
                <w:b w:val="false"/>
                <w:bCs w:val="false"/>
                <w:color w:val="000000"/>
                <w:sz w:val="18"/>
                <w:szCs w:val="18"/>
              </w:rPr>
              <w:t xml:space="preserve">No charter currently defines content ownership or taxonomy authority between federal and state levels.</w:t>
            </w:r>
          </w:p>
        </w:tc>
      </w:tr>
      <w:tr>
        <w:tc>
          <w:tcPr>
            <w:tcW w:type="dxa" w:w="3024"/>
            <w:tcMar>
              <w:top w:type="dxa" w:w="80"/>
              <w:left w:type="dxa" w:w="100"/>
              <w:bottom w:type="dxa" w:w="80"/>
              <w:right w:type="dxa" w:w="100"/>
            </w:tcMar>
            <w:vAlign w:val="top"/>
          </w:tcPr>
          <w:p>
            <w:r>
              <w:rPr>
                <w:b/>
                <w:bCs/>
                <w:color w:val="000000"/>
                <w:sz w:val="18"/>
                <w:szCs w:val="18"/>
              </w:rPr>
              <w:t xml:space="preserve">Programme growth trajectory</w:t>
            </w:r>
          </w:p>
        </w:tc>
        <w:tc>
          <w:tcPr>
            <w:tcW w:type="dxa" w:w="7056"/>
            <w:tcMar>
              <w:top w:type="dxa" w:w="80"/>
              <w:left w:type="dxa" w:w="100"/>
              <w:bottom w:type="dxa" w:w="80"/>
              <w:right w:type="dxa" w:w="100"/>
            </w:tcMar>
            <w:vAlign w:val="top"/>
          </w:tcPr>
          <w:p>
            <w:r>
              <w:rPr>
                <w:b w:val="false"/>
                <w:bCs w:val="false"/>
                <w:color w:val="000000"/>
                <w:sz w:val="18"/>
                <w:szCs w:val="18"/>
              </w:rPr>
              <w:t xml:space="preserve">The architecture must scale to several times today's known load — more states, more co-financiers, more users — without re-architecture.</w:t>
            </w:r>
          </w:p>
        </w:tc>
      </w:tr>
    </w:tbl>
    <w:p>
      <w:pPr>
        <w:spacing w:after="160"/>
      </w:pPr>
    </w:p>
    <w:p>
      <w:pPr>
        <w:pStyle w:val="Heading1"/>
        <w:pBdr>
          <w:bottom w:val="single" w:color="1F3864" w:sz="6" w:space="4"/>
        </w:pBdr>
        <w:spacing w:after="130" w:before="320"/>
      </w:pPr>
      <w:r>
        <w:t xml:space="preserve">1.6 Strategic Objectives</w:t>
      </w:r>
    </w:p>
    <w:p>
      <w:pPr>
        <w:spacing w:after="110" w:line="264"/>
      </w:pPr>
      <w:r>
        <w:rPr>
          <w:b/>
          <w:bCs/>
        </w:rPr>
        <w:t xml:space="preserve">1. </w:t>
      </w:r>
      <w:r>
        <w:t xml:space="preserve">Establish ESM as the single internal system of record for programme documentation and workflow, replacing decentralized storage.</w:t>
      </w:r>
    </w:p>
    <w:p>
      <w:pPr>
        <w:spacing w:after="110" w:line="264"/>
      </w:pPr>
      <w:r>
        <w:rPr>
          <w:b/>
          <w:bCs/>
        </w:rPr>
        <w:t xml:space="preserve">2. </w:t>
      </w:r>
      <w:r>
        <w:t xml:space="preserve">Establish CKR as the public-facing institutional knowledge and learning platform, positioned as programme memory rather than a document library.</w:t>
      </w:r>
    </w:p>
    <w:p>
      <w:pPr>
        <w:spacing w:after="110" w:line="264"/>
      </w:pPr>
      <w:r>
        <w:rPr>
          <w:b/>
          <w:bCs/>
        </w:rPr>
        <w:t xml:space="preserve">3. </w:t>
      </w:r>
      <w:r>
        <w:t xml:space="preserve">Reduce reporting cycle time and manual compilation effort through templated, automated report generation aligned to donor conventions.</w:t>
      </w:r>
    </w:p>
    <w:p>
      <w:pPr>
        <w:spacing w:after="110" w:line="264"/>
      </w:pPr>
      <w:r>
        <w:rPr>
          <w:b/>
          <w:bCs/>
        </w:rPr>
        <w:t xml:space="preserve">4. </w:t>
      </w:r>
      <w:r>
        <w:t xml:space="preserve">Deliver a complete, system-enforced audit trail for work plans, reports, memos, and procurement approvals.</w:t>
      </w:r>
    </w:p>
    <w:p>
      <w:pPr>
        <w:spacing w:after="110" w:line="264"/>
      </w:pPr>
      <w:r>
        <w:rPr>
          <w:b/>
          <w:bCs/>
        </w:rPr>
        <w:t xml:space="preserve">5. </w:t>
      </w:r>
      <w:r>
        <w:t xml:space="preserve">Improve measurable cross-state knowledge reuse, directly answering the TOR's own knowledge-usage-metrics KPI.</w:t>
      </w:r>
    </w:p>
    <w:p>
      <w:pPr>
        <w:spacing w:after="110" w:line="264"/>
      </w:pPr>
      <w:r>
        <w:rPr>
          <w:b/>
          <w:bCs/>
        </w:rPr>
        <w:t xml:space="preserve">6. </w:t>
      </w:r>
      <w:r>
        <w:t xml:space="preserve">Deliver tiered dashboard visibility — executive, management, operational — matched to each stakeholder group's actual decisions.</w:t>
      </w:r>
    </w:p>
    <w:p>
      <w:pPr>
        <w:spacing w:after="110" w:line="264"/>
      </w:pPr>
      <w:r>
        <w:rPr>
          <w:b/>
          <w:bCs/>
        </w:rPr>
        <w:t xml:space="preserve">7. </w:t>
      </w:r>
      <w:r>
        <w:t xml:space="preserve">Formally adopt a single Data and Content Governance Charter within Weeks 1–2 of the engagement, spanning both systems.</w:t>
      </w:r>
    </w:p>
    <w:p>
      <w:pPr>
        <w:spacing w:after="110" w:line="264"/>
      </w:pPr>
      <w:r>
        <w:rPr>
          <w:b/>
          <w:bCs/>
        </w:rPr>
        <w:t xml:space="preserve">8. </w:t>
      </w:r>
      <w:r>
        <w:t xml:space="preserve">Achieve an NDPR-aligned security posture built on role-based access control, multi-factor authentication, and encryption.</w:t>
      </w:r>
    </w:p>
    <w:p>
      <w:pPr>
        <w:spacing w:after="110" w:line="264"/>
      </w:pPr>
      <w:r>
        <w:rPr>
          <w:b/>
          <w:bCs/>
        </w:rPr>
        <w:t xml:space="preserve">9. </w:t>
      </w:r>
      <w:r>
        <w:t xml:space="preserve">Deliver both systems within the TOR's fixed twelve-week schedule without compromising quality or governance discipline.</w:t>
      </w:r>
    </w:p>
    <w:p>
      <w:pPr>
        <w:spacing w:after="110" w:line="264"/>
      </w:pPr>
      <w:r>
        <w:rPr>
          <w:b/>
          <w:bCs/>
        </w:rPr>
        <w:t xml:space="preserve">10. </w:t>
      </w:r>
      <w:r>
        <w:t xml:space="preserve">Present Business Intelligence, Artificial Intelligence, analytics-driven curation, and knowledge-graph capability as a distinct, costed Phase 2 roadmap, never silently absorbed into the Phase 1 baseline.</w:t>
      </w:r>
    </w:p>
    <w:p>
      <w:pPr>
        <w:pStyle w:val="Heading1"/>
        <w:pBdr>
          <w:bottom w:val="single" w:color="1F3864" w:sz="6" w:space="4"/>
        </w:pBdr>
        <w:spacing w:after="130" w:before="320"/>
      </w:pPr>
      <w:r>
        <w:t xml:space="preserve">1.7 Enterprise, Architecture, and Digital Transformation Principles</w:t>
      </w:r>
    </w:p>
    <w:p>
      <w:pPr>
        <w:spacing w:after="150" w:line="276"/>
        <w:jc w:val="both"/>
      </w:pPr>
      <w:r>
        <w:t xml:space="preserve">The six principle sets below govern every architectural decision made in Sections 2 through 16 of this Blueprint. They are stated once, here, precisely so that no later section needs to re-justify a decision that traces back to one of these principles — each later section instead cites the relevant principle by name.</w:t>
      </w:r>
    </w:p>
    <w:p>
      <w:pPr>
        <w:pStyle w:val="Heading2"/>
        <w:spacing w:after="80" w:before="240"/>
      </w:pPr>
      <w:r>
        <w:t xml:space="preserve">Enterprise Principles</w:t>
      </w:r>
    </w:p>
    <w:p>
      <w:pPr>
        <w:spacing w:after="150" w:line="276"/>
        <w:jc w:val="both"/>
      </w:pPr>
      <w:r>
        <w:t xml:space="preserve">These are the programme-wide principles that sit above architecture, data, application, and technology concerns — the commitments the whole Blueprint is answerable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80"/>
              <w:left w:type="dxa" w:w="100"/>
              <w:bottom w:type="dxa" w:w="80"/>
              <w:right w:type="dxa" w:w="100"/>
            </w:tcMar>
            <w:vAlign w:val="top"/>
          </w:tcPr>
          <w:p>
            <w:r>
              <w:rPr>
                <w:b/>
                <w:bCs/>
                <w:color w:val="FFFFFF"/>
                <w:sz w:val="18"/>
                <w:szCs w:val="18"/>
              </w:rPr>
              <w:t xml:space="preserve">Principle</w:t>
            </w:r>
          </w:p>
        </w:tc>
        <w:tc>
          <w:tcPr>
            <w:tcW w:type="dxa" w:w="7459"/>
            <w:shd w:fill="1F3864" w:val="clear"/>
            <w:tcMar>
              <w:top w:type="dxa" w:w="80"/>
              <w:left w:type="dxa" w:w="100"/>
              <w:bottom w:type="dxa" w:w="80"/>
              <w:right w:type="dxa" w:w="100"/>
            </w:tcMar>
            <w:vAlign w:val="top"/>
          </w:tcPr>
          <w:p>
            <w:r>
              <w:rPr>
                <w:b/>
                <w:bCs/>
                <w:color w:val="FFFFFF"/>
                <w:sz w:val="18"/>
                <w:szCs w:val="18"/>
              </w:rPr>
              <w:t xml:space="preserve">Statement and Rationale</w:t>
            </w:r>
          </w:p>
        </w:tc>
      </w:tr>
      <w:tr>
        <w:tc>
          <w:tcPr>
            <w:tcW w:type="dxa" w:w="2621"/>
            <w:tcMar>
              <w:top w:type="dxa" w:w="80"/>
              <w:left w:type="dxa" w:w="100"/>
              <w:bottom w:type="dxa" w:w="80"/>
              <w:right w:type="dxa" w:w="100"/>
            </w:tcMar>
            <w:vAlign w:val="top"/>
          </w:tcPr>
          <w:p>
            <w:r>
              <w:rPr>
                <w:b/>
                <w:bCs/>
                <w:color w:val="000000"/>
                <w:sz w:val="18"/>
                <w:szCs w:val="18"/>
              </w:rPr>
              <w:t xml:space="preserve">Business-Driven Architecture</w:t>
            </w:r>
          </w:p>
        </w:tc>
        <w:tc>
          <w:tcPr>
            <w:tcW w:type="dxa" w:w="7459"/>
            <w:tcMar>
              <w:top w:type="dxa" w:w="80"/>
              <w:left w:type="dxa" w:w="100"/>
              <w:bottom w:type="dxa" w:w="80"/>
              <w:right w:type="dxa" w:w="100"/>
            </w:tcMar>
            <w:vAlign w:val="top"/>
          </w:tcPr>
          <w:p>
            <w:r>
              <w:rPr>
                <w:b w:val="false"/>
                <w:bCs w:val="false"/>
                <w:color w:val="000000"/>
                <w:sz w:val="18"/>
                <w:szCs w:val="18"/>
              </w:rPr>
              <w:t xml:space="preserve">Every architectural decision traces to a named TOR requirement or a specific finding in the Client Pain Analysis. No capability is proposed for its own sake.</w:t>
            </w:r>
          </w:p>
        </w:tc>
      </w:tr>
      <w:tr>
        <w:tc>
          <w:tcPr>
            <w:tcW w:type="dxa" w:w="2621"/>
            <w:tcMar>
              <w:top w:type="dxa" w:w="80"/>
              <w:left w:type="dxa" w:w="100"/>
              <w:bottom w:type="dxa" w:w="80"/>
              <w:right w:type="dxa" w:w="100"/>
            </w:tcMar>
            <w:vAlign w:val="top"/>
          </w:tcPr>
          <w:p>
            <w:r>
              <w:rPr>
                <w:b/>
                <w:bCs/>
                <w:color w:val="000000"/>
                <w:sz w:val="18"/>
                <w:szCs w:val="18"/>
              </w:rPr>
              <w:t xml:space="preserve">Two Systems, One Governance</w:t>
            </w:r>
          </w:p>
        </w:tc>
        <w:tc>
          <w:tcPr>
            <w:tcW w:type="dxa" w:w="7459"/>
            <w:tcMar>
              <w:top w:type="dxa" w:w="80"/>
              <w:left w:type="dxa" w:w="100"/>
              <w:bottom w:type="dxa" w:w="80"/>
              <w:right w:type="dxa" w:w="100"/>
            </w:tcMar>
            <w:vAlign w:val="top"/>
          </w:tcPr>
          <w:p>
            <w:r>
              <w:rPr>
                <w:b w:val="false"/>
                <w:bCs w:val="false"/>
                <w:color w:val="000000"/>
                <w:sz w:val="18"/>
                <w:szCs w:val="18"/>
              </w:rPr>
              <w:t xml:space="preserve">ESM and CKR remain independently hosted and access-controlled per TOR Section 4, while sharing one taxonomy, one metadata standard, and one governance charter.</w:t>
            </w:r>
          </w:p>
        </w:tc>
      </w:tr>
      <w:tr>
        <w:tc>
          <w:tcPr>
            <w:tcW w:type="dxa" w:w="2621"/>
            <w:tcMar>
              <w:top w:type="dxa" w:w="80"/>
              <w:left w:type="dxa" w:w="100"/>
              <w:bottom w:type="dxa" w:w="80"/>
              <w:right w:type="dxa" w:w="100"/>
            </w:tcMar>
            <w:vAlign w:val="top"/>
          </w:tcPr>
          <w:p>
            <w:r>
              <w:rPr>
                <w:b/>
                <w:bCs/>
                <w:color w:val="000000"/>
                <w:sz w:val="18"/>
                <w:szCs w:val="18"/>
              </w:rPr>
              <w:t xml:space="preserve">Federated-but-Governed Ownership</w:t>
            </w:r>
          </w:p>
        </w:tc>
        <w:tc>
          <w:tcPr>
            <w:tcW w:type="dxa" w:w="7459"/>
            <w:tcMar>
              <w:top w:type="dxa" w:w="80"/>
              <w:left w:type="dxa" w:w="100"/>
              <w:bottom w:type="dxa" w:w="80"/>
              <w:right w:type="dxa" w:w="100"/>
            </w:tcMar>
            <w:vAlign w:val="top"/>
          </w:tcPr>
          <w:p>
            <w:r>
              <w:rPr>
                <w:b w:val="false"/>
                <w:bCs w:val="false"/>
                <w:color w:val="000000"/>
                <w:sz w:val="18"/>
                <w:szCs w:val="18"/>
              </w:rPr>
              <w:t xml:space="preserve">State teams retain day-to-day content ownership; taxonomy, retention, and lifecycle standards are set once at national level and applied consistently.</w:t>
            </w:r>
          </w:p>
        </w:tc>
      </w:tr>
      <w:tr>
        <w:tc>
          <w:tcPr>
            <w:tcW w:type="dxa" w:w="2621"/>
            <w:tcMar>
              <w:top w:type="dxa" w:w="80"/>
              <w:left w:type="dxa" w:w="100"/>
              <w:bottom w:type="dxa" w:w="80"/>
              <w:right w:type="dxa" w:w="100"/>
            </w:tcMar>
            <w:vAlign w:val="top"/>
          </w:tcPr>
          <w:p>
            <w:r>
              <w:rPr>
                <w:b/>
                <w:bCs/>
                <w:color w:val="000000"/>
                <w:sz w:val="18"/>
                <w:szCs w:val="18"/>
              </w:rPr>
              <w:t xml:space="preserve">Phase Discipline</w:t>
            </w:r>
          </w:p>
        </w:tc>
        <w:tc>
          <w:tcPr>
            <w:tcW w:type="dxa" w:w="7459"/>
            <w:tcMar>
              <w:top w:type="dxa" w:w="80"/>
              <w:left w:type="dxa" w:w="100"/>
              <w:bottom w:type="dxa" w:w="80"/>
              <w:right w:type="dxa" w:w="100"/>
            </w:tcMar>
            <w:vAlign w:val="top"/>
          </w:tcPr>
          <w:p>
            <w:r>
              <w:rPr>
                <w:b w:val="false"/>
                <w:bCs w:val="false"/>
                <w:color w:val="000000"/>
                <w:sz w:val="18"/>
                <w:szCs w:val="18"/>
              </w:rPr>
              <w:t xml:space="preserve">The TOR-mandated Phase 1 baseline is delivered in full within twelve weeks. Value-added capability is proposed as an explicit, separately costed Phase 2 roadmap — never folded silently into Phase 1.</w:t>
            </w:r>
          </w:p>
        </w:tc>
      </w:tr>
      <w:tr>
        <w:tc>
          <w:tcPr>
            <w:tcW w:type="dxa" w:w="2621"/>
            <w:tcMar>
              <w:top w:type="dxa" w:w="80"/>
              <w:left w:type="dxa" w:w="100"/>
              <w:bottom w:type="dxa" w:w="80"/>
              <w:right w:type="dxa" w:w="100"/>
            </w:tcMar>
            <w:vAlign w:val="top"/>
          </w:tcPr>
          <w:p>
            <w:r>
              <w:rPr>
                <w:b/>
                <w:bCs/>
                <w:color w:val="000000"/>
                <w:sz w:val="18"/>
                <w:szCs w:val="18"/>
              </w:rPr>
              <w:t xml:space="preserve">Sustainability Beyond Engagement</w:t>
            </w:r>
          </w:p>
        </w:tc>
        <w:tc>
          <w:tcPr>
            <w:tcW w:type="dxa" w:w="7459"/>
            <w:tcMar>
              <w:top w:type="dxa" w:w="80"/>
              <w:left w:type="dxa" w:w="100"/>
              <w:bottom w:type="dxa" w:w="80"/>
              <w:right w:type="dxa" w:w="100"/>
            </w:tcMar>
            <w:vAlign w:val="top"/>
          </w:tcPr>
          <w:p>
            <w:r>
              <w:rPr>
                <w:b w:val="false"/>
                <w:bCs w:val="false"/>
                <w:color w:val="000000"/>
                <w:sz w:val="18"/>
                <w:szCs w:val="18"/>
              </w:rPr>
              <w:t xml:space="preserve">The architecture and governance model must keep functioning after the consultant's twelve-week engagement ends, not only at go-live.</w:t>
            </w:r>
          </w:p>
        </w:tc>
      </w:tr>
      <w:tr>
        <w:tc>
          <w:tcPr>
            <w:tcW w:type="dxa" w:w="2621"/>
            <w:tcMar>
              <w:top w:type="dxa" w:w="80"/>
              <w:left w:type="dxa" w:w="100"/>
              <w:bottom w:type="dxa" w:w="80"/>
              <w:right w:type="dxa" w:w="100"/>
            </w:tcMar>
            <w:vAlign w:val="top"/>
          </w:tcPr>
          <w:p>
            <w:r>
              <w:rPr>
                <w:b/>
                <w:bCs/>
                <w:color w:val="000000"/>
                <w:sz w:val="18"/>
                <w:szCs w:val="18"/>
              </w:rPr>
              <w:t xml:space="preserve">Evidence-Based Design</w:t>
            </w:r>
          </w:p>
        </w:tc>
        <w:tc>
          <w:tcPr>
            <w:tcW w:type="dxa" w:w="7459"/>
            <w:tcMar>
              <w:top w:type="dxa" w:w="80"/>
              <w:left w:type="dxa" w:w="100"/>
              <w:bottom w:type="dxa" w:w="80"/>
              <w:right w:type="dxa" w:w="100"/>
            </w:tcMar>
            <w:vAlign w:val="top"/>
          </w:tcPr>
          <w:p>
            <w:r>
              <w:rPr>
                <w:b w:val="false"/>
                <w:bCs w:val="false"/>
                <w:color w:val="000000"/>
                <w:sz w:val="18"/>
                <w:szCs w:val="18"/>
              </w:rPr>
              <w:t xml:space="preserve">Every capability proposed in this Blueprint is mapped to a specific, named pain point already identified in Phase 1 analysis.</w:t>
            </w:r>
          </w:p>
        </w:tc>
      </w:tr>
    </w:tbl>
    <w:p>
      <w:pPr>
        <w:spacing w:after="140"/>
      </w:pPr>
    </w:p>
    <w:p>
      <w:pPr>
        <w:pStyle w:val="Heading2"/>
        <w:spacing w:after="80" w:before="240"/>
      </w:pPr>
      <w:r>
        <w:t xml:space="preserve">Architecture Principles</w:t>
      </w:r>
    </w:p>
    <w:p>
      <w:pPr>
        <w:spacing w:after="150" w:line="276"/>
        <w:jc w:val="both"/>
      </w:pPr>
      <w:r>
        <w:t xml:space="preserve">Adapted from TOGAF's standard architecture-principle categories — business, data, application, and technology — to this programme's specific context.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80"/>
              <w:left w:type="dxa" w:w="100"/>
              <w:bottom w:type="dxa" w:w="80"/>
              <w:right w:type="dxa" w:w="100"/>
            </w:tcMar>
            <w:vAlign w:val="top"/>
          </w:tcPr>
          <w:p>
            <w:r>
              <w:rPr>
                <w:b/>
                <w:bCs/>
                <w:color w:val="FFFFFF"/>
                <w:sz w:val="18"/>
                <w:szCs w:val="18"/>
              </w:rPr>
              <w:t xml:space="preserve">Principle</w:t>
            </w:r>
          </w:p>
        </w:tc>
        <w:tc>
          <w:tcPr>
            <w:tcW w:type="dxa" w:w="7459"/>
            <w:shd w:fill="1F3864" w:val="clear"/>
            <w:tcMar>
              <w:top w:type="dxa" w:w="80"/>
              <w:left w:type="dxa" w:w="100"/>
              <w:bottom w:type="dxa" w:w="80"/>
              <w:right w:type="dxa" w:w="100"/>
            </w:tcMar>
            <w:vAlign w:val="top"/>
          </w:tcPr>
          <w:p>
            <w:r>
              <w:rPr>
                <w:b/>
                <w:bCs/>
                <w:color w:val="FFFFFF"/>
                <w:sz w:val="18"/>
                <w:szCs w:val="18"/>
              </w:rPr>
              <w:t xml:space="preserve">Statement and Rationale</w:t>
            </w:r>
          </w:p>
        </w:tc>
      </w:tr>
      <w:tr>
        <w:tc>
          <w:tcPr>
            <w:tcW w:type="dxa" w:w="2621"/>
            <w:tcMar>
              <w:top w:type="dxa" w:w="80"/>
              <w:left w:type="dxa" w:w="100"/>
              <w:bottom w:type="dxa" w:w="80"/>
              <w:right w:type="dxa" w:w="100"/>
            </w:tcMar>
            <w:vAlign w:val="top"/>
          </w:tcPr>
          <w:p>
            <w:r>
              <w:rPr>
                <w:b/>
                <w:bCs/>
                <w:color w:val="000000"/>
                <w:sz w:val="18"/>
                <w:szCs w:val="18"/>
              </w:rPr>
              <w:t xml:space="preserve">Primacy of Principles</w:t>
            </w:r>
          </w:p>
        </w:tc>
        <w:tc>
          <w:tcPr>
            <w:tcW w:type="dxa" w:w="7459"/>
            <w:tcMar>
              <w:top w:type="dxa" w:w="80"/>
              <w:left w:type="dxa" w:w="100"/>
              <w:bottom w:type="dxa" w:w="80"/>
              <w:right w:type="dxa" w:w="100"/>
            </w:tcMar>
            <w:vAlign w:val="top"/>
          </w:tcPr>
          <w:p>
            <w:r>
              <w:rPr>
                <w:b w:val="false"/>
                <w:bCs w:val="false"/>
                <w:color w:val="000000"/>
                <w:sz w:val="18"/>
                <w:szCs w:val="18"/>
              </w:rPr>
              <w:t xml:space="preserve">These architecture principles apply enterprise-wide; any exception requires explicit Enterprise Architecture Review Board approval, not silent deviation during build.</w:t>
            </w:r>
          </w:p>
        </w:tc>
      </w:tr>
      <w:tr>
        <w:tc>
          <w:tcPr>
            <w:tcW w:type="dxa" w:w="2621"/>
            <w:tcMar>
              <w:top w:type="dxa" w:w="80"/>
              <w:left w:type="dxa" w:w="100"/>
              <w:bottom w:type="dxa" w:w="80"/>
              <w:right w:type="dxa" w:w="100"/>
            </w:tcMar>
            <w:vAlign w:val="top"/>
          </w:tcPr>
          <w:p>
            <w:r>
              <w:rPr>
                <w:b/>
                <w:bCs/>
                <w:color w:val="000000"/>
                <w:sz w:val="18"/>
                <w:szCs w:val="18"/>
              </w:rPr>
              <w:t xml:space="preserve">Maximize Benefit to the Enterprise</w:t>
            </w:r>
          </w:p>
        </w:tc>
        <w:tc>
          <w:tcPr>
            <w:tcW w:type="dxa" w:w="7459"/>
            <w:tcMar>
              <w:top w:type="dxa" w:w="80"/>
              <w:left w:type="dxa" w:w="100"/>
              <w:bottom w:type="dxa" w:w="80"/>
              <w:right w:type="dxa" w:w="100"/>
            </w:tcMar>
            <w:vAlign w:val="top"/>
          </w:tcPr>
          <w:p>
            <w:r>
              <w:rPr>
                <w:b w:val="false"/>
                <w:bCs w:val="false"/>
                <w:color w:val="000000"/>
                <w:sz w:val="18"/>
                <w:szCs w:val="18"/>
              </w:rPr>
              <w:t xml:space="preserve">Configuration of a mature platform is preferred over bespoke development, so the fixed schedule is spent on adoption, not building document-management primitives from scratch.</w:t>
            </w:r>
          </w:p>
        </w:tc>
      </w:tr>
      <w:tr>
        <w:tc>
          <w:tcPr>
            <w:tcW w:type="dxa" w:w="2621"/>
            <w:tcMar>
              <w:top w:type="dxa" w:w="80"/>
              <w:left w:type="dxa" w:w="100"/>
              <w:bottom w:type="dxa" w:w="80"/>
              <w:right w:type="dxa" w:w="100"/>
            </w:tcMar>
            <w:vAlign w:val="top"/>
          </w:tcPr>
          <w:p>
            <w:r>
              <w:rPr>
                <w:b/>
                <w:bCs/>
                <w:color w:val="000000"/>
                <w:sz w:val="18"/>
                <w:szCs w:val="18"/>
              </w:rPr>
              <w:t xml:space="preserve">Common-Use Applications</w:t>
            </w:r>
          </w:p>
        </w:tc>
        <w:tc>
          <w:tcPr>
            <w:tcW w:type="dxa" w:w="7459"/>
            <w:tcMar>
              <w:top w:type="dxa" w:w="80"/>
              <w:left w:type="dxa" w:w="100"/>
              <w:bottom w:type="dxa" w:w="80"/>
              <w:right w:type="dxa" w:w="100"/>
            </w:tcMar>
            <w:vAlign w:val="top"/>
          </w:tcPr>
          <w:p>
            <w:r>
              <w:rPr>
                <w:b w:val="false"/>
                <w:bCs w:val="false"/>
                <w:color w:val="000000"/>
                <w:sz w:val="18"/>
                <w:szCs w:val="18"/>
              </w:rPr>
              <w:t xml:space="preserve">One configurable workflow engine serves all four named document types — work plans, reports, memos, procurement — rather than four separate builds.</w:t>
            </w:r>
          </w:p>
        </w:tc>
      </w:tr>
      <w:tr>
        <w:tc>
          <w:tcPr>
            <w:tcW w:type="dxa" w:w="2621"/>
            <w:tcMar>
              <w:top w:type="dxa" w:w="80"/>
              <w:left w:type="dxa" w:w="100"/>
              <w:bottom w:type="dxa" w:w="80"/>
              <w:right w:type="dxa" w:w="100"/>
            </w:tcMar>
            <w:vAlign w:val="top"/>
          </w:tcPr>
          <w:p>
            <w:r>
              <w:rPr>
                <w:b/>
                <w:bCs/>
                <w:color w:val="000000"/>
                <w:sz w:val="18"/>
                <w:szCs w:val="18"/>
              </w:rPr>
              <w:t xml:space="preserve">Data Is a Shared Asset</w:t>
            </w:r>
          </w:p>
        </w:tc>
        <w:tc>
          <w:tcPr>
            <w:tcW w:type="dxa" w:w="7459"/>
            <w:tcMar>
              <w:top w:type="dxa" w:w="80"/>
              <w:left w:type="dxa" w:w="100"/>
              <w:bottom w:type="dxa" w:w="80"/>
              <w:right w:type="dxa" w:w="100"/>
            </w:tcMar>
            <w:vAlign w:val="top"/>
          </w:tcPr>
          <w:p>
            <w:r>
              <w:rPr>
                <w:b w:val="false"/>
                <w:bCs w:val="false"/>
                <w:color w:val="000000"/>
                <w:sz w:val="18"/>
                <w:szCs w:val="18"/>
              </w:rPr>
              <w:t xml:space="preserve">A single taxonomy and metadata standard spans both ESM and CKR, so information is structured once and reused, not redefined system by system.</w:t>
            </w:r>
          </w:p>
        </w:tc>
      </w:tr>
      <w:tr>
        <w:tc>
          <w:tcPr>
            <w:tcW w:type="dxa" w:w="2621"/>
            <w:tcMar>
              <w:top w:type="dxa" w:w="80"/>
              <w:left w:type="dxa" w:w="100"/>
              <w:bottom w:type="dxa" w:w="80"/>
              <w:right w:type="dxa" w:w="100"/>
            </w:tcMar>
            <w:vAlign w:val="top"/>
          </w:tcPr>
          <w:p>
            <w:r>
              <w:rPr>
                <w:b/>
                <w:bCs/>
                <w:color w:val="000000"/>
                <w:sz w:val="18"/>
                <w:szCs w:val="18"/>
              </w:rPr>
              <w:t xml:space="preserve">Designed for Its Audience</w:t>
            </w:r>
          </w:p>
        </w:tc>
        <w:tc>
          <w:tcPr>
            <w:tcW w:type="dxa" w:w="7459"/>
            <w:tcMar>
              <w:top w:type="dxa" w:w="80"/>
              <w:left w:type="dxa" w:w="100"/>
              <w:bottom w:type="dxa" w:w="80"/>
              <w:right w:type="dxa" w:w="100"/>
            </w:tcMar>
            <w:vAlign w:val="top"/>
          </w:tcPr>
          <w:p>
            <w:r>
              <w:rPr>
                <w:b w:val="false"/>
                <w:bCs w:val="false"/>
                <w:color w:val="000000"/>
                <w:sz w:val="18"/>
                <w:szCs w:val="18"/>
              </w:rPr>
              <w:t xml:space="preserve">Every user-facing capability, especially dashboards, is designed around what its specific stakeholder group needs to decide, not simply around what data happens to be available.</w:t>
            </w:r>
          </w:p>
        </w:tc>
      </w:tr>
      <w:tr>
        <w:tc>
          <w:tcPr>
            <w:tcW w:type="dxa" w:w="2621"/>
            <w:tcMar>
              <w:top w:type="dxa" w:w="80"/>
              <w:left w:type="dxa" w:w="100"/>
              <w:bottom w:type="dxa" w:w="80"/>
              <w:right w:type="dxa" w:w="100"/>
            </w:tcMar>
            <w:vAlign w:val="top"/>
          </w:tcPr>
          <w:p>
            <w:r>
              <w:rPr>
                <w:b/>
                <w:bCs/>
                <w:color w:val="000000"/>
                <w:sz w:val="18"/>
                <w:szCs w:val="18"/>
              </w:rPr>
              <w:t xml:space="preserve">Technology Independence</w:t>
            </w:r>
          </w:p>
        </w:tc>
        <w:tc>
          <w:tcPr>
            <w:tcW w:type="dxa" w:w="7459"/>
            <w:tcMar>
              <w:top w:type="dxa" w:w="80"/>
              <w:left w:type="dxa" w:w="100"/>
              <w:bottom w:type="dxa" w:w="80"/>
              <w:right w:type="dxa" w:w="100"/>
            </w:tcMar>
            <w:vAlign w:val="top"/>
          </w:tcPr>
          <w:p>
            <w:r>
              <w:rPr>
                <w:b w:val="false"/>
                <w:bCs w:val="false"/>
                <w:color w:val="000000"/>
                <w:sz w:val="18"/>
                <w:szCs w:val="18"/>
              </w:rPr>
              <w:t xml:space="preserve">The architecture takes a platform-neutral position; no single vendor's product is presumed as the solution ahead of the Weeks 1–2 requirements analysis.</w:t>
            </w:r>
          </w:p>
        </w:tc>
      </w:tr>
      <w:tr>
        <w:tc>
          <w:tcPr>
            <w:tcW w:type="dxa" w:w="2621"/>
            <w:tcMar>
              <w:top w:type="dxa" w:w="80"/>
              <w:left w:type="dxa" w:w="100"/>
              <w:bottom w:type="dxa" w:w="80"/>
              <w:right w:type="dxa" w:w="100"/>
            </w:tcMar>
            <w:vAlign w:val="top"/>
          </w:tcPr>
          <w:p>
            <w:r>
              <w:rPr>
                <w:b/>
                <w:bCs/>
                <w:color w:val="000000"/>
                <w:sz w:val="18"/>
                <w:szCs w:val="18"/>
              </w:rPr>
              <w:t xml:space="preserve">Interoperability at Governed Edges</w:t>
            </w:r>
          </w:p>
        </w:tc>
        <w:tc>
          <w:tcPr>
            <w:tcW w:type="dxa" w:w="7459"/>
            <w:tcMar>
              <w:top w:type="dxa" w:w="80"/>
              <w:left w:type="dxa" w:w="100"/>
              <w:bottom w:type="dxa" w:w="80"/>
              <w:right w:type="dxa" w:w="100"/>
            </w:tcMar>
            <w:vAlign w:val="top"/>
          </w:tcPr>
          <w:p>
            <w:r>
              <w:rPr>
                <w:b w:val="false"/>
                <w:bCs w:val="false"/>
                <w:color w:val="000000"/>
                <w:sz w:val="18"/>
                <w:szCs w:val="18"/>
              </w:rPr>
              <w:t xml:space="preserve">Systems connect only through clearly documented interfaces at defined integration points, each governed by the same charter, preventing ad hoc data duplication.</w:t>
            </w:r>
          </w:p>
        </w:tc>
      </w:tr>
      <w:tr>
        <w:tc>
          <w:tcPr>
            <w:tcW w:type="dxa" w:w="2621"/>
            <w:tcMar>
              <w:top w:type="dxa" w:w="80"/>
              <w:left w:type="dxa" w:w="100"/>
              <w:bottom w:type="dxa" w:w="80"/>
              <w:right w:type="dxa" w:w="100"/>
            </w:tcMar>
            <w:vAlign w:val="top"/>
          </w:tcPr>
          <w:p>
            <w:r>
              <w:rPr>
                <w:b/>
                <w:bCs/>
                <w:color w:val="000000"/>
                <w:sz w:val="18"/>
                <w:szCs w:val="18"/>
              </w:rPr>
              <w:t xml:space="preserve">Security by Design</w:t>
            </w:r>
          </w:p>
        </w:tc>
        <w:tc>
          <w:tcPr>
            <w:tcW w:type="dxa" w:w="7459"/>
            <w:tcMar>
              <w:top w:type="dxa" w:w="80"/>
              <w:left w:type="dxa" w:w="100"/>
              <w:bottom w:type="dxa" w:w="80"/>
              <w:right w:type="dxa" w:w="100"/>
            </w:tcMar>
            <w:vAlign w:val="top"/>
          </w:tcPr>
          <w:p>
            <w:r>
              <w:rPr>
                <w:b w:val="false"/>
                <w:bCs w:val="false"/>
                <w:color w:val="000000"/>
                <w:sz w:val="18"/>
                <w:szCs w:val="18"/>
              </w:rPr>
              <w:t xml:space="preserve">Role-based access control, multi-factor authentication, and encryption are the technical baseline from the outset, anchored to the ESM/CKR access boundary as the architecture's central control.</w:t>
            </w:r>
          </w:p>
        </w:tc>
      </w:tr>
    </w:tbl>
    <w:p>
      <w:pPr>
        <w:spacing w:after="140"/>
      </w:pPr>
    </w:p>
    <w:p>
      <w:pPr>
        <w:pStyle w:val="Heading2"/>
        <w:spacing w:after="80" w:before="240"/>
      </w:pPr>
      <w:r>
        <w:t xml:space="preserve">Digital Government Principles</w:t>
      </w:r>
    </w:p>
    <w:p>
      <w:pPr>
        <w:spacing w:after="150" w:line="276"/>
        <w:jc w:val="both"/>
      </w:pPr>
      <w:r>
        <w:t xml:space="preserve">Principles drawn from international digital-government practice, applied to a multi-state, donor-co-financed public programme rather than a citizen-facing e-government portal.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80"/>
              <w:left w:type="dxa" w:w="100"/>
              <w:bottom w:type="dxa" w:w="80"/>
              <w:right w:type="dxa" w:w="100"/>
            </w:tcMar>
            <w:vAlign w:val="top"/>
          </w:tcPr>
          <w:p>
            <w:r>
              <w:rPr>
                <w:b/>
                <w:bCs/>
                <w:color w:val="FFFFFF"/>
                <w:sz w:val="18"/>
                <w:szCs w:val="18"/>
              </w:rPr>
              <w:t xml:space="preserve">Principle</w:t>
            </w:r>
          </w:p>
        </w:tc>
        <w:tc>
          <w:tcPr>
            <w:tcW w:type="dxa" w:w="7459"/>
            <w:shd w:fill="1F3864" w:val="clear"/>
            <w:tcMar>
              <w:top w:type="dxa" w:w="80"/>
              <w:left w:type="dxa" w:w="100"/>
              <w:bottom w:type="dxa" w:w="80"/>
              <w:right w:type="dxa" w:w="100"/>
            </w:tcMar>
            <w:vAlign w:val="top"/>
          </w:tcPr>
          <w:p>
            <w:r>
              <w:rPr>
                <w:b/>
                <w:bCs/>
                <w:color w:val="FFFFFF"/>
                <w:sz w:val="18"/>
                <w:szCs w:val="18"/>
              </w:rPr>
              <w:t xml:space="preserve">Statement and Rationale</w:t>
            </w:r>
          </w:p>
        </w:tc>
      </w:tr>
      <w:tr>
        <w:tc>
          <w:tcPr>
            <w:tcW w:type="dxa" w:w="2621"/>
            <w:tcMar>
              <w:top w:type="dxa" w:w="80"/>
              <w:left w:type="dxa" w:w="100"/>
              <w:bottom w:type="dxa" w:w="80"/>
              <w:right w:type="dxa" w:w="100"/>
            </w:tcMar>
            <w:vAlign w:val="top"/>
          </w:tcPr>
          <w:p>
            <w:r>
              <w:rPr>
                <w:b/>
                <w:bCs/>
                <w:color w:val="000000"/>
                <w:sz w:val="18"/>
                <w:szCs w:val="18"/>
              </w:rPr>
              <w:t xml:space="preserve">Once-Only Principle</w:t>
            </w:r>
          </w:p>
        </w:tc>
        <w:tc>
          <w:tcPr>
            <w:tcW w:type="dxa" w:w="7459"/>
            <w:tcMar>
              <w:top w:type="dxa" w:w="80"/>
              <w:left w:type="dxa" w:w="100"/>
              <w:bottom w:type="dxa" w:w="80"/>
              <w:right w:type="dxa" w:w="100"/>
            </w:tcMar>
            <w:vAlign w:val="top"/>
          </w:tcPr>
          <w:p>
            <w:r>
              <w:rPr>
                <w:b w:val="false"/>
                <w:bCs w:val="false"/>
                <w:color w:val="000000"/>
                <w:sz w:val="18"/>
                <w:szCs w:val="18"/>
              </w:rPr>
              <w:t xml:space="preserve">Content and data are captured once and reused across workflows and reports, rather than re-entered at each stage or by each state.</w:t>
            </w:r>
          </w:p>
        </w:tc>
      </w:tr>
      <w:tr>
        <w:tc>
          <w:tcPr>
            <w:tcW w:type="dxa" w:w="2621"/>
            <w:tcMar>
              <w:top w:type="dxa" w:w="80"/>
              <w:left w:type="dxa" w:w="100"/>
              <w:bottom w:type="dxa" w:w="80"/>
              <w:right w:type="dxa" w:w="100"/>
            </w:tcMar>
            <w:vAlign w:val="top"/>
          </w:tcPr>
          <w:p>
            <w:r>
              <w:rPr>
                <w:b/>
                <w:bCs/>
                <w:color w:val="000000"/>
                <w:sz w:val="18"/>
                <w:szCs w:val="18"/>
              </w:rPr>
              <w:t xml:space="preserve">Interoperability by Default</w:t>
            </w:r>
          </w:p>
        </w:tc>
        <w:tc>
          <w:tcPr>
            <w:tcW w:type="dxa" w:w="7459"/>
            <w:tcMar>
              <w:top w:type="dxa" w:w="80"/>
              <w:left w:type="dxa" w:w="100"/>
              <w:bottom w:type="dxa" w:w="80"/>
              <w:right w:type="dxa" w:w="100"/>
            </w:tcMar>
            <w:vAlign w:val="top"/>
          </w:tcPr>
          <w:p>
            <w:r>
              <w:rPr>
                <w:b w:val="false"/>
                <w:bCs w:val="false"/>
                <w:color w:val="000000"/>
                <w:sz w:val="18"/>
                <w:szCs w:val="18"/>
              </w:rPr>
              <w:t xml:space="preserve">Integration points use open, documented interfaces; no proprietary lock-in is introduced at any governed edge.</w:t>
            </w:r>
          </w:p>
        </w:tc>
      </w:tr>
      <w:tr>
        <w:tc>
          <w:tcPr>
            <w:tcW w:type="dxa" w:w="2621"/>
            <w:tcMar>
              <w:top w:type="dxa" w:w="80"/>
              <w:left w:type="dxa" w:w="100"/>
              <w:bottom w:type="dxa" w:w="80"/>
              <w:right w:type="dxa" w:w="100"/>
            </w:tcMar>
            <w:vAlign w:val="top"/>
          </w:tcPr>
          <w:p>
            <w:r>
              <w:rPr>
                <w:b/>
                <w:bCs/>
                <w:color w:val="000000"/>
                <w:sz w:val="18"/>
                <w:szCs w:val="18"/>
              </w:rPr>
              <w:t xml:space="preserve">Whole-of-Programme View</w:t>
            </w:r>
          </w:p>
        </w:tc>
        <w:tc>
          <w:tcPr>
            <w:tcW w:type="dxa" w:w="7459"/>
            <w:tcMar>
              <w:top w:type="dxa" w:w="80"/>
              <w:left w:type="dxa" w:w="100"/>
              <w:bottom w:type="dxa" w:w="80"/>
              <w:right w:type="dxa" w:w="100"/>
            </w:tcMar>
            <w:vAlign w:val="top"/>
          </w:tcPr>
          <w:p>
            <w:r>
              <w:rPr>
                <w:b w:val="false"/>
                <w:bCs w:val="false"/>
                <w:color w:val="000000"/>
                <w:sz w:val="18"/>
                <w:szCs w:val="18"/>
              </w:rPr>
              <w:t xml:space="preserve">The architecture spans all seven states and the FCT under one national standard, rather than allowing per-state silos to persist inside a shared system.</w:t>
            </w:r>
          </w:p>
        </w:tc>
      </w:tr>
      <w:tr>
        <w:tc>
          <w:tcPr>
            <w:tcW w:type="dxa" w:w="2621"/>
            <w:tcMar>
              <w:top w:type="dxa" w:w="80"/>
              <w:left w:type="dxa" w:w="100"/>
              <w:bottom w:type="dxa" w:w="80"/>
              <w:right w:type="dxa" w:w="100"/>
            </w:tcMar>
            <w:vAlign w:val="top"/>
          </w:tcPr>
          <w:p>
            <w:r>
              <w:rPr>
                <w:b/>
                <w:bCs/>
                <w:color w:val="000000"/>
                <w:sz w:val="18"/>
                <w:szCs w:val="18"/>
              </w:rPr>
              <w:t xml:space="preserve">Transparency and Accountability</w:t>
            </w:r>
          </w:p>
        </w:tc>
        <w:tc>
          <w:tcPr>
            <w:tcW w:type="dxa" w:w="7459"/>
            <w:tcMar>
              <w:top w:type="dxa" w:w="80"/>
              <w:left w:type="dxa" w:w="100"/>
              <w:bottom w:type="dxa" w:w="80"/>
              <w:right w:type="dxa" w:w="100"/>
            </w:tcMar>
            <w:vAlign w:val="top"/>
          </w:tcPr>
          <w:p>
            <w:r>
              <w:rPr>
                <w:b w:val="false"/>
                <w:bCs w:val="false"/>
                <w:color w:val="000000"/>
                <w:sz w:val="18"/>
                <w:szCs w:val="18"/>
              </w:rPr>
              <w:t xml:space="preserve">Full, system-enforced audit trails on every governed workflow give the National Programme Coordination Office and its co-financing donors verifiable oversight.</w:t>
            </w:r>
          </w:p>
        </w:tc>
      </w:tr>
      <w:tr>
        <w:tc>
          <w:tcPr>
            <w:tcW w:type="dxa" w:w="2621"/>
            <w:tcMar>
              <w:top w:type="dxa" w:w="80"/>
              <w:left w:type="dxa" w:w="100"/>
              <w:bottom w:type="dxa" w:w="80"/>
              <w:right w:type="dxa" w:w="100"/>
            </w:tcMar>
            <w:vAlign w:val="top"/>
          </w:tcPr>
          <w:p>
            <w:r>
              <w:rPr>
                <w:b/>
                <w:bCs/>
                <w:color w:val="000000"/>
                <w:sz w:val="18"/>
                <w:szCs w:val="18"/>
              </w:rPr>
              <w:t xml:space="preserve">Inclusive Access</w:t>
            </w:r>
          </w:p>
        </w:tc>
        <w:tc>
          <w:tcPr>
            <w:tcW w:type="dxa" w:w="7459"/>
            <w:tcMar>
              <w:top w:type="dxa" w:w="80"/>
              <w:left w:type="dxa" w:w="100"/>
              <w:bottom w:type="dxa" w:w="80"/>
              <w:right w:type="dxa" w:w="100"/>
            </w:tcMar>
            <w:vAlign w:val="top"/>
          </w:tcPr>
          <w:p>
            <w:r>
              <w:rPr>
                <w:b w:val="false"/>
                <w:bCs w:val="false"/>
                <w:color w:val="000000"/>
                <w:sz w:val="18"/>
                <w:szCs w:val="18"/>
              </w:rPr>
              <w:t xml:space="preserve">The architecture is designed for every stakeholder group the TOR names explicitly: federal and state institutions, private sector, community organizations, women, and youth.</w:t>
            </w:r>
          </w:p>
        </w:tc>
      </w:tr>
      <w:tr>
        <w:tc>
          <w:tcPr>
            <w:tcW w:type="dxa" w:w="2621"/>
            <w:tcMar>
              <w:top w:type="dxa" w:w="80"/>
              <w:left w:type="dxa" w:w="100"/>
              <w:bottom w:type="dxa" w:w="80"/>
              <w:right w:type="dxa" w:w="100"/>
            </w:tcMar>
            <w:vAlign w:val="top"/>
          </w:tcPr>
          <w:p>
            <w:r>
              <w:rPr>
                <w:b/>
                <w:bCs/>
                <w:color w:val="000000"/>
                <w:sz w:val="18"/>
                <w:szCs w:val="18"/>
              </w:rPr>
              <w:t xml:space="preserve">Resilience Under Real-World Constraints</w:t>
            </w:r>
          </w:p>
        </w:tc>
        <w:tc>
          <w:tcPr>
            <w:tcW w:type="dxa" w:w="7459"/>
            <w:tcMar>
              <w:top w:type="dxa" w:w="80"/>
              <w:left w:type="dxa" w:w="100"/>
              <w:bottom w:type="dxa" w:w="80"/>
              <w:right w:type="dxa" w:w="100"/>
            </w:tcMar>
            <w:vAlign w:val="top"/>
          </w:tcPr>
          <w:p>
            <w:r>
              <w:rPr>
                <w:b w:val="false"/>
                <w:bCs w:val="false"/>
                <w:color w:val="000000"/>
                <w:sz w:val="18"/>
                <w:szCs w:val="18"/>
              </w:rPr>
              <w:t xml:space="preserve">Dashboards commit to real-time refresh where infrastructure supports it and a clearly flagged near-real-time fallback elsewhere, reflecting genuine network variability across seven states rather than an unmet uniform promise.</w:t>
            </w:r>
          </w:p>
        </w:tc>
      </w:tr>
    </w:tbl>
    <w:p>
      <w:pPr>
        <w:spacing w:after="140"/>
      </w:pPr>
    </w:p>
    <w:p>
      <w:pPr>
        <w:pStyle w:val="Heading2"/>
        <w:spacing w:after="80" w:before="240"/>
      </w:pPr>
      <w:r>
        <w:t xml:space="preserve">Knowledge Management Principles</w:t>
      </w:r>
    </w:p>
    <w:p>
      <w:pPr>
        <w:spacing w:after="150" w:line="276"/>
        <w:jc w:val="both"/>
      </w:pPr>
      <w:r>
        <w:t xml:space="preserve">Principles governing how CKR functions as institutional memory rather than as a passive document library.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80"/>
              <w:left w:type="dxa" w:w="100"/>
              <w:bottom w:type="dxa" w:w="80"/>
              <w:right w:type="dxa" w:w="100"/>
            </w:tcMar>
            <w:vAlign w:val="top"/>
          </w:tcPr>
          <w:p>
            <w:r>
              <w:rPr>
                <w:b/>
                <w:bCs/>
                <w:color w:val="FFFFFF"/>
                <w:sz w:val="18"/>
                <w:szCs w:val="18"/>
              </w:rPr>
              <w:t xml:space="preserve">Principle</w:t>
            </w:r>
          </w:p>
        </w:tc>
        <w:tc>
          <w:tcPr>
            <w:tcW w:type="dxa" w:w="7459"/>
            <w:shd w:fill="1F3864" w:val="clear"/>
            <w:tcMar>
              <w:top w:type="dxa" w:w="80"/>
              <w:left w:type="dxa" w:w="100"/>
              <w:bottom w:type="dxa" w:w="80"/>
              <w:right w:type="dxa" w:w="100"/>
            </w:tcMar>
            <w:vAlign w:val="top"/>
          </w:tcPr>
          <w:p>
            <w:r>
              <w:rPr>
                <w:b/>
                <w:bCs/>
                <w:color w:val="FFFFFF"/>
                <w:sz w:val="18"/>
                <w:szCs w:val="18"/>
              </w:rPr>
              <w:t xml:space="preserve">Statement and Rationale</w:t>
            </w:r>
          </w:p>
        </w:tc>
      </w:tr>
      <w:tr>
        <w:tc>
          <w:tcPr>
            <w:tcW w:type="dxa" w:w="2621"/>
            <w:tcMar>
              <w:top w:type="dxa" w:w="80"/>
              <w:left w:type="dxa" w:w="100"/>
              <w:bottom w:type="dxa" w:w="80"/>
              <w:right w:type="dxa" w:w="100"/>
            </w:tcMar>
            <w:vAlign w:val="top"/>
          </w:tcPr>
          <w:p>
            <w:r>
              <w:rPr>
                <w:b/>
                <w:bCs/>
                <w:color w:val="000000"/>
                <w:sz w:val="18"/>
                <w:szCs w:val="18"/>
              </w:rPr>
              <w:t xml:space="preserve">Full KM Lifecycle</w:t>
            </w:r>
          </w:p>
        </w:tc>
        <w:tc>
          <w:tcPr>
            <w:tcW w:type="dxa" w:w="7459"/>
            <w:tcMar>
              <w:top w:type="dxa" w:w="80"/>
              <w:left w:type="dxa" w:w="100"/>
              <w:bottom w:type="dxa" w:w="80"/>
              <w:right w:type="dxa" w:w="100"/>
            </w:tcMar>
            <w:vAlign w:val="top"/>
          </w:tcPr>
          <w:p>
            <w:r>
              <w:rPr>
                <w:b w:val="false"/>
                <w:bCs w:val="false"/>
                <w:color w:val="000000"/>
                <w:sz w:val="18"/>
                <w:szCs w:val="18"/>
              </w:rPr>
              <w:t xml:space="preserve">Knowledge management follows capture, curation, dissemination, and reuse as four distinct stages, each with a named owner — not a single upload step.</w:t>
            </w:r>
          </w:p>
        </w:tc>
      </w:tr>
      <w:tr>
        <w:tc>
          <w:tcPr>
            <w:tcW w:type="dxa" w:w="2621"/>
            <w:tcMar>
              <w:top w:type="dxa" w:w="80"/>
              <w:left w:type="dxa" w:w="100"/>
              <w:bottom w:type="dxa" w:w="80"/>
              <w:right w:type="dxa" w:w="100"/>
            </w:tcMar>
            <w:vAlign w:val="top"/>
          </w:tcPr>
          <w:p>
            <w:r>
              <w:rPr>
                <w:b/>
                <w:bCs/>
                <w:color w:val="000000"/>
                <w:sz w:val="18"/>
                <w:szCs w:val="18"/>
              </w:rPr>
              <w:t xml:space="preserve">Stewardship, Not Just Storage</w:t>
            </w:r>
          </w:p>
        </w:tc>
        <w:tc>
          <w:tcPr>
            <w:tcW w:type="dxa" w:w="7459"/>
            <w:tcMar>
              <w:top w:type="dxa" w:w="80"/>
              <w:left w:type="dxa" w:w="100"/>
              <w:bottom w:type="dxa" w:w="80"/>
              <w:right w:type="dxa" w:w="100"/>
            </w:tcMar>
            <w:vAlign w:val="top"/>
          </w:tcPr>
          <w:p>
            <w:r>
              <w:rPr>
                <w:b w:val="false"/>
                <w:bCs w:val="false"/>
                <w:color w:val="000000"/>
                <w:sz w:val="18"/>
                <w:szCs w:val="18"/>
              </w:rPr>
              <w:t xml:space="preserve">A content steward is named per state and per programme component, so knowledge capture is an explicit responsibility rather than an afterthought.</w:t>
            </w:r>
          </w:p>
        </w:tc>
      </w:tr>
      <w:tr>
        <w:tc>
          <w:tcPr>
            <w:tcW w:type="dxa" w:w="2621"/>
            <w:tcMar>
              <w:top w:type="dxa" w:w="80"/>
              <w:left w:type="dxa" w:w="100"/>
              <w:bottom w:type="dxa" w:w="80"/>
              <w:right w:type="dxa" w:w="100"/>
            </w:tcMar>
            <w:vAlign w:val="top"/>
          </w:tcPr>
          <w:p>
            <w:r>
              <w:rPr>
                <w:b/>
                <w:bCs/>
                <w:color w:val="000000"/>
                <w:sz w:val="18"/>
                <w:szCs w:val="18"/>
              </w:rPr>
              <w:t xml:space="preserve">KM Wired to M&amp;E</w:t>
            </w:r>
          </w:p>
        </w:tc>
        <w:tc>
          <w:tcPr>
            <w:tcW w:type="dxa" w:w="7459"/>
            <w:tcMar>
              <w:top w:type="dxa" w:w="80"/>
              <w:left w:type="dxa" w:w="100"/>
              <w:bottom w:type="dxa" w:w="80"/>
              <w:right w:type="dxa" w:w="100"/>
            </w:tcMar>
            <w:vAlign w:val="top"/>
          </w:tcPr>
          <w:p>
            <w:r>
              <w:rPr>
                <w:b w:val="false"/>
                <w:bCs w:val="false"/>
                <w:color w:val="000000"/>
                <w:sz w:val="18"/>
                <w:szCs w:val="18"/>
              </w:rPr>
              <w:t xml:space="preserve">Knowledge management is integrated into the programme's own monitoring and evaluation cycle, so lessons from one state are structurally routed to the other six plus the FCT.</w:t>
            </w:r>
          </w:p>
        </w:tc>
      </w:tr>
      <w:tr>
        <w:tc>
          <w:tcPr>
            <w:tcW w:type="dxa" w:w="2621"/>
            <w:tcMar>
              <w:top w:type="dxa" w:w="80"/>
              <w:left w:type="dxa" w:w="100"/>
              <w:bottom w:type="dxa" w:w="80"/>
              <w:right w:type="dxa" w:w="100"/>
            </w:tcMar>
            <w:vAlign w:val="top"/>
          </w:tcPr>
          <w:p>
            <w:r>
              <w:rPr>
                <w:b/>
                <w:bCs/>
                <w:color w:val="000000"/>
                <w:sz w:val="18"/>
                <w:szCs w:val="18"/>
              </w:rPr>
              <w:t xml:space="preserve">Institutional Memory as the Goal</w:t>
            </w:r>
          </w:p>
        </w:tc>
        <w:tc>
          <w:tcPr>
            <w:tcW w:type="dxa" w:w="7459"/>
            <w:tcMar>
              <w:top w:type="dxa" w:w="80"/>
              <w:left w:type="dxa" w:w="100"/>
              <w:bottom w:type="dxa" w:w="80"/>
              <w:right w:type="dxa" w:w="100"/>
            </w:tcMar>
            <w:vAlign w:val="top"/>
          </w:tcPr>
          <w:p>
            <w:r>
              <w:rPr>
                <w:b w:val="false"/>
                <w:bCs w:val="false"/>
                <w:color w:val="000000"/>
                <w:sz w:val="18"/>
                <w:szCs w:val="18"/>
              </w:rPr>
              <w:t xml:space="preserve">CKR is positioned and governed as the programme's durable institutional memory, distinct in purpose from ESM's operational document management.</w:t>
            </w:r>
          </w:p>
        </w:tc>
      </w:tr>
      <w:tr>
        <w:tc>
          <w:tcPr>
            <w:tcW w:type="dxa" w:w="2621"/>
            <w:tcMar>
              <w:top w:type="dxa" w:w="80"/>
              <w:left w:type="dxa" w:w="100"/>
              <w:bottom w:type="dxa" w:w="80"/>
              <w:right w:type="dxa" w:w="100"/>
            </w:tcMar>
            <w:vAlign w:val="top"/>
          </w:tcPr>
          <w:p>
            <w:r>
              <w:rPr>
                <w:b/>
                <w:bCs/>
                <w:color w:val="000000"/>
                <w:sz w:val="18"/>
                <w:szCs w:val="18"/>
              </w:rPr>
              <w:t xml:space="preserve">Usage-Driven Curation</w:t>
            </w:r>
          </w:p>
        </w:tc>
        <w:tc>
          <w:tcPr>
            <w:tcW w:type="dxa" w:w="7459"/>
            <w:tcMar>
              <w:top w:type="dxa" w:w="80"/>
              <w:left w:type="dxa" w:w="100"/>
              <w:bottom w:type="dxa" w:w="80"/>
              <w:right w:type="dxa" w:w="100"/>
            </w:tcMar>
            <w:vAlign w:val="top"/>
          </w:tcPr>
          <w:p>
            <w:r>
              <w:rPr>
                <w:b w:val="false"/>
                <w:bCs w:val="false"/>
                <w:color w:val="000000"/>
                <w:sz w:val="18"/>
                <w:szCs w:val="18"/>
              </w:rPr>
              <w:t xml:space="preserve">Curation decisions are informed by evidence of what stakeholders actually search, download, and read, closing a feedback loop planned for the Phase 2 analytics roadmap.</w:t>
            </w:r>
          </w:p>
        </w:tc>
      </w:tr>
    </w:tbl>
    <w:p>
      <w:pPr>
        <w:spacing w:after="140"/>
      </w:pPr>
    </w:p>
    <w:p>
      <w:pPr>
        <w:pStyle w:val="Heading2"/>
        <w:spacing w:after="80" w:before="240"/>
      </w:pPr>
      <w:r>
        <w:t xml:space="preserve">Information Governance Principles</w:t>
      </w:r>
    </w:p>
    <w:p>
      <w:pPr>
        <w:spacing w:after="150" w:line="276"/>
        <w:jc w:val="both"/>
      </w:pPr>
      <w:r>
        <w:t xml:space="preserve">Principles governing ownership, stewardship, and decision rights over information across both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80"/>
              <w:left w:type="dxa" w:w="100"/>
              <w:bottom w:type="dxa" w:w="80"/>
              <w:right w:type="dxa" w:w="100"/>
            </w:tcMar>
            <w:vAlign w:val="top"/>
          </w:tcPr>
          <w:p>
            <w:r>
              <w:rPr>
                <w:b/>
                <w:bCs/>
                <w:color w:val="FFFFFF"/>
                <w:sz w:val="18"/>
                <w:szCs w:val="18"/>
              </w:rPr>
              <w:t xml:space="preserve">Principle</w:t>
            </w:r>
          </w:p>
        </w:tc>
        <w:tc>
          <w:tcPr>
            <w:tcW w:type="dxa" w:w="7459"/>
            <w:shd w:fill="1F3864" w:val="clear"/>
            <w:tcMar>
              <w:top w:type="dxa" w:w="80"/>
              <w:left w:type="dxa" w:w="100"/>
              <w:bottom w:type="dxa" w:w="80"/>
              <w:right w:type="dxa" w:w="100"/>
            </w:tcMar>
            <w:vAlign w:val="top"/>
          </w:tcPr>
          <w:p>
            <w:r>
              <w:rPr>
                <w:b/>
                <w:bCs/>
                <w:color w:val="FFFFFF"/>
                <w:sz w:val="18"/>
                <w:szCs w:val="18"/>
              </w:rPr>
              <w:t xml:space="preserve">Statement and Rationale</w:t>
            </w:r>
          </w:p>
        </w:tc>
      </w:tr>
      <w:tr>
        <w:tc>
          <w:tcPr>
            <w:tcW w:type="dxa" w:w="2621"/>
            <w:tcMar>
              <w:top w:type="dxa" w:w="80"/>
              <w:left w:type="dxa" w:w="100"/>
              <w:bottom w:type="dxa" w:w="80"/>
              <w:right w:type="dxa" w:w="100"/>
            </w:tcMar>
            <w:vAlign w:val="top"/>
          </w:tcPr>
          <w:p>
            <w:r>
              <w:rPr>
                <w:b/>
                <w:bCs/>
                <w:color w:val="000000"/>
                <w:sz w:val="18"/>
                <w:szCs w:val="18"/>
              </w:rPr>
              <w:t xml:space="preserve">Single Governance Charter</w:t>
            </w:r>
          </w:p>
        </w:tc>
        <w:tc>
          <w:tcPr>
            <w:tcW w:type="dxa" w:w="7459"/>
            <w:tcMar>
              <w:top w:type="dxa" w:w="80"/>
              <w:left w:type="dxa" w:w="100"/>
              <w:bottom w:type="dxa" w:w="80"/>
              <w:right w:type="dxa" w:w="100"/>
            </w:tcMar>
            <w:vAlign w:val="top"/>
          </w:tcPr>
          <w:p>
            <w:r>
              <w:rPr>
                <w:b w:val="false"/>
                <w:bCs w:val="false"/>
                <w:color w:val="000000"/>
                <w:sz w:val="18"/>
                <w:szCs w:val="18"/>
              </w:rPr>
              <w:t xml:space="preserve">One Data and Content Governance Charter is formally adopted in Weeks 1–2 and spans both ESM and CKR, rather than each system developing its own rules independently.</w:t>
            </w:r>
          </w:p>
        </w:tc>
      </w:tr>
      <w:tr>
        <w:tc>
          <w:tcPr>
            <w:tcW w:type="dxa" w:w="2621"/>
            <w:tcMar>
              <w:top w:type="dxa" w:w="80"/>
              <w:left w:type="dxa" w:w="100"/>
              <w:bottom w:type="dxa" w:w="80"/>
              <w:right w:type="dxa" w:w="100"/>
            </w:tcMar>
            <w:vAlign w:val="top"/>
          </w:tcPr>
          <w:p>
            <w:r>
              <w:rPr>
                <w:b/>
                <w:bCs/>
                <w:color w:val="000000"/>
                <w:sz w:val="18"/>
                <w:szCs w:val="18"/>
              </w:rPr>
              <w:t xml:space="preserve">Clear Ownership</w:t>
            </w:r>
          </w:p>
        </w:tc>
        <w:tc>
          <w:tcPr>
            <w:tcW w:type="dxa" w:w="7459"/>
            <w:tcMar>
              <w:top w:type="dxa" w:w="80"/>
              <w:left w:type="dxa" w:w="100"/>
              <w:bottom w:type="dxa" w:w="80"/>
              <w:right w:type="dxa" w:w="100"/>
            </w:tcMar>
            <w:vAlign w:val="top"/>
          </w:tcPr>
          <w:p>
            <w:r>
              <w:rPr>
                <w:b w:val="false"/>
                <w:bCs w:val="false"/>
                <w:color w:val="000000"/>
                <w:sz w:val="18"/>
                <w:szCs w:val="18"/>
              </w:rPr>
              <w:t xml:space="preserve">The charter explicitly names who owns which content and who holds taxonomy authority, closing a gap the current environment leaves undefined.</w:t>
            </w:r>
          </w:p>
        </w:tc>
      </w:tr>
      <w:tr>
        <w:tc>
          <w:tcPr>
            <w:tcW w:type="dxa" w:w="2621"/>
            <w:tcMar>
              <w:top w:type="dxa" w:w="80"/>
              <w:left w:type="dxa" w:w="100"/>
              <w:bottom w:type="dxa" w:w="80"/>
              <w:right w:type="dxa" w:w="100"/>
            </w:tcMar>
            <w:vAlign w:val="top"/>
          </w:tcPr>
          <w:p>
            <w:r>
              <w:rPr>
                <w:b/>
                <w:bCs/>
                <w:color w:val="000000"/>
                <w:sz w:val="18"/>
                <w:szCs w:val="18"/>
              </w:rPr>
              <w:t xml:space="preserve">Federal/State Decision Rights</w:t>
            </w:r>
          </w:p>
        </w:tc>
        <w:tc>
          <w:tcPr>
            <w:tcW w:type="dxa" w:w="7459"/>
            <w:tcMar>
              <w:top w:type="dxa" w:w="80"/>
              <w:left w:type="dxa" w:w="100"/>
              <w:bottom w:type="dxa" w:w="80"/>
              <w:right w:type="dxa" w:w="100"/>
            </w:tcMar>
            <w:vAlign w:val="top"/>
          </w:tcPr>
          <w:p>
            <w:r>
              <w:rPr>
                <w:b w:val="false"/>
                <w:bCs w:val="false"/>
                <w:color w:val="000000"/>
                <w:sz w:val="18"/>
                <w:szCs w:val="18"/>
              </w:rPr>
              <w:t xml:space="preserve">The charter defines specifically how decisions are made between federal and state levels, rather than leaving this to be worked out informally during implementation.</w:t>
            </w:r>
          </w:p>
        </w:tc>
      </w:tr>
      <w:tr>
        <w:tc>
          <w:tcPr>
            <w:tcW w:type="dxa" w:w="2621"/>
            <w:tcMar>
              <w:top w:type="dxa" w:w="80"/>
              <w:left w:type="dxa" w:w="100"/>
              <w:bottom w:type="dxa" w:w="80"/>
              <w:right w:type="dxa" w:w="100"/>
            </w:tcMar>
            <w:vAlign w:val="top"/>
          </w:tcPr>
          <w:p>
            <w:r>
              <w:rPr>
                <w:b/>
                <w:bCs/>
                <w:color w:val="000000"/>
                <w:sz w:val="18"/>
                <w:szCs w:val="18"/>
              </w:rPr>
              <w:t xml:space="preserve">Retention and Lifecycle Standards</w:t>
            </w:r>
          </w:p>
        </w:tc>
        <w:tc>
          <w:tcPr>
            <w:tcW w:type="dxa" w:w="7459"/>
            <w:tcMar>
              <w:top w:type="dxa" w:w="80"/>
              <w:left w:type="dxa" w:w="100"/>
              <w:bottom w:type="dxa" w:w="80"/>
              <w:right w:type="dxa" w:w="100"/>
            </w:tcMar>
            <w:vAlign w:val="top"/>
          </w:tcPr>
          <w:p>
            <w:r>
              <w:rPr>
                <w:b w:val="false"/>
                <w:bCs w:val="false"/>
                <w:color w:val="000000"/>
                <w:sz w:val="18"/>
                <w:szCs w:val="18"/>
              </w:rPr>
              <w:t xml:space="preserve">Retention and lifecycle rules are set once at national level and applied consistently across all seven states and the FCT.</w:t>
            </w:r>
          </w:p>
        </w:tc>
      </w:tr>
      <w:tr>
        <w:tc>
          <w:tcPr>
            <w:tcW w:type="dxa" w:w="2621"/>
            <w:tcMar>
              <w:top w:type="dxa" w:w="80"/>
              <w:left w:type="dxa" w:w="100"/>
              <w:bottom w:type="dxa" w:w="80"/>
              <w:right w:type="dxa" w:w="100"/>
            </w:tcMar>
            <w:vAlign w:val="top"/>
          </w:tcPr>
          <w:p>
            <w:r>
              <w:rPr>
                <w:b/>
                <w:bCs/>
                <w:color w:val="000000"/>
                <w:sz w:val="18"/>
                <w:szCs w:val="18"/>
              </w:rPr>
              <w:t xml:space="preserve">Governed Integration</w:t>
            </w:r>
          </w:p>
        </w:tc>
        <w:tc>
          <w:tcPr>
            <w:tcW w:type="dxa" w:w="7459"/>
            <w:tcMar>
              <w:top w:type="dxa" w:w="80"/>
              <w:left w:type="dxa" w:w="100"/>
              <w:bottom w:type="dxa" w:w="80"/>
              <w:right w:type="dxa" w:w="100"/>
            </w:tcMar>
            <w:vAlign w:val="top"/>
          </w:tcPr>
          <w:p>
            <w:r>
              <w:rPr>
                <w:b w:val="false"/>
                <w:bCs w:val="false"/>
                <w:color w:val="000000"/>
                <w:sz w:val="18"/>
                <w:szCs w:val="18"/>
              </w:rPr>
              <w:t xml:space="preserve">Every integration point — to each other or to the SAPZ website — operates under the same governance charter, preventing the data duplication the TOR itself warns against.</w:t>
            </w:r>
          </w:p>
        </w:tc>
      </w:tr>
    </w:tbl>
    <w:p>
      <w:pPr>
        <w:spacing w:after="140"/>
      </w:pPr>
    </w:p>
    <w:p>
      <w:pPr>
        <w:pStyle w:val="Heading2"/>
        <w:spacing w:after="80" w:before="240"/>
      </w:pPr>
      <w:r>
        <w:t xml:space="preserve">Technology Principles</w:t>
      </w:r>
    </w:p>
    <w:p>
      <w:pPr>
        <w:spacing w:after="150" w:line="276"/>
        <w:jc w:val="both"/>
      </w:pPr>
      <w:r>
        <w:t xml:space="preserve">Principles governing platform and infrastructure choices, elaborated fully in Section 10 (Technology Stack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80"/>
              <w:left w:type="dxa" w:w="100"/>
              <w:bottom w:type="dxa" w:w="80"/>
              <w:right w:type="dxa" w:w="100"/>
            </w:tcMar>
            <w:vAlign w:val="top"/>
          </w:tcPr>
          <w:p>
            <w:r>
              <w:rPr>
                <w:b/>
                <w:bCs/>
                <w:color w:val="FFFFFF"/>
                <w:sz w:val="18"/>
                <w:szCs w:val="18"/>
              </w:rPr>
              <w:t xml:space="preserve">Principle</w:t>
            </w:r>
          </w:p>
        </w:tc>
        <w:tc>
          <w:tcPr>
            <w:tcW w:type="dxa" w:w="7459"/>
            <w:shd w:fill="1F3864" w:val="clear"/>
            <w:tcMar>
              <w:top w:type="dxa" w:w="80"/>
              <w:left w:type="dxa" w:w="100"/>
              <w:bottom w:type="dxa" w:w="80"/>
              <w:right w:type="dxa" w:w="100"/>
            </w:tcMar>
            <w:vAlign w:val="top"/>
          </w:tcPr>
          <w:p>
            <w:r>
              <w:rPr>
                <w:b/>
                <w:bCs/>
                <w:color w:val="FFFFFF"/>
                <w:sz w:val="18"/>
                <w:szCs w:val="18"/>
              </w:rPr>
              <w:t xml:space="preserve">Statement and Rationale</w:t>
            </w:r>
          </w:p>
        </w:tc>
      </w:tr>
      <w:tr>
        <w:tc>
          <w:tcPr>
            <w:tcW w:type="dxa" w:w="2621"/>
            <w:tcMar>
              <w:top w:type="dxa" w:w="80"/>
              <w:left w:type="dxa" w:w="100"/>
              <w:bottom w:type="dxa" w:w="80"/>
              <w:right w:type="dxa" w:w="100"/>
            </w:tcMar>
            <w:vAlign w:val="top"/>
          </w:tcPr>
          <w:p>
            <w:r>
              <w:rPr>
                <w:b/>
                <w:bCs/>
                <w:color w:val="000000"/>
                <w:sz w:val="18"/>
                <w:szCs w:val="18"/>
              </w:rPr>
              <w:t xml:space="preserve">Cloud-First, Managed Services Preferred</w:t>
            </w:r>
          </w:p>
        </w:tc>
        <w:tc>
          <w:tcPr>
            <w:tcW w:type="dxa" w:w="7459"/>
            <w:tcMar>
              <w:top w:type="dxa" w:w="80"/>
              <w:left w:type="dxa" w:w="100"/>
              <w:bottom w:type="dxa" w:w="80"/>
              <w:right w:type="dxa" w:w="100"/>
            </w:tcMar>
            <w:vAlign w:val="top"/>
          </w:tcPr>
          <w:p>
            <w:r>
              <w:rPr>
                <w:b w:val="false"/>
                <w:bCs w:val="false"/>
                <w:color w:val="000000"/>
                <w:sz w:val="18"/>
                <w:szCs w:val="18"/>
              </w:rPr>
              <w:t xml:space="preserve">Managed cloud services are preferred over custom-built infrastructure, protecting the twelve-week schedule and reducing the operational burden left with SAPZ's KM and ICT Units afterward.</w:t>
            </w:r>
          </w:p>
        </w:tc>
      </w:tr>
      <w:tr>
        <w:tc>
          <w:tcPr>
            <w:tcW w:type="dxa" w:w="2621"/>
            <w:tcMar>
              <w:top w:type="dxa" w:w="80"/>
              <w:left w:type="dxa" w:w="100"/>
              <w:bottom w:type="dxa" w:w="80"/>
              <w:right w:type="dxa" w:w="100"/>
            </w:tcMar>
            <w:vAlign w:val="top"/>
          </w:tcPr>
          <w:p>
            <w:r>
              <w:rPr>
                <w:b/>
                <w:bCs/>
                <w:color w:val="000000"/>
                <w:sz w:val="18"/>
                <w:szCs w:val="18"/>
              </w:rPr>
              <w:t xml:space="preserve">Configure Before Build</w:t>
            </w:r>
          </w:p>
        </w:tc>
        <w:tc>
          <w:tcPr>
            <w:tcW w:type="dxa" w:w="7459"/>
            <w:tcMar>
              <w:top w:type="dxa" w:w="80"/>
              <w:left w:type="dxa" w:w="100"/>
              <w:bottom w:type="dxa" w:w="80"/>
              <w:right w:type="dxa" w:w="100"/>
            </w:tcMar>
            <w:vAlign w:val="top"/>
          </w:tcPr>
          <w:p>
            <w:r>
              <w:rPr>
                <w:b w:val="false"/>
                <w:bCs w:val="false"/>
                <w:color w:val="000000"/>
                <w:sz w:val="18"/>
                <w:szCs w:val="18"/>
              </w:rPr>
              <w:t xml:space="preserve">Mature, configurable platform classes are preferred over bespoke development wherever a configurable option meets the requirement.</w:t>
            </w:r>
          </w:p>
        </w:tc>
      </w:tr>
      <w:tr>
        <w:tc>
          <w:tcPr>
            <w:tcW w:type="dxa" w:w="2621"/>
            <w:tcMar>
              <w:top w:type="dxa" w:w="80"/>
              <w:left w:type="dxa" w:w="100"/>
              <w:bottom w:type="dxa" w:w="80"/>
              <w:right w:type="dxa" w:w="100"/>
            </w:tcMar>
            <w:vAlign w:val="top"/>
          </w:tcPr>
          <w:p>
            <w:r>
              <w:rPr>
                <w:b/>
                <w:bCs/>
                <w:color w:val="000000"/>
                <w:sz w:val="18"/>
                <w:szCs w:val="18"/>
              </w:rPr>
              <w:t xml:space="preserve">Scale Beyond Current Known Load</w:t>
            </w:r>
          </w:p>
        </w:tc>
        <w:tc>
          <w:tcPr>
            <w:tcW w:type="dxa" w:w="7459"/>
            <w:tcMar>
              <w:top w:type="dxa" w:w="80"/>
              <w:left w:type="dxa" w:w="100"/>
              <w:bottom w:type="dxa" w:w="80"/>
              <w:right w:type="dxa" w:w="100"/>
            </w:tcMar>
            <w:vAlign w:val="top"/>
          </w:tcPr>
          <w:p>
            <w:r>
              <w:rPr>
                <w:b w:val="false"/>
                <w:bCs w:val="false"/>
                <w:color w:val="000000"/>
                <w:sz w:val="18"/>
                <w:szCs w:val="18"/>
              </w:rPr>
              <w:t xml:space="preserve">The architecture is sized for several times today's known scale — more states, more co-financiers, a larger user base — without requiring re-architecture.</w:t>
            </w:r>
          </w:p>
        </w:tc>
      </w:tr>
      <w:tr>
        <w:tc>
          <w:tcPr>
            <w:tcW w:type="dxa" w:w="2621"/>
            <w:tcMar>
              <w:top w:type="dxa" w:w="80"/>
              <w:left w:type="dxa" w:w="100"/>
              <w:bottom w:type="dxa" w:w="80"/>
              <w:right w:type="dxa" w:w="100"/>
            </w:tcMar>
            <w:vAlign w:val="top"/>
          </w:tcPr>
          <w:p>
            <w:r>
              <w:rPr>
                <w:b/>
                <w:bCs/>
                <w:color w:val="000000"/>
                <w:sz w:val="18"/>
                <w:szCs w:val="18"/>
              </w:rPr>
              <w:t xml:space="preserve">Data Residency and NDPR Compliance Gate Cloud Choice</w:t>
            </w:r>
          </w:p>
        </w:tc>
        <w:tc>
          <w:tcPr>
            <w:tcW w:type="dxa" w:w="7459"/>
            <w:tcMar>
              <w:top w:type="dxa" w:w="80"/>
              <w:left w:type="dxa" w:w="100"/>
              <w:bottom w:type="dxa" w:w="80"/>
              <w:right w:type="dxa" w:w="100"/>
            </w:tcMar>
            <w:vAlign w:val="top"/>
          </w:tcPr>
          <w:p>
            <w:r>
              <w:rPr>
                <w:b w:val="false"/>
                <w:bCs w:val="false"/>
                <w:color w:val="000000"/>
                <w:sz w:val="18"/>
                <w:szCs w:val="18"/>
              </w:rPr>
              <w:t xml:space="preserve">Cloud provider and hosting region are selected based on Nigeria Data Protection Regulation compliance and data-residency considerations, not convenience or cost alone.</w:t>
            </w:r>
          </w:p>
        </w:tc>
      </w:tr>
      <w:tr>
        <w:tc>
          <w:tcPr>
            <w:tcW w:type="dxa" w:w="2621"/>
            <w:tcMar>
              <w:top w:type="dxa" w:w="80"/>
              <w:left w:type="dxa" w:w="100"/>
              <w:bottom w:type="dxa" w:w="80"/>
              <w:right w:type="dxa" w:w="100"/>
            </w:tcMar>
            <w:vAlign w:val="top"/>
          </w:tcPr>
          <w:p>
            <w:r>
              <w:rPr>
                <w:b/>
                <w:bCs/>
                <w:color w:val="000000"/>
                <w:sz w:val="18"/>
                <w:szCs w:val="18"/>
              </w:rPr>
              <w:t xml:space="preserve">Security Designed In</w:t>
            </w:r>
          </w:p>
        </w:tc>
        <w:tc>
          <w:tcPr>
            <w:tcW w:type="dxa" w:w="7459"/>
            <w:tcMar>
              <w:top w:type="dxa" w:w="80"/>
              <w:left w:type="dxa" w:w="100"/>
              <w:bottom w:type="dxa" w:w="80"/>
              <w:right w:type="dxa" w:w="100"/>
            </w:tcMar>
            <w:vAlign w:val="top"/>
          </w:tcPr>
          <w:p>
            <w:r>
              <w:rPr>
                <w:b w:val="false"/>
                <w:bCs w:val="false"/>
                <w:color w:val="000000"/>
                <w:sz w:val="18"/>
                <w:szCs w:val="18"/>
              </w:rPr>
              <w:t xml:space="preserve">The technical security baseline is matched to an explicit governance owner for security risk decisions, not left as an unassigned technical responsibility.</w:t>
            </w:r>
          </w:p>
        </w:tc>
      </w:tr>
    </w:tbl>
    <w:p>
      <w:pPr>
        <w:spacing w:after="140"/>
      </w:pPr>
    </w:p>
    <w:p>
      <w:pPr>
        <w:pStyle w:val="Heading1"/>
        <w:pBdr>
          <w:bottom w:val="single" w:color="1F3864" w:sz="6" w:space="4"/>
        </w:pBdr>
        <w:spacing w:after="130" w:before="320"/>
      </w:pPr>
      <w:r>
        <w:t xml:space="preserve">1.8 Transition to Section 2</w:t>
      </w:r>
    </w:p>
    <w:p>
      <w:pPr>
        <w:spacing w:after="150" w:line="276"/>
        <w:jc w:val="both"/>
      </w:pPr>
      <w:r>
        <w:t xml:space="preserve">Section 2 (Business Architecture) builds directly on the Business Drivers and Strategic Objectives above, translating them into business domains, capabilities, processes, and an operating and governance model. Nothing in Section 2 or any later section revisits the Current State or Future State findings established here; each later section instead applies the principles and objectives already fixed in this Executive Architecture Summary.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00"/>
    </w:pPr>
    <w:rPr>
      <w:rFonts w:ascii="Arial" w:cs="Arial" w:eastAsia="Arial" w:hAnsi="Arial"/>
      <w:b/>
      <w:bCs/>
      <w:color w:val="1F3864"/>
      <w:sz w:val="25"/>
      <w:szCs w:val="25"/>
    </w:rPr>
  </w:style>
  <w:style w:type="paragraph" w:styleId="Heading2">
    <w:name w:val="Heading 2"/>
    <w:basedOn w:val="Normal"/>
    <w:next w:val="Normal"/>
    <w:qFormat/>
    <w:pPr>
      <w:spacing w:after="80" w:before="220"/>
    </w:pPr>
    <w:rPr>
      <w:rFonts w:ascii="Arial" w:cs="Arial" w:eastAsia="Arial" w:hAnsi="Arial"/>
      <w:b/>
      <w:bCs/>
      <w:color w:val="2E539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2026-07-18T07:07:24.726Z</dcterms:created>
  <dcterms:modified xsi:type="dcterms:W3CDTF">2026-07-18T07:07:24.726Z</dcterms:modified>
</cp:coreProperties>
</file>

<file path=docProps/custom.xml><?xml version="1.0" encoding="utf-8"?>
<Properties xmlns="http://schemas.openxmlformats.org/officeDocument/2006/custom-properties" xmlns:vt="http://schemas.openxmlformats.org/officeDocument/2006/docPropsVTypes"/>
</file>