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2 of 16 — Business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translates the Business Drivers and Strategic Objectives fixed in Section 1 into the structures a TOGAF-style Business Architecture requires: the domains the enterprise operates in, the functions and services each domain delivers, the capabilities that underpin them, and the processes, value streams, organisation, operating, decision, and governance models that make the architecture operable rather than theoretical. Every element below traces to a named finding in the governing Procurement Intelligence Report — principally the Solution Strategy's sixteen-area analysis, the Master Bid &amp; Delivery Strategy's stakeholder, capability-maturity, and RACI analysis, and the TOR's own Problem Statement — and nothing here introduces a structure the Phase 1 analysis does not already support.</w:t>
      </w:r>
    </w:p>
    <w:p>
      <w:pPr>
        <w:pStyle w:val="Heading1"/>
        <w:pBdr>
          <w:bottom w:val="single" w:color="1F3864" w:sz="6" w:space="4"/>
        </w:pBdr>
        <w:spacing w:after="130" w:before="320"/>
      </w:pPr>
      <w:r>
        <w:t xml:space="preserve">2.1 Business Domains</w:t>
      </w:r>
    </w:p>
    <w:p>
      <w:pPr>
        <w:spacing w:after="150" w:line="276"/>
        <w:jc w:val="both"/>
      </w:pPr>
      <w:r>
        <w:t xml:space="preserve">Eight business domains organize the enterprise's activity. The first two map directly to the TOR's own ESM/CKR split; the remaining six are cross-cutting domains that operate across both systems under the shared governance model established in Section 1.</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7373"/>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Domain</w:t>
            </w:r>
          </w:p>
        </w:tc>
        <w:tc>
          <w:tcPr>
            <w:tcW w:type="dxa" w:w="7373"/>
            <w:shd w:fill="1F3864" w:val="clear"/>
            <w:tcMar>
              <w:top w:type="dxa" w:w="70"/>
              <w:left w:type="dxa" w:w="90"/>
              <w:bottom w:type="dxa" w:w="70"/>
              <w:right w:type="dxa" w:w="90"/>
            </w:tcMar>
            <w:vAlign w:val="top"/>
          </w:tcPr>
          <w:p>
            <w:r>
              <w:rPr>
                <w:b/>
                <w:bCs/>
                <w:color w:val="FFFFFF"/>
                <w:sz w:val="17"/>
                <w:szCs w:val="17"/>
              </w:rPr>
              <w:t xml:space="preserve">Scope</w:t>
            </w:r>
          </w:p>
        </w:tc>
      </w:tr>
      <w:tr>
        <w:tc>
          <w:tcPr>
            <w:tcW w:type="dxa" w:w="2867"/>
            <w:tcMar>
              <w:top w:type="dxa" w:w="70"/>
              <w:left w:type="dxa" w:w="90"/>
              <w:bottom w:type="dxa" w:w="70"/>
              <w:right w:type="dxa" w:w="90"/>
            </w:tcMar>
            <w:vAlign w:val="top"/>
          </w:tcPr>
          <w:p>
            <w:r>
              <w:rPr>
                <w:b/>
                <w:bCs/>
                <w:color w:val="000000"/>
                <w:sz w:val="17"/>
                <w:szCs w:val="17"/>
              </w:rPr>
              <w:t xml:space="preserve">Programme &amp; Portfolio Management</w:t>
            </w:r>
          </w:p>
        </w:tc>
        <w:tc>
          <w:tcPr>
            <w:tcW w:type="dxa" w:w="7373"/>
            <w:tcMar>
              <w:top w:type="dxa" w:w="70"/>
              <w:left w:type="dxa" w:w="90"/>
              <w:bottom w:type="dxa" w:w="70"/>
              <w:right w:type="dxa" w:w="90"/>
            </w:tcMar>
            <w:vAlign w:val="top"/>
          </w:tcPr>
          <w:p>
            <w:r>
              <w:rPr>
                <w:b w:val="false"/>
                <w:bCs w:val="false"/>
                <w:color w:val="000000"/>
                <w:sz w:val="17"/>
                <w:szCs w:val="17"/>
              </w:rPr>
              <w:t xml:space="preserve">Oversight of SAPZ programme components, work plans, milestones, and budgets across seven states and the FCT.</w:t>
            </w:r>
          </w:p>
        </w:tc>
      </w:tr>
      <w:tr>
        <w:tc>
          <w:tcPr>
            <w:tcW w:type="dxa" w:w="2867"/>
            <w:tcMar>
              <w:top w:type="dxa" w:w="70"/>
              <w:left w:type="dxa" w:w="90"/>
              <w:bottom w:type="dxa" w:w="70"/>
              <w:right w:type="dxa" w:w="90"/>
            </w:tcMar>
            <w:vAlign w:val="top"/>
          </w:tcPr>
          <w:p>
            <w:r>
              <w:rPr>
                <w:b/>
                <w:bCs/>
                <w:color w:val="000000"/>
                <w:sz w:val="17"/>
                <w:szCs w:val="17"/>
              </w:rPr>
              <w:t xml:space="preserve">Document &amp; Content Management (ESM)</w:t>
            </w:r>
          </w:p>
        </w:tc>
        <w:tc>
          <w:tcPr>
            <w:tcW w:type="dxa" w:w="7373"/>
            <w:tcMar>
              <w:top w:type="dxa" w:w="70"/>
              <w:left w:type="dxa" w:w="90"/>
              <w:bottom w:type="dxa" w:w="70"/>
              <w:right w:type="dxa" w:w="90"/>
            </w:tcMar>
            <w:vAlign w:val="top"/>
          </w:tcPr>
          <w:p>
            <w:r>
              <w:rPr>
                <w:b w:val="false"/>
                <w:bCs w:val="false"/>
                <w:color w:val="000000"/>
                <w:sz w:val="17"/>
                <w:szCs w:val="17"/>
              </w:rPr>
              <w:t xml:space="preserve">Creation, storage, retrieval, versioning, and retention of internal programme documentation under the federated-but-governed model.</w:t>
            </w:r>
          </w:p>
        </w:tc>
      </w:tr>
      <w:tr>
        <w:tc>
          <w:tcPr>
            <w:tcW w:type="dxa" w:w="2867"/>
            <w:tcMar>
              <w:top w:type="dxa" w:w="70"/>
              <w:left w:type="dxa" w:w="90"/>
              <w:bottom w:type="dxa" w:w="70"/>
              <w:right w:type="dxa" w:w="90"/>
            </w:tcMar>
            <w:vAlign w:val="top"/>
          </w:tcPr>
          <w:p>
            <w:r>
              <w:rPr>
                <w:b/>
                <w:bCs/>
                <w:color w:val="000000"/>
                <w:sz w:val="17"/>
                <w:szCs w:val="17"/>
              </w:rPr>
              <w:t xml:space="preserve">Workflow &amp; Approvals</w:t>
            </w:r>
          </w:p>
        </w:tc>
        <w:tc>
          <w:tcPr>
            <w:tcW w:type="dxa" w:w="7373"/>
            <w:tcMar>
              <w:top w:type="dxa" w:w="70"/>
              <w:left w:type="dxa" w:w="90"/>
              <w:bottom w:type="dxa" w:w="70"/>
              <w:right w:type="dxa" w:w="90"/>
            </w:tcMar>
            <w:vAlign w:val="top"/>
          </w:tcPr>
          <w:p>
            <w:r>
              <w:rPr>
                <w:b w:val="false"/>
                <w:bCs w:val="false"/>
                <w:color w:val="000000"/>
                <w:sz w:val="17"/>
                <w:szCs w:val="17"/>
              </w:rPr>
              <w:t xml:space="preserve">Routing, escalation, and audit-trailed approval of work plans, reports, memos, and procurement records across state, regional, and national tiers.</w:t>
            </w:r>
          </w:p>
        </w:tc>
      </w:tr>
      <w:tr>
        <w:tc>
          <w:tcPr>
            <w:tcW w:type="dxa" w:w="2867"/>
            <w:tcMar>
              <w:top w:type="dxa" w:w="70"/>
              <w:left w:type="dxa" w:w="90"/>
              <w:bottom w:type="dxa" w:w="70"/>
              <w:right w:type="dxa" w:w="90"/>
            </w:tcMar>
            <w:vAlign w:val="top"/>
          </w:tcPr>
          <w:p>
            <w:r>
              <w:rPr>
                <w:b/>
                <w:bCs/>
                <w:color w:val="000000"/>
                <w:sz w:val="17"/>
                <w:szCs w:val="17"/>
              </w:rPr>
              <w:t xml:space="preserve">Knowledge Management (CKR)</w:t>
            </w:r>
          </w:p>
        </w:tc>
        <w:tc>
          <w:tcPr>
            <w:tcW w:type="dxa" w:w="7373"/>
            <w:tcMar>
              <w:top w:type="dxa" w:w="70"/>
              <w:left w:type="dxa" w:w="90"/>
              <w:bottom w:type="dxa" w:w="70"/>
              <w:right w:type="dxa" w:w="90"/>
            </w:tcMar>
            <w:vAlign w:val="top"/>
          </w:tcPr>
          <w:p>
            <w:r>
              <w:rPr>
                <w:b w:val="false"/>
                <w:bCs w:val="false"/>
                <w:color w:val="000000"/>
                <w:sz w:val="17"/>
                <w:szCs w:val="17"/>
              </w:rPr>
              <w:t xml:space="preserve">Capture, curation, publishing, and reuse of institutional knowledge and public learning content, run to the full KM lifecycle.</w:t>
            </w:r>
          </w:p>
        </w:tc>
      </w:tr>
      <w:tr>
        <w:tc>
          <w:tcPr>
            <w:tcW w:type="dxa" w:w="2867"/>
            <w:tcMar>
              <w:top w:type="dxa" w:w="70"/>
              <w:left w:type="dxa" w:w="90"/>
              <w:bottom w:type="dxa" w:w="70"/>
              <w:right w:type="dxa" w:w="90"/>
            </w:tcMar>
            <w:vAlign w:val="top"/>
          </w:tcPr>
          <w:p>
            <w:r>
              <w:rPr>
                <w:b/>
                <w:bCs/>
                <w:color w:val="000000"/>
                <w:sz w:val="17"/>
                <w:szCs w:val="17"/>
              </w:rPr>
              <w:t xml:space="preserve">Monitoring, Evaluation &amp; Reporting</w:t>
            </w:r>
          </w:p>
        </w:tc>
        <w:tc>
          <w:tcPr>
            <w:tcW w:type="dxa" w:w="7373"/>
            <w:tcMar>
              <w:top w:type="dxa" w:w="70"/>
              <w:left w:type="dxa" w:w="90"/>
              <w:bottom w:type="dxa" w:w="70"/>
              <w:right w:type="dxa" w:w="90"/>
            </w:tcMar>
            <w:vAlign w:val="top"/>
          </w:tcPr>
          <w:p>
            <w:r>
              <w:rPr>
                <w:b w:val="false"/>
                <w:bCs w:val="false"/>
                <w:color w:val="000000"/>
                <w:sz w:val="17"/>
                <w:szCs w:val="17"/>
              </w:rPr>
              <w:t xml:space="preserve">KPI tracking, templated report generation, and tiered dashboarding aligned to donor conventions.</w:t>
            </w:r>
          </w:p>
        </w:tc>
      </w:tr>
      <w:tr>
        <w:tc>
          <w:tcPr>
            <w:tcW w:type="dxa" w:w="2867"/>
            <w:tcMar>
              <w:top w:type="dxa" w:w="70"/>
              <w:left w:type="dxa" w:w="90"/>
              <w:bottom w:type="dxa" w:w="70"/>
              <w:right w:type="dxa" w:w="90"/>
            </w:tcMar>
            <w:vAlign w:val="top"/>
          </w:tcPr>
          <w:p>
            <w:r>
              <w:rPr>
                <w:b/>
                <w:bCs/>
                <w:color w:val="000000"/>
                <w:sz w:val="17"/>
                <w:szCs w:val="17"/>
              </w:rPr>
              <w:t xml:space="preserve">Governance, Risk &amp; Compliance</w:t>
            </w:r>
          </w:p>
        </w:tc>
        <w:tc>
          <w:tcPr>
            <w:tcW w:type="dxa" w:w="7373"/>
            <w:tcMar>
              <w:top w:type="dxa" w:w="70"/>
              <w:left w:type="dxa" w:w="90"/>
              <w:bottom w:type="dxa" w:w="70"/>
              <w:right w:type="dxa" w:w="90"/>
            </w:tcMar>
            <w:vAlign w:val="top"/>
          </w:tcPr>
          <w:p>
            <w:r>
              <w:rPr>
                <w:b w:val="false"/>
                <w:bCs w:val="false"/>
                <w:color w:val="000000"/>
                <w:sz w:val="17"/>
                <w:szCs w:val="17"/>
              </w:rPr>
              <w:t xml:space="preserve">The Data &amp; Content Governance Charter, security governance, NDPR compliance, and audit oversight spanning both systems.</w:t>
            </w:r>
          </w:p>
        </w:tc>
      </w:tr>
      <w:tr>
        <w:tc>
          <w:tcPr>
            <w:tcW w:type="dxa" w:w="2867"/>
            <w:tcMar>
              <w:top w:type="dxa" w:w="70"/>
              <w:left w:type="dxa" w:w="90"/>
              <w:bottom w:type="dxa" w:w="70"/>
              <w:right w:type="dxa" w:w="90"/>
            </w:tcMar>
            <w:vAlign w:val="top"/>
          </w:tcPr>
          <w:p>
            <w:r>
              <w:rPr>
                <w:b/>
                <w:bCs/>
                <w:color w:val="000000"/>
                <w:sz w:val="17"/>
                <w:szCs w:val="17"/>
              </w:rPr>
              <w:t xml:space="preserve">Stakeholder Engagement &amp; Collaboration</w:t>
            </w:r>
          </w:p>
        </w:tc>
        <w:tc>
          <w:tcPr>
            <w:tcW w:type="dxa" w:w="7373"/>
            <w:tcMar>
              <w:top w:type="dxa" w:w="70"/>
              <w:left w:type="dxa" w:w="90"/>
              <w:bottom w:type="dxa" w:w="70"/>
              <w:right w:type="dxa" w:w="90"/>
            </w:tcMar>
            <w:vAlign w:val="top"/>
          </w:tcPr>
          <w:p>
            <w:r>
              <w:rPr>
                <w:b w:val="false"/>
                <w:bCs w:val="false"/>
                <w:color w:val="000000"/>
                <w:sz w:val="17"/>
                <w:szCs w:val="17"/>
              </w:rPr>
              <w:t xml:space="preserve">Cross-state collaboration spaces, training delivery, and structured communication with donors, government partners, and beneficiaries.</w:t>
            </w:r>
          </w:p>
        </w:tc>
      </w:tr>
      <w:tr>
        <w:tc>
          <w:tcPr>
            <w:tcW w:type="dxa" w:w="2867"/>
            <w:tcMar>
              <w:top w:type="dxa" w:w="70"/>
              <w:left w:type="dxa" w:w="90"/>
              <w:bottom w:type="dxa" w:w="70"/>
              <w:right w:type="dxa" w:w="90"/>
            </w:tcMar>
            <w:vAlign w:val="top"/>
          </w:tcPr>
          <w:p>
            <w:r>
              <w:rPr>
                <w:b/>
                <w:bCs/>
                <w:color w:val="000000"/>
                <w:sz w:val="17"/>
                <w:szCs w:val="17"/>
              </w:rPr>
              <w:t xml:space="preserve">Technology &amp; Platform Operations</w:t>
            </w:r>
          </w:p>
        </w:tc>
        <w:tc>
          <w:tcPr>
            <w:tcW w:type="dxa" w:w="7373"/>
            <w:tcMar>
              <w:top w:type="dxa" w:w="70"/>
              <w:left w:type="dxa" w:w="90"/>
              <w:bottom w:type="dxa" w:w="70"/>
              <w:right w:type="dxa" w:w="90"/>
            </w:tcMar>
            <w:vAlign w:val="top"/>
          </w:tcPr>
          <w:p>
            <w:r>
              <w:rPr>
                <w:b w:val="false"/>
                <w:bCs w:val="false"/>
                <w:color w:val="000000"/>
                <w:sz w:val="17"/>
                <w:szCs w:val="17"/>
              </w:rPr>
              <w:t xml:space="preserve">Hosting, identity, integration, platform administration, and the capability-building programme that moves the client's KM and ICT Units toward self-sufficiency.</w:t>
            </w:r>
          </w:p>
        </w:tc>
      </w:tr>
    </w:tbl>
    <w:p>
      <w:pPr>
        <w:spacing w:after="160"/>
      </w:pPr>
    </w:p>
    <w:p>
      <w:pPr>
        <w:pStyle w:val="Heading1"/>
        <w:pBdr>
          <w:bottom w:val="single" w:color="1F3864" w:sz="6" w:space="4"/>
        </w:pBdr>
        <w:spacing w:after="130" w:before="320"/>
      </w:pPr>
      <w:r>
        <w:t xml:space="preserve">2.2 Business Functions and Services</w:t>
      </w:r>
    </w:p>
    <w:p>
      <w:pPr>
        <w:spacing w:after="150" w:line="276"/>
        <w:jc w:val="both"/>
      </w:pPr>
      <w:r>
        <w:t xml:space="preserve">Each domain decomposes into business functions, and each function is delivered to stakeholders as one or more discrete business services — the consumable units of capability a state team, a donor, or a member of the public actually interacts with.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3277"/>
        <w:gridCol w:w="4710"/>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Domain</w:t>
            </w:r>
          </w:p>
        </w:tc>
        <w:tc>
          <w:tcPr>
            <w:tcW w:type="dxa" w:w="3277"/>
            <w:shd w:fill="1F3864" w:val="clear"/>
            <w:tcMar>
              <w:top w:type="dxa" w:w="70"/>
              <w:left w:type="dxa" w:w="90"/>
              <w:bottom w:type="dxa" w:w="70"/>
              <w:right w:type="dxa" w:w="90"/>
            </w:tcMar>
            <w:vAlign w:val="top"/>
          </w:tcPr>
          <w:p>
            <w:r>
              <w:rPr>
                <w:b/>
                <w:bCs/>
                <w:color w:val="FFFFFF"/>
                <w:sz w:val="17"/>
                <w:szCs w:val="17"/>
              </w:rPr>
              <w:t xml:space="preserve">Key Functions</w:t>
            </w:r>
          </w:p>
        </w:tc>
        <w:tc>
          <w:tcPr>
            <w:tcW w:type="dxa" w:w="4710"/>
            <w:shd w:fill="1F3864" w:val="clear"/>
            <w:tcMar>
              <w:top w:type="dxa" w:w="70"/>
              <w:left w:type="dxa" w:w="90"/>
              <w:bottom w:type="dxa" w:w="70"/>
              <w:right w:type="dxa" w:w="90"/>
            </w:tcMar>
            <w:vAlign w:val="top"/>
          </w:tcPr>
          <w:p>
            <w:r>
              <w:rPr>
                <w:b/>
                <w:bCs/>
                <w:color w:val="FFFFFF"/>
                <w:sz w:val="17"/>
                <w:szCs w:val="17"/>
              </w:rPr>
              <w:t xml:space="preserve">Representative Services</w:t>
            </w:r>
          </w:p>
        </w:tc>
      </w:tr>
      <w:tr>
        <w:tc>
          <w:tcPr>
            <w:tcW w:type="dxa" w:w="2253"/>
            <w:tcMar>
              <w:top w:type="dxa" w:w="70"/>
              <w:left w:type="dxa" w:w="90"/>
              <w:bottom w:type="dxa" w:w="70"/>
              <w:right w:type="dxa" w:w="90"/>
            </w:tcMar>
            <w:vAlign w:val="top"/>
          </w:tcPr>
          <w:p>
            <w:r>
              <w:rPr>
                <w:b/>
                <w:bCs/>
                <w:color w:val="000000"/>
                <w:sz w:val="17"/>
                <w:szCs w:val="17"/>
              </w:rPr>
              <w:t xml:space="preserve">Programme &amp; Portfolio Management</w:t>
            </w:r>
          </w:p>
        </w:tc>
        <w:tc>
          <w:tcPr>
            <w:tcW w:type="dxa" w:w="3277"/>
            <w:tcMar>
              <w:top w:type="dxa" w:w="70"/>
              <w:left w:type="dxa" w:w="90"/>
              <w:bottom w:type="dxa" w:w="70"/>
              <w:right w:type="dxa" w:w="90"/>
            </w:tcMar>
            <w:vAlign w:val="top"/>
          </w:tcPr>
          <w:p>
            <w:r>
              <w:rPr>
                <w:b w:val="false"/>
                <w:bCs w:val="false"/>
                <w:color w:val="000000"/>
                <w:sz w:val="17"/>
                <w:szCs w:val="17"/>
              </w:rPr>
              <w:t xml:space="preserve">Work plan management; milestone tracking; budget oversight</w:t>
            </w:r>
          </w:p>
        </w:tc>
        <w:tc>
          <w:tcPr>
            <w:tcW w:type="dxa" w:w="4710"/>
            <w:tcMar>
              <w:top w:type="dxa" w:w="70"/>
              <w:left w:type="dxa" w:w="90"/>
              <w:bottom w:type="dxa" w:w="70"/>
              <w:right w:type="dxa" w:w="90"/>
            </w:tcMar>
            <w:vAlign w:val="top"/>
          </w:tcPr>
          <w:p>
            <w:r>
              <w:rPr>
                <w:b w:val="false"/>
                <w:bCs w:val="false"/>
                <w:color w:val="000000"/>
                <w:sz w:val="17"/>
                <w:szCs w:val="17"/>
              </w:rPr>
              <w:t xml:space="preserve">Work plan submission; milestone status tracking; component-level budget dashboard</w:t>
            </w:r>
          </w:p>
        </w:tc>
      </w:tr>
      <w:tr>
        <w:tc>
          <w:tcPr>
            <w:tcW w:type="dxa" w:w="2253"/>
            <w:tcMar>
              <w:top w:type="dxa" w:w="70"/>
              <w:left w:type="dxa" w:w="90"/>
              <w:bottom w:type="dxa" w:w="70"/>
              <w:right w:type="dxa" w:w="90"/>
            </w:tcMar>
            <w:vAlign w:val="top"/>
          </w:tcPr>
          <w:p>
            <w:r>
              <w:rPr>
                <w:b/>
                <w:bCs/>
                <w:color w:val="000000"/>
                <w:sz w:val="17"/>
                <w:szCs w:val="17"/>
              </w:rPr>
              <w:t xml:space="preserve">Document &amp; Content Management (ESM)</w:t>
            </w:r>
          </w:p>
        </w:tc>
        <w:tc>
          <w:tcPr>
            <w:tcW w:type="dxa" w:w="3277"/>
            <w:tcMar>
              <w:top w:type="dxa" w:w="70"/>
              <w:left w:type="dxa" w:w="90"/>
              <w:bottom w:type="dxa" w:w="70"/>
              <w:right w:type="dxa" w:w="90"/>
            </w:tcMar>
            <w:vAlign w:val="top"/>
          </w:tcPr>
          <w:p>
            <w:r>
              <w:rPr>
                <w:b w:val="false"/>
                <w:bCs w:val="false"/>
                <w:color w:val="000000"/>
                <w:sz w:val="17"/>
                <w:szCs w:val="17"/>
              </w:rPr>
              <w:t xml:space="preserve">Content capture; classification; version control; retention</w:t>
            </w:r>
          </w:p>
        </w:tc>
        <w:tc>
          <w:tcPr>
            <w:tcW w:type="dxa" w:w="4710"/>
            <w:tcMar>
              <w:top w:type="dxa" w:w="70"/>
              <w:left w:type="dxa" w:w="90"/>
              <w:bottom w:type="dxa" w:w="70"/>
              <w:right w:type="dxa" w:w="90"/>
            </w:tcMar>
            <w:vAlign w:val="top"/>
          </w:tcPr>
          <w:p>
            <w:r>
              <w:rPr>
                <w:b w:val="false"/>
                <w:bCs w:val="false"/>
                <w:color w:val="000000"/>
                <w:sz w:val="17"/>
                <w:szCs w:val="17"/>
              </w:rPr>
              <w:t xml:space="preserve">Document upload and tagging; version history; retention-policy enforcement</w:t>
            </w:r>
          </w:p>
        </w:tc>
      </w:tr>
      <w:tr>
        <w:tc>
          <w:tcPr>
            <w:tcW w:type="dxa" w:w="2253"/>
            <w:tcMar>
              <w:top w:type="dxa" w:w="70"/>
              <w:left w:type="dxa" w:w="90"/>
              <w:bottom w:type="dxa" w:w="70"/>
              <w:right w:type="dxa" w:w="90"/>
            </w:tcMar>
            <w:vAlign w:val="top"/>
          </w:tcPr>
          <w:p>
            <w:r>
              <w:rPr>
                <w:b/>
                <w:bCs/>
                <w:color w:val="000000"/>
                <w:sz w:val="17"/>
                <w:szCs w:val="17"/>
              </w:rPr>
              <w:t xml:space="preserve">Workflow &amp; Approvals</w:t>
            </w:r>
          </w:p>
        </w:tc>
        <w:tc>
          <w:tcPr>
            <w:tcW w:type="dxa" w:w="3277"/>
            <w:tcMar>
              <w:top w:type="dxa" w:w="70"/>
              <w:left w:type="dxa" w:w="90"/>
              <w:bottom w:type="dxa" w:w="70"/>
              <w:right w:type="dxa" w:w="90"/>
            </w:tcMar>
            <w:vAlign w:val="top"/>
          </w:tcPr>
          <w:p>
            <w:r>
              <w:rPr>
                <w:b w:val="false"/>
                <w:bCs w:val="false"/>
                <w:color w:val="000000"/>
                <w:sz w:val="17"/>
                <w:szCs w:val="17"/>
              </w:rPr>
              <w:t xml:space="preserve">Routing; escalation; approval; audit logging</w:t>
            </w:r>
          </w:p>
        </w:tc>
        <w:tc>
          <w:tcPr>
            <w:tcW w:type="dxa" w:w="4710"/>
            <w:tcMar>
              <w:top w:type="dxa" w:w="70"/>
              <w:left w:type="dxa" w:w="90"/>
              <w:bottom w:type="dxa" w:w="70"/>
              <w:right w:type="dxa" w:w="90"/>
            </w:tcMar>
            <w:vAlign w:val="top"/>
          </w:tcPr>
          <w:p>
            <w:r>
              <w:rPr>
                <w:b w:val="false"/>
                <w:bCs w:val="false"/>
                <w:color w:val="000000"/>
                <w:sz w:val="17"/>
                <w:szCs w:val="17"/>
              </w:rPr>
              <w:t xml:space="preserve">Approval request submission; multi-tier sign-off; SLA escalation alert; audit-trail export</w:t>
            </w:r>
          </w:p>
        </w:tc>
      </w:tr>
      <w:tr>
        <w:tc>
          <w:tcPr>
            <w:tcW w:type="dxa" w:w="2253"/>
            <w:tcMar>
              <w:top w:type="dxa" w:w="70"/>
              <w:left w:type="dxa" w:w="90"/>
              <w:bottom w:type="dxa" w:w="70"/>
              <w:right w:type="dxa" w:w="90"/>
            </w:tcMar>
            <w:vAlign w:val="top"/>
          </w:tcPr>
          <w:p>
            <w:r>
              <w:rPr>
                <w:b/>
                <w:bCs/>
                <w:color w:val="000000"/>
                <w:sz w:val="17"/>
                <w:szCs w:val="17"/>
              </w:rPr>
              <w:t xml:space="preserve">Knowledge Management (CKR)</w:t>
            </w:r>
          </w:p>
        </w:tc>
        <w:tc>
          <w:tcPr>
            <w:tcW w:type="dxa" w:w="3277"/>
            <w:tcMar>
              <w:top w:type="dxa" w:w="70"/>
              <w:left w:type="dxa" w:w="90"/>
              <w:bottom w:type="dxa" w:w="70"/>
              <w:right w:type="dxa" w:w="90"/>
            </w:tcMar>
            <w:vAlign w:val="top"/>
          </w:tcPr>
          <w:p>
            <w:r>
              <w:rPr>
                <w:b w:val="false"/>
                <w:bCs w:val="false"/>
                <w:color w:val="000000"/>
                <w:sz w:val="17"/>
                <w:szCs w:val="17"/>
              </w:rPr>
              <w:t xml:space="preserve">Capture; curation; publishing; dissemination</w:t>
            </w:r>
          </w:p>
        </w:tc>
        <w:tc>
          <w:tcPr>
            <w:tcW w:type="dxa" w:w="4710"/>
            <w:tcMar>
              <w:top w:type="dxa" w:w="70"/>
              <w:left w:type="dxa" w:w="90"/>
              <w:bottom w:type="dxa" w:w="70"/>
              <w:right w:type="dxa" w:w="90"/>
            </w:tcMar>
            <w:vAlign w:val="top"/>
          </w:tcPr>
          <w:p>
            <w:r>
              <w:rPr>
                <w:b w:val="false"/>
                <w:bCs w:val="false"/>
                <w:color w:val="000000"/>
                <w:sz w:val="17"/>
                <w:szCs w:val="17"/>
              </w:rPr>
              <w:t xml:space="preserve">Knowledge submission by state stewards; editorial review; public publication; content recommendation</w:t>
            </w:r>
          </w:p>
        </w:tc>
      </w:tr>
      <w:tr>
        <w:tc>
          <w:tcPr>
            <w:tcW w:type="dxa" w:w="2253"/>
            <w:tcMar>
              <w:top w:type="dxa" w:w="70"/>
              <w:left w:type="dxa" w:w="90"/>
              <w:bottom w:type="dxa" w:w="70"/>
              <w:right w:type="dxa" w:w="90"/>
            </w:tcMar>
            <w:vAlign w:val="top"/>
          </w:tcPr>
          <w:p>
            <w:r>
              <w:rPr>
                <w:b/>
                <w:bCs/>
                <w:color w:val="000000"/>
                <w:sz w:val="17"/>
                <w:szCs w:val="17"/>
              </w:rPr>
              <w:t xml:space="preserve">Monitoring, Evaluation &amp; Reporting</w:t>
            </w:r>
          </w:p>
        </w:tc>
        <w:tc>
          <w:tcPr>
            <w:tcW w:type="dxa" w:w="3277"/>
            <w:tcMar>
              <w:top w:type="dxa" w:w="70"/>
              <w:left w:type="dxa" w:w="90"/>
              <w:bottom w:type="dxa" w:w="70"/>
              <w:right w:type="dxa" w:w="90"/>
            </w:tcMar>
            <w:vAlign w:val="top"/>
          </w:tcPr>
          <w:p>
            <w:r>
              <w:rPr>
                <w:b w:val="false"/>
                <w:bCs w:val="false"/>
                <w:color w:val="000000"/>
                <w:sz w:val="17"/>
                <w:szCs w:val="17"/>
              </w:rPr>
              <w:t xml:space="preserve">KPI aggregation; template-based reporting; dashboard publication</w:t>
            </w:r>
          </w:p>
        </w:tc>
        <w:tc>
          <w:tcPr>
            <w:tcW w:type="dxa" w:w="4710"/>
            <w:tcMar>
              <w:top w:type="dxa" w:w="70"/>
              <w:left w:type="dxa" w:w="90"/>
              <w:bottom w:type="dxa" w:w="70"/>
              <w:right w:type="dxa" w:w="90"/>
            </w:tcMar>
            <w:vAlign w:val="top"/>
          </w:tcPr>
          <w:p>
            <w:r>
              <w:rPr>
                <w:b w:val="false"/>
                <w:bCs w:val="false"/>
                <w:color w:val="000000"/>
                <w:sz w:val="17"/>
                <w:szCs w:val="17"/>
              </w:rPr>
              <w:t xml:space="preserve">Automated donor report generation; executive/management/operational dashboards; KPI trend view</w:t>
            </w:r>
          </w:p>
        </w:tc>
      </w:tr>
      <w:tr>
        <w:tc>
          <w:tcPr>
            <w:tcW w:type="dxa" w:w="2253"/>
            <w:tcMar>
              <w:top w:type="dxa" w:w="70"/>
              <w:left w:type="dxa" w:w="90"/>
              <w:bottom w:type="dxa" w:w="70"/>
              <w:right w:type="dxa" w:w="90"/>
            </w:tcMar>
            <w:vAlign w:val="top"/>
          </w:tcPr>
          <w:p>
            <w:r>
              <w:rPr>
                <w:b/>
                <w:bCs/>
                <w:color w:val="000000"/>
                <w:sz w:val="17"/>
                <w:szCs w:val="17"/>
              </w:rPr>
              <w:t xml:space="preserve">Governance, Risk &amp; Compliance</w:t>
            </w:r>
          </w:p>
        </w:tc>
        <w:tc>
          <w:tcPr>
            <w:tcW w:type="dxa" w:w="3277"/>
            <w:tcMar>
              <w:top w:type="dxa" w:w="70"/>
              <w:left w:type="dxa" w:w="90"/>
              <w:bottom w:type="dxa" w:w="70"/>
              <w:right w:type="dxa" w:w="90"/>
            </w:tcMar>
            <w:vAlign w:val="top"/>
          </w:tcPr>
          <w:p>
            <w:r>
              <w:rPr>
                <w:b w:val="false"/>
                <w:bCs w:val="false"/>
                <w:color w:val="000000"/>
                <w:sz w:val="17"/>
                <w:szCs w:val="17"/>
              </w:rPr>
              <w:t xml:space="preserve">Charter administration; security governance; compliance monitoring; audit</w:t>
            </w:r>
          </w:p>
        </w:tc>
        <w:tc>
          <w:tcPr>
            <w:tcW w:type="dxa" w:w="4710"/>
            <w:tcMar>
              <w:top w:type="dxa" w:w="70"/>
              <w:left w:type="dxa" w:w="90"/>
              <w:bottom w:type="dxa" w:w="70"/>
              <w:right w:type="dxa" w:w="90"/>
            </w:tcMar>
            <w:vAlign w:val="top"/>
          </w:tcPr>
          <w:p>
            <w:r>
              <w:rPr>
                <w:b w:val="false"/>
                <w:bCs w:val="false"/>
                <w:color w:val="000000"/>
                <w:sz w:val="17"/>
                <w:szCs w:val="17"/>
              </w:rPr>
              <w:t xml:space="preserve">Governance Charter register; access-control review; NDPR compliance checklist; audit-log review</w:t>
            </w:r>
          </w:p>
        </w:tc>
      </w:tr>
      <w:tr>
        <w:tc>
          <w:tcPr>
            <w:tcW w:type="dxa" w:w="2253"/>
            <w:tcMar>
              <w:top w:type="dxa" w:w="70"/>
              <w:left w:type="dxa" w:w="90"/>
              <w:bottom w:type="dxa" w:w="70"/>
              <w:right w:type="dxa" w:w="90"/>
            </w:tcMar>
            <w:vAlign w:val="top"/>
          </w:tcPr>
          <w:p>
            <w:r>
              <w:rPr>
                <w:b/>
                <w:bCs/>
                <w:color w:val="000000"/>
                <w:sz w:val="17"/>
                <w:szCs w:val="17"/>
              </w:rPr>
              <w:t xml:space="preserve">Stakeholder Engagement &amp; Collaboration</w:t>
            </w:r>
          </w:p>
        </w:tc>
        <w:tc>
          <w:tcPr>
            <w:tcW w:type="dxa" w:w="3277"/>
            <w:tcMar>
              <w:top w:type="dxa" w:w="70"/>
              <w:left w:type="dxa" w:w="90"/>
              <w:bottom w:type="dxa" w:w="70"/>
              <w:right w:type="dxa" w:w="90"/>
            </w:tcMar>
            <w:vAlign w:val="top"/>
          </w:tcPr>
          <w:p>
            <w:r>
              <w:rPr>
                <w:b w:val="false"/>
                <w:bCs w:val="false"/>
                <w:color w:val="000000"/>
                <w:sz w:val="17"/>
                <w:szCs w:val="17"/>
              </w:rPr>
              <w:t xml:space="preserve">Cross-state collaboration; training delivery; stakeholder communication</w:t>
            </w:r>
          </w:p>
        </w:tc>
        <w:tc>
          <w:tcPr>
            <w:tcW w:type="dxa" w:w="4710"/>
            <w:tcMar>
              <w:top w:type="dxa" w:w="70"/>
              <w:left w:type="dxa" w:w="90"/>
              <w:bottom w:type="dxa" w:w="70"/>
              <w:right w:type="dxa" w:w="90"/>
            </w:tcMar>
            <w:vAlign w:val="top"/>
          </w:tcPr>
          <w:p>
            <w:r>
              <w:rPr>
                <w:b w:val="false"/>
                <w:bCs w:val="false"/>
                <w:color w:val="000000"/>
                <w:sz w:val="17"/>
                <w:szCs w:val="17"/>
              </w:rPr>
              <w:t xml:space="preserve">Shared collaboration workspace; training-of-trainers content; donor-alignment briefing pack</w:t>
            </w:r>
          </w:p>
        </w:tc>
      </w:tr>
      <w:tr>
        <w:tc>
          <w:tcPr>
            <w:tcW w:type="dxa" w:w="2253"/>
            <w:tcMar>
              <w:top w:type="dxa" w:w="70"/>
              <w:left w:type="dxa" w:w="90"/>
              <w:bottom w:type="dxa" w:w="70"/>
              <w:right w:type="dxa" w:w="90"/>
            </w:tcMar>
            <w:vAlign w:val="top"/>
          </w:tcPr>
          <w:p>
            <w:r>
              <w:rPr>
                <w:b/>
                <w:bCs/>
                <w:color w:val="000000"/>
                <w:sz w:val="17"/>
                <w:szCs w:val="17"/>
              </w:rPr>
              <w:t xml:space="preserve">Technology &amp; Platform Operations</w:t>
            </w:r>
          </w:p>
        </w:tc>
        <w:tc>
          <w:tcPr>
            <w:tcW w:type="dxa" w:w="3277"/>
            <w:tcMar>
              <w:top w:type="dxa" w:w="70"/>
              <w:left w:type="dxa" w:w="90"/>
              <w:bottom w:type="dxa" w:w="70"/>
              <w:right w:type="dxa" w:w="90"/>
            </w:tcMar>
            <w:vAlign w:val="top"/>
          </w:tcPr>
          <w:p>
            <w:r>
              <w:rPr>
                <w:b w:val="false"/>
                <w:bCs w:val="false"/>
                <w:color w:val="000000"/>
                <w:sz w:val="17"/>
                <w:szCs w:val="17"/>
              </w:rPr>
              <w:t xml:space="preserve">Hosting and administration; integration; capability building</w:t>
            </w:r>
          </w:p>
        </w:tc>
        <w:tc>
          <w:tcPr>
            <w:tcW w:type="dxa" w:w="4710"/>
            <w:tcMar>
              <w:top w:type="dxa" w:w="70"/>
              <w:left w:type="dxa" w:w="90"/>
              <w:bottom w:type="dxa" w:w="70"/>
              <w:right w:type="dxa" w:w="90"/>
            </w:tcMar>
            <w:vAlign w:val="top"/>
          </w:tcPr>
          <w:p>
            <w:r>
              <w:rPr>
                <w:b w:val="false"/>
                <w:bCs w:val="false"/>
                <w:color w:val="000000"/>
                <w:sz w:val="17"/>
                <w:szCs w:val="17"/>
              </w:rPr>
              <w:t xml:space="preserve">Platform configuration console; API/integration management; KM/ICT Unit capacity-building programme</w:t>
            </w:r>
          </w:p>
        </w:tc>
      </w:tr>
    </w:tbl>
    <w:p>
      <w:pPr>
        <w:spacing w:after="160"/>
      </w:pPr>
    </w:p>
    <w:p>
      <w:pPr>
        <w:pStyle w:val="Heading1"/>
        <w:pBdr>
          <w:bottom w:val="single" w:color="1F3864" w:sz="6" w:space="4"/>
        </w:pBdr>
        <w:spacing w:after="130" w:before="320"/>
      </w:pPr>
      <w:r>
        <w:t xml:space="preserve">2.3 Business Capabilities and Capability Map</w:t>
      </w:r>
    </w:p>
    <w:p>
      <w:pPr>
        <w:spacing w:after="150" w:line="276"/>
        <w:jc w:val="both"/>
      </w:pPr>
      <w:r>
        <w:t xml:space="preserve">Nine Level-1 business capabilities span the two domains most central to the TOR (Document &amp; Content Management, Knowledge Management) and the cross-cutting domains that support them. Each Level-1 capability decomposes into the Level-2 capabilities listed alongside it. This table is the textual capability map; the corresponding visual Business Capability Map diagram is specified for production in Section 16 (Antigravity Handoff Package).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72"/>
        <w:gridCol w:w="7168"/>
      </w:tblGrid>
      <w:tr>
        <w:trPr>
          <w:tblHeader/>
        </w:trPr>
        <w:tc>
          <w:tcPr>
            <w:tcW w:type="dxa" w:w="3072"/>
            <w:shd w:fill="1F3864" w:val="clear"/>
            <w:tcMar>
              <w:top w:type="dxa" w:w="70"/>
              <w:left w:type="dxa" w:w="90"/>
              <w:bottom w:type="dxa" w:w="70"/>
              <w:right w:type="dxa" w:w="90"/>
            </w:tcMar>
            <w:vAlign w:val="top"/>
          </w:tcPr>
          <w:p>
            <w:r>
              <w:rPr>
                <w:b/>
                <w:bCs/>
                <w:color w:val="FFFFFF"/>
                <w:sz w:val="17"/>
                <w:szCs w:val="17"/>
              </w:rPr>
              <w:t xml:space="preserve">Level-1 Capability</w:t>
            </w:r>
          </w:p>
        </w:tc>
        <w:tc>
          <w:tcPr>
            <w:tcW w:type="dxa" w:w="7168"/>
            <w:shd w:fill="1F3864" w:val="clear"/>
            <w:tcMar>
              <w:top w:type="dxa" w:w="70"/>
              <w:left w:type="dxa" w:w="90"/>
              <w:bottom w:type="dxa" w:w="70"/>
              <w:right w:type="dxa" w:w="90"/>
            </w:tcMar>
            <w:vAlign w:val="top"/>
          </w:tcPr>
          <w:p>
            <w:r>
              <w:rPr>
                <w:b/>
                <w:bCs/>
                <w:color w:val="FFFFFF"/>
                <w:sz w:val="17"/>
                <w:szCs w:val="17"/>
              </w:rPr>
              <w:t xml:space="preserve">Level-2 Capabilities</w:t>
            </w:r>
          </w:p>
        </w:tc>
      </w:tr>
      <w:tr>
        <w:tc>
          <w:tcPr>
            <w:tcW w:type="dxa" w:w="3072"/>
            <w:tcMar>
              <w:top w:type="dxa" w:w="70"/>
              <w:left w:type="dxa" w:w="90"/>
              <w:bottom w:type="dxa" w:w="70"/>
              <w:right w:type="dxa" w:w="90"/>
            </w:tcMar>
            <w:vAlign w:val="top"/>
          </w:tcPr>
          <w:p>
            <w:r>
              <w:rPr>
                <w:b/>
                <w:bCs/>
                <w:color w:val="000000"/>
                <w:sz w:val="17"/>
                <w:szCs w:val="17"/>
              </w:rPr>
              <w:t xml:space="preserve">Content Lifecycle Management</w:t>
            </w:r>
          </w:p>
        </w:tc>
        <w:tc>
          <w:tcPr>
            <w:tcW w:type="dxa" w:w="7168"/>
            <w:tcMar>
              <w:top w:type="dxa" w:w="70"/>
              <w:left w:type="dxa" w:w="90"/>
              <w:bottom w:type="dxa" w:w="70"/>
              <w:right w:type="dxa" w:w="90"/>
            </w:tcMar>
            <w:vAlign w:val="top"/>
          </w:tcPr>
          <w:p>
            <w:r>
              <w:rPr>
                <w:b w:val="false"/>
                <w:bCs w:val="false"/>
                <w:color w:val="000000"/>
                <w:sz w:val="17"/>
                <w:szCs w:val="17"/>
              </w:rPr>
              <w:t xml:space="preserve">Capture; Classify; Store; Version; Retain / Dispose</w:t>
            </w:r>
          </w:p>
        </w:tc>
      </w:tr>
      <w:tr>
        <w:tc>
          <w:tcPr>
            <w:tcW w:type="dxa" w:w="3072"/>
            <w:tcMar>
              <w:top w:type="dxa" w:w="70"/>
              <w:left w:type="dxa" w:w="90"/>
              <w:bottom w:type="dxa" w:w="70"/>
              <w:right w:type="dxa" w:w="90"/>
            </w:tcMar>
            <w:vAlign w:val="top"/>
          </w:tcPr>
          <w:p>
            <w:r>
              <w:rPr>
                <w:b/>
                <w:bCs/>
                <w:color w:val="000000"/>
                <w:sz w:val="17"/>
                <w:szCs w:val="17"/>
              </w:rPr>
              <w:t xml:space="preserve">Workflow Orchestration</w:t>
            </w:r>
          </w:p>
        </w:tc>
        <w:tc>
          <w:tcPr>
            <w:tcW w:type="dxa" w:w="7168"/>
            <w:tcMar>
              <w:top w:type="dxa" w:w="70"/>
              <w:left w:type="dxa" w:w="90"/>
              <w:bottom w:type="dxa" w:w="70"/>
              <w:right w:type="dxa" w:w="90"/>
            </w:tcMar>
            <w:vAlign w:val="top"/>
          </w:tcPr>
          <w:p>
            <w:r>
              <w:rPr>
                <w:b w:val="false"/>
                <w:bCs w:val="false"/>
                <w:color w:val="000000"/>
                <w:sz w:val="17"/>
                <w:szCs w:val="17"/>
              </w:rPr>
              <w:t xml:space="preserve">Route; Escalate; Approve; Audit Trail</w:t>
            </w:r>
          </w:p>
        </w:tc>
      </w:tr>
      <w:tr>
        <w:tc>
          <w:tcPr>
            <w:tcW w:type="dxa" w:w="3072"/>
            <w:tcMar>
              <w:top w:type="dxa" w:w="70"/>
              <w:left w:type="dxa" w:w="90"/>
              <w:bottom w:type="dxa" w:w="70"/>
              <w:right w:type="dxa" w:w="90"/>
            </w:tcMar>
            <w:vAlign w:val="top"/>
          </w:tcPr>
          <w:p>
            <w:r>
              <w:rPr>
                <w:b/>
                <w:bCs/>
                <w:color w:val="000000"/>
                <w:sz w:val="17"/>
                <w:szCs w:val="17"/>
              </w:rPr>
              <w:t xml:space="preserve">Knowledge Curation</w:t>
            </w:r>
          </w:p>
        </w:tc>
        <w:tc>
          <w:tcPr>
            <w:tcW w:type="dxa" w:w="7168"/>
            <w:tcMar>
              <w:top w:type="dxa" w:w="70"/>
              <w:left w:type="dxa" w:w="90"/>
              <w:bottom w:type="dxa" w:w="70"/>
              <w:right w:type="dxa" w:w="90"/>
            </w:tcMar>
            <w:vAlign w:val="top"/>
          </w:tcPr>
          <w:p>
            <w:r>
              <w:rPr>
                <w:b w:val="false"/>
                <w:bCs w:val="false"/>
                <w:color w:val="000000"/>
                <w:sz w:val="17"/>
                <w:szCs w:val="17"/>
              </w:rPr>
              <w:t xml:space="preserve">Capture; Curate; Publish; Disseminate; Retire</w:t>
            </w:r>
          </w:p>
        </w:tc>
      </w:tr>
      <w:tr>
        <w:tc>
          <w:tcPr>
            <w:tcW w:type="dxa" w:w="3072"/>
            <w:tcMar>
              <w:top w:type="dxa" w:w="70"/>
              <w:left w:type="dxa" w:w="90"/>
              <w:bottom w:type="dxa" w:w="70"/>
              <w:right w:type="dxa" w:w="90"/>
            </w:tcMar>
            <w:vAlign w:val="top"/>
          </w:tcPr>
          <w:p>
            <w:r>
              <w:rPr>
                <w:b/>
                <w:bCs/>
                <w:color w:val="000000"/>
                <w:sz w:val="17"/>
                <w:szCs w:val="17"/>
              </w:rPr>
              <w:t xml:space="preserve">Search &amp; Discovery</w:t>
            </w:r>
          </w:p>
        </w:tc>
        <w:tc>
          <w:tcPr>
            <w:tcW w:type="dxa" w:w="7168"/>
            <w:tcMar>
              <w:top w:type="dxa" w:w="70"/>
              <w:left w:type="dxa" w:w="90"/>
              <w:bottom w:type="dxa" w:w="70"/>
              <w:right w:type="dxa" w:w="90"/>
            </w:tcMar>
            <w:vAlign w:val="top"/>
          </w:tcPr>
          <w:p>
            <w:r>
              <w:rPr>
                <w:b w:val="false"/>
                <w:bCs w:val="false"/>
                <w:color w:val="000000"/>
                <w:sz w:val="17"/>
                <w:szCs w:val="17"/>
              </w:rPr>
              <w:t xml:space="preserve">Index; Query; Federate; Rank</w:t>
            </w:r>
          </w:p>
        </w:tc>
      </w:tr>
      <w:tr>
        <w:tc>
          <w:tcPr>
            <w:tcW w:type="dxa" w:w="3072"/>
            <w:tcMar>
              <w:top w:type="dxa" w:w="70"/>
              <w:left w:type="dxa" w:w="90"/>
              <w:bottom w:type="dxa" w:w="70"/>
              <w:right w:type="dxa" w:w="90"/>
            </w:tcMar>
            <w:vAlign w:val="top"/>
          </w:tcPr>
          <w:p>
            <w:r>
              <w:rPr>
                <w:b/>
                <w:bCs/>
                <w:color w:val="000000"/>
                <w:sz w:val="17"/>
                <w:szCs w:val="17"/>
              </w:rPr>
              <w:t xml:space="preserve">Reporting &amp; Analytics</w:t>
            </w:r>
          </w:p>
        </w:tc>
        <w:tc>
          <w:tcPr>
            <w:tcW w:type="dxa" w:w="7168"/>
            <w:tcMar>
              <w:top w:type="dxa" w:w="70"/>
              <w:left w:type="dxa" w:w="90"/>
              <w:bottom w:type="dxa" w:w="70"/>
              <w:right w:type="dxa" w:w="90"/>
            </w:tcMar>
            <w:vAlign w:val="top"/>
          </w:tcPr>
          <w:p>
            <w:r>
              <w:rPr>
                <w:b w:val="false"/>
                <w:bCs w:val="false"/>
                <w:color w:val="000000"/>
                <w:sz w:val="17"/>
                <w:szCs w:val="17"/>
              </w:rPr>
              <w:t xml:space="preserve">Aggregate; Template; Visualize; Distribute</w:t>
            </w:r>
          </w:p>
        </w:tc>
      </w:tr>
      <w:tr>
        <w:tc>
          <w:tcPr>
            <w:tcW w:type="dxa" w:w="3072"/>
            <w:tcMar>
              <w:top w:type="dxa" w:w="70"/>
              <w:left w:type="dxa" w:w="90"/>
              <w:bottom w:type="dxa" w:w="70"/>
              <w:right w:type="dxa" w:w="90"/>
            </w:tcMar>
            <w:vAlign w:val="top"/>
          </w:tcPr>
          <w:p>
            <w:r>
              <w:rPr>
                <w:b/>
                <w:bCs/>
                <w:color w:val="000000"/>
                <w:sz w:val="17"/>
                <w:szCs w:val="17"/>
              </w:rPr>
              <w:t xml:space="preserve">Governance &amp; Stewardship</w:t>
            </w:r>
          </w:p>
        </w:tc>
        <w:tc>
          <w:tcPr>
            <w:tcW w:type="dxa" w:w="7168"/>
            <w:tcMar>
              <w:top w:type="dxa" w:w="70"/>
              <w:left w:type="dxa" w:w="90"/>
              <w:bottom w:type="dxa" w:w="70"/>
              <w:right w:type="dxa" w:w="90"/>
            </w:tcMar>
            <w:vAlign w:val="top"/>
          </w:tcPr>
          <w:p>
            <w:r>
              <w:rPr>
                <w:b w:val="false"/>
                <w:bCs w:val="false"/>
                <w:color w:val="000000"/>
                <w:sz w:val="17"/>
                <w:szCs w:val="17"/>
              </w:rPr>
              <w:t xml:space="preserve">Define Taxonomy; Assign Ownership; Enforce Retention; Administer Charter</w:t>
            </w:r>
          </w:p>
        </w:tc>
      </w:tr>
      <w:tr>
        <w:tc>
          <w:tcPr>
            <w:tcW w:type="dxa" w:w="3072"/>
            <w:tcMar>
              <w:top w:type="dxa" w:w="70"/>
              <w:left w:type="dxa" w:w="90"/>
              <w:bottom w:type="dxa" w:w="70"/>
              <w:right w:type="dxa" w:w="90"/>
            </w:tcMar>
            <w:vAlign w:val="top"/>
          </w:tcPr>
          <w:p>
            <w:r>
              <w:rPr>
                <w:b/>
                <w:bCs/>
                <w:color w:val="000000"/>
                <w:sz w:val="17"/>
                <w:szCs w:val="17"/>
              </w:rPr>
              <w:t xml:space="preserve">Security &amp; Access Management</w:t>
            </w:r>
          </w:p>
        </w:tc>
        <w:tc>
          <w:tcPr>
            <w:tcW w:type="dxa" w:w="7168"/>
            <w:tcMar>
              <w:top w:type="dxa" w:w="70"/>
              <w:left w:type="dxa" w:w="90"/>
              <w:bottom w:type="dxa" w:w="70"/>
              <w:right w:type="dxa" w:w="90"/>
            </w:tcMar>
            <w:vAlign w:val="top"/>
          </w:tcPr>
          <w:p>
            <w:r>
              <w:rPr>
                <w:b w:val="false"/>
                <w:bCs w:val="false"/>
                <w:color w:val="000000"/>
                <w:sz w:val="17"/>
                <w:szCs w:val="17"/>
              </w:rPr>
              <w:t xml:space="preserve">Authenticate; Authorize; Encrypt; Monitor</w:t>
            </w:r>
          </w:p>
        </w:tc>
      </w:tr>
      <w:tr>
        <w:tc>
          <w:tcPr>
            <w:tcW w:type="dxa" w:w="3072"/>
            <w:tcMar>
              <w:top w:type="dxa" w:w="70"/>
              <w:left w:type="dxa" w:w="90"/>
              <w:bottom w:type="dxa" w:w="70"/>
              <w:right w:type="dxa" w:w="90"/>
            </w:tcMar>
            <w:vAlign w:val="top"/>
          </w:tcPr>
          <w:p>
            <w:r>
              <w:rPr>
                <w:b/>
                <w:bCs/>
                <w:color w:val="000000"/>
                <w:sz w:val="17"/>
                <w:szCs w:val="17"/>
              </w:rPr>
              <w:t xml:space="preserve">Stakeholder Collaboration</w:t>
            </w:r>
          </w:p>
        </w:tc>
        <w:tc>
          <w:tcPr>
            <w:tcW w:type="dxa" w:w="7168"/>
            <w:tcMar>
              <w:top w:type="dxa" w:w="70"/>
              <w:left w:type="dxa" w:w="90"/>
              <w:bottom w:type="dxa" w:w="70"/>
              <w:right w:type="dxa" w:w="90"/>
            </w:tcMar>
            <w:vAlign w:val="top"/>
          </w:tcPr>
          <w:p>
            <w:r>
              <w:rPr>
                <w:b w:val="false"/>
                <w:bCs w:val="false"/>
                <w:color w:val="000000"/>
                <w:sz w:val="17"/>
                <w:szCs w:val="17"/>
              </w:rPr>
              <w:t xml:space="preserve">Co-author; Comment; Review; Train</w:t>
            </w:r>
          </w:p>
        </w:tc>
      </w:tr>
      <w:tr>
        <w:tc>
          <w:tcPr>
            <w:tcW w:type="dxa" w:w="3072"/>
            <w:tcMar>
              <w:top w:type="dxa" w:w="70"/>
              <w:left w:type="dxa" w:w="90"/>
              <w:bottom w:type="dxa" w:w="70"/>
              <w:right w:type="dxa" w:w="90"/>
            </w:tcMar>
            <w:vAlign w:val="top"/>
          </w:tcPr>
          <w:p>
            <w:r>
              <w:rPr>
                <w:b/>
                <w:bCs/>
                <w:color w:val="000000"/>
                <w:sz w:val="17"/>
                <w:szCs w:val="17"/>
              </w:rPr>
              <w:t xml:space="preserve">Platform Administration</w:t>
            </w:r>
          </w:p>
        </w:tc>
        <w:tc>
          <w:tcPr>
            <w:tcW w:type="dxa" w:w="7168"/>
            <w:tcMar>
              <w:top w:type="dxa" w:w="70"/>
              <w:left w:type="dxa" w:w="90"/>
              <w:bottom w:type="dxa" w:w="70"/>
              <w:right w:type="dxa" w:w="90"/>
            </w:tcMar>
            <w:vAlign w:val="top"/>
          </w:tcPr>
          <w:p>
            <w:r>
              <w:rPr>
                <w:b w:val="false"/>
                <w:bCs w:val="false"/>
                <w:color w:val="000000"/>
                <w:sz w:val="17"/>
                <w:szCs w:val="17"/>
              </w:rPr>
              <w:t xml:space="preserve">Configure; Integrate; Scale; Support</w:t>
            </w:r>
          </w:p>
        </w:tc>
      </w:tr>
    </w:tbl>
    <w:p>
      <w:pPr>
        <w:spacing w:after="160"/>
      </w:pPr>
    </w:p>
    <w:p>
      <w:pPr>
        <w:pStyle w:val="Heading1"/>
        <w:pBdr>
          <w:bottom w:val="single" w:color="1F3864" w:sz="6" w:space="4"/>
        </w:pBdr>
        <w:spacing w:after="130" w:before="320"/>
      </w:pPr>
      <w:r>
        <w:t xml:space="preserve">2.4 Business Capability Heat Map</w:t>
      </w:r>
    </w:p>
    <w:p>
      <w:pPr>
        <w:spacing w:after="150" w:line="276"/>
        <w:jc w:val="both"/>
      </w:pPr>
      <w:r>
        <w:t xml:space="preserve">Current maturity uses the three-level capability-maturity framing already established in the Master Bid &amp; Delivery Strategy for the client's own KM and ICT Units: Level 1 (ad hoc), Level 2 (systematized but consultant-dependent), Level 3 (systematized and self-sufficient). Applying that same scale across all nine capabilities gives a single, consistent heat map rather than a separate maturity language for each capability. Target maturity is what this engagement is designed to reach by the sustainability handover at the end of the twelve-week schedule; priority reflects both TOR mandate and the severity of the Current State finding in Section 1.2.</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2048"/>
        <w:gridCol w:w="3482"/>
        <w:gridCol w:w="1843"/>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Capability</w:t>
            </w:r>
          </w:p>
        </w:tc>
        <w:tc>
          <w:tcPr>
            <w:tcW w:type="dxa" w:w="2048"/>
            <w:shd w:fill="1F3864" w:val="clear"/>
            <w:tcMar>
              <w:top w:type="dxa" w:w="70"/>
              <w:left w:type="dxa" w:w="90"/>
              <w:bottom w:type="dxa" w:w="70"/>
              <w:right w:type="dxa" w:w="90"/>
            </w:tcMar>
            <w:vAlign w:val="top"/>
          </w:tcPr>
          <w:p>
            <w:r>
              <w:rPr>
                <w:b/>
                <w:bCs/>
                <w:color w:val="FFFFFF"/>
                <w:sz w:val="17"/>
                <w:szCs w:val="17"/>
              </w:rPr>
              <w:t xml:space="preserve">Current Maturity</w:t>
            </w:r>
          </w:p>
        </w:tc>
        <w:tc>
          <w:tcPr>
            <w:tcW w:type="dxa" w:w="3482"/>
            <w:shd w:fill="1F3864" w:val="clear"/>
            <w:tcMar>
              <w:top w:type="dxa" w:w="70"/>
              <w:left w:type="dxa" w:w="90"/>
              <w:bottom w:type="dxa" w:w="70"/>
              <w:right w:type="dxa" w:w="90"/>
            </w:tcMar>
            <w:vAlign w:val="top"/>
          </w:tcPr>
          <w:p>
            <w:r>
              <w:rPr>
                <w:b/>
                <w:bCs/>
                <w:color w:val="FFFFFF"/>
                <w:sz w:val="17"/>
                <w:szCs w:val="17"/>
              </w:rPr>
              <w:t xml:space="preserve">Target Maturity (by handover)</w:t>
            </w:r>
          </w:p>
        </w:tc>
        <w:tc>
          <w:tcPr>
            <w:tcW w:type="dxa" w:w="1843"/>
            <w:shd w:fill="1F3864" w:val="clear"/>
            <w:tcMar>
              <w:top w:type="dxa" w:w="70"/>
              <w:left w:type="dxa" w:w="90"/>
              <w:bottom w:type="dxa" w:w="70"/>
              <w:right w:type="dxa" w:w="90"/>
            </w:tcMar>
            <w:vAlign w:val="top"/>
          </w:tcPr>
          <w:p>
            <w:r>
              <w:rPr>
                <w:b/>
                <w:bCs/>
                <w:color w:val="FFFFFF"/>
                <w:sz w:val="17"/>
                <w:szCs w:val="17"/>
              </w:rPr>
              <w:t xml:space="preserve">Priority</w:t>
            </w:r>
          </w:p>
        </w:tc>
      </w:tr>
      <w:tr>
        <w:tc>
          <w:tcPr>
            <w:tcW w:type="dxa" w:w="2867"/>
            <w:tcMar>
              <w:top w:type="dxa" w:w="70"/>
              <w:left w:type="dxa" w:w="90"/>
              <w:bottom w:type="dxa" w:w="70"/>
              <w:right w:type="dxa" w:w="90"/>
            </w:tcMar>
            <w:vAlign w:val="top"/>
          </w:tcPr>
          <w:p>
            <w:r>
              <w:rPr>
                <w:b/>
                <w:bCs/>
                <w:color w:val="000000"/>
                <w:sz w:val="17"/>
                <w:szCs w:val="17"/>
              </w:rPr>
              <w:t xml:space="preserve">Content Lifecycle Management</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3 — Self-sufficient</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Workflow Orchestration</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(consultant-supported)</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Knowledge Curation</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(consultant-supported)</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Search &amp; Discovery</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(consultant-supported)</w:t>
            </w:r>
          </w:p>
        </w:tc>
        <w:tc>
          <w:tcPr>
            <w:tcW w:type="dxa" w:w="1843"/>
            <w:tcMar>
              <w:top w:type="dxa" w:w="70"/>
              <w:left w:type="dxa" w:w="90"/>
              <w:bottom w:type="dxa" w:w="70"/>
              <w:right w:type="dxa" w:w="90"/>
            </w:tcMar>
            <w:vAlign w:val="top"/>
          </w:tcPr>
          <w:p>
            <w:r>
              <w:rPr>
                <w:b w:val="false"/>
                <w:bCs w:val="false"/>
                <w:color w:val="000000"/>
                <w:sz w:val="17"/>
                <w:szCs w:val="17"/>
              </w:rPr>
              <w:t xml:space="preserve">Medium</w:t>
            </w:r>
          </w:p>
        </w:tc>
      </w:tr>
      <w:tr>
        <w:tc>
          <w:tcPr>
            <w:tcW w:type="dxa" w:w="2867"/>
            <w:tcMar>
              <w:top w:type="dxa" w:w="70"/>
              <w:left w:type="dxa" w:w="90"/>
              <w:bottom w:type="dxa" w:w="70"/>
              <w:right w:type="dxa" w:w="90"/>
            </w:tcMar>
            <w:vAlign w:val="top"/>
          </w:tcPr>
          <w:p>
            <w:r>
              <w:rPr>
                <w:b/>
                <w:bCs/>
                <w:color w:val="000000"/>
                <w:sz w:val="17"/>
                <w:szCs w:val="17"/>
              </w:rPr>
              <w:t xml:space="preserve">Reporting &amp; Analytics</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3 — Self-sufficient</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Governance &amp; Stewardship</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(Charter adopted, stewardship assigned)</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Security &amp; Access Management</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(consultant-supported)</w:t>
            </w:r>
          </w:p>
        </w:tc>
        <w:tc>
          <w:tcPr>
            <w:tcW w:type="dxa" w:w="1843"/>
            <w:tcMar>
              <w:top w:type="dxa" w:w="70"/>
              <w:left w:type="dxa" w:w="90"/>
              <w:bottom w:type="dxa" w:w="70"/>
              <w:right w:type="dxa" w:w="90"/>
            </w:tcMar>
            <w:vAlign w:val="top"/>
          </w:tcPr>
          <w:p>
            <w:r>
              <w:rPr>
                <w:b w:val="false"/>
                <w:bCs w:val="false"/>
                <w:color w:val="000000"/>
                <w:sz w:val="17"/>
                <w:szCs w:val="17"/>
              </w:rPr>
              <w:t xml:space="preserve">High</w:t>
            </w:r>
          </w:p>
        </w:tc>
      </w:tr>
      <w:tr>
        <w:tc>
          <w:tcPr>
            <w:tcW w:type="dxa" w:w="2867"/>
            <w:tcMar>
              <w:top w:type="dxa" w:w="70"/>
              <w:left w:type="dxa" w:w="90"/>
              <w:bottom w:type="dxa" w:w="70"/>
              <w:right w:type="dxa" w:w="90"/>
            </w:tcMar>
            <w:vAlign w:val="top"/>
          </w:tcPr>
          <w:p>
            <w:r>
              <w:rPr>
                <w:b/>
                <w:bCs/>
                <w:color w:val="000000"/>
                <w:sz w:val="17"/>
                <w:szCs w:val="17"/>
              </w:rPr>
              <w:t xml:space="preserve">Stakeholder Collaboration</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(consultant-supported)</w:t>
            </w:r>
          </w:p>
        </w:tc>
        <w:tc>
          <w:tcPr>
            <w:tcW w:type="dxa" w:w="1843"/>
            <w:tcMar>
              <w:top w:type="dxa" w:w="70"/>
              <w:left w:type="dxa" w:w="90"/>
              <w:bottom w:type="dxa" w:w="70"/>
              <w:right w:type="dxa" w:w="90"/>
            </w:tcMar>
            <w:vAlign w:val="top"/>
          </w:tcPr>
          <w:p>
            <w:r>
              <w:rPr>
                <w:b w:val="false"/>
                <w:bCs w:val="false"/>
                <w:color w:val="000000"/>
                <w:sz w:val="17"/>
                <w:szCs w:val="17"/>
              </w:rPr>
              <w:t xml:space="preserve">Medium</w:t>
            </w:r>
          </w:p>
        </w:tc>
      </w:tr>
      <w:tr>
        <w:tc>
          <w:tcPr>
            <w:tcW w:type="dxa" w:w="2867"/>
            <w:tcMar>
              <w:top w:type="dxa" w:w="70"/>
              <w:left w:type="dxa" w:w="90"/>
              <w:bottom w:type="dxa" w:w="70"/>
              <w:right w:type="dxa" w:w="90"/>
            </w:tcMar>
            <w:vAlign w:val="top"/>
          </w:tcPr>
          <w:p>
            <w:r>
              <w:rPr>
                <w:b/>
                <w:bCs/>
                <w:color w:val="000000"/>
                <w:sz w:val="17"/>
                <w:szCs w:val="17"/>
              </w:rPr>
              <w:t xml:space="preserve">Platform Administration</w:t>
            </w:r>
          </w:p>
        </w:tc>
        <w:tc>
          <w:tcPr>
            <w:tcW w:type="dxa" w:w="2048"/>
            <w:tcMar>
              <w:top w:type="dxa" w:w="70"/>
              <w:left w:type="dxa" w:w="90"/>
              <w:bottom w:type="dxa" w:w="70"/>
              <w:right w:type="dxa" w:w="90"/>
            </w:tcMar>
            <w:vAlign w:val="top"/>
          </w:tcPr>
          <w:p>
            <w:r>
              <w:rPr>
                <w:b w:val="false"/>
                <w:bCs w:val="false"/>
                <w:color w:val="000000"/>
                <w:sz w:val="17"/>
                <w:szCs w:val="17"/>
              </w:rPr>
              <w:t xml:space="preserve">Level 1 — Ad hoc</w:t>
            </w:r>
          </w:p>
        </w:tc>
        <w:tc>
          <w:tcPr>
            <w:tcW w:type="dxa" w:w="3482"/>
            <w:tcMar>
              <w:top w:type="dxa" w:w="70"/>
              <w:left w:type="dxa" w:w="90"/>
              <w:bottom w:type="dxa" w:w="70"/>
              <w:right w:type="dxa" w:w="90"/>
            </w:tcMar>
            <w:vAlign w:val="top"/>
          </w:tcPr>
          <w:p>
            <w:r>
              <w:rPr>
                <w:b w:val="false"/>
                <w:bCs w:val="false"/>
                <w:color w:val="000000"/>
                <w:sz w:val="17"/>
                <w:szCs w:val="17"/>
              </w:rPr>
              <w:t xml:space="preserve">Level 2 — Systematized, progressing to Level 3 post-handover</w:t>
            </w:r>
          </w:p>
        </w:tc>
        <w:tc>
          <w:tcPr>
            <w:tcW w:type="dxa" w:w="1843"/>
            <w:tcMar>
              <w:top w:type="dxa" w:w="70"/>
              <w:left w:type="dxa" w:w="90"/>
              <w:bottom w:type="dxa" w:w="70"/>
              <w:right w:type="dxa" w:w="90"/>
            </w:tcMar>
            <w:vAlign w:val="top"/>
          </w:tcPr>
          <w:p>
            <w:r>
              <w:rPr>
                <w:b w:val="false"/>
                <w:bCs w:val="false"/>
                <w:color w:val="000000"/>
                <w:sz w:val="17"/>
                <w:szCs w:val="17"/>
              </w:rPr>
              <w:t xml:space="preserve">Medium</w:t>
            </w:r>
          </w:p>
        </w:tc>
      </w:tr>
    </w:tbl>
    <w:p>
      <w:pPr>
        <w:spacing w:after="160"/>
      </w:pPr>
    </w:p>
    <w:p>
      <w:pPr>
        <w:pStyle w:val="Heading1"/>
        <w:pBdr>
          <w:bottom w:val="single" w:color="1F3864" w:sz="6" w:space="4"/>
        </w:pBdr>
        <w:spacing w:after="130" w:before="320"/>
      </w:pPr>
      <w:r>
        <w:t xml:space="preserve">2.5 Business Process Architecture</w:t>
      </w:r>
    </w:p>
    <w:p>
      <w:pPr>
        <w:spacing w:after="150" w:line="276"/>
        <w:jc w:val="both"/>
      </w:pPr>
      <w:r>
        <w:t xml:space="preserve">Nineteen end-to-end processes span ESM and CKR. Each is stated with its business owner, its trigger, its key stages, and the automation opportunity the new platforms create — the level of detail appropriate to an enterprise architecture blueprint. Full swimlane and sequence-level detail for the highest-value processes is scheduled as part of the Section 16 Antigravity Handoff Package's diagram set.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36"/>
        <w:gridCol w:w="1434"/>
        <w:gridCol w:w="1536"/>
        <w:gridCol w:w="2867"/>
        <w:gridCol w:w="2867"/>
      </w:tblGrid>
      <w:tr>
        <w:trPr>
          <w:tblHeader/>
        </w:trPr>
        <w:tc>
          <w:tcPr>
            <w:tcW w:type="dxa" w:w="1536"/>
            <w:shd w:fill="1F3864" w:val="clear"/>
            <w:tcMar>
              <w:top w:type="dxa" w:w="70"/>
              <w:left w:type="dxa" w:w="90"/>
              <w:bottom w:type="dxa" w:w="70"/>
              <w:right w:type="dxa" w:w="90"/>
            </w:tcMar>
            <w:vAlign w:val="top"/>
          </w:tcPr>
          <w:p>
            <w:r>
              <w:rPr>
                <w:b/>
                <w:bCs/>
                <w:color w:val="FFFFFF"/>
                <w:sz w:val="17"/>
                <w:szCs w:val="17"/>
              </w:rPr>
              <w:t xml:space="preserve">Process</w:t>
            </w:r>
          </w:p>
        </w:tc>
        <w:tc>
          <w:tcPr>
            <w:tcW w:type="dxa" w:w="1434"/>
            <w:shd w:fill="1F3864" w:val="clear"/>
            <w:tcMar>
              <w:top w:type="dxa" w:w="70"/>
              <w:left w:type="dxa" w:w="90"/>
              <w:bottom w:type="dxa" w:w="70"/>
              <w:right w:type="dxa" w:w="90"/>
            </w:tcMar>
            <w:vAlign w:val="top"/>
          </w:tcPr>
          <w:p>
            <w:r>
              <w:rPr>
                <w:b/>
                <w:bCs/>
                <w:color w:val="FFFFFF"/>
                <w:sz w:val="17"/>
                <w:szCs w:val="17"/>
              </w:rPr>
              <w:t xml:space="preserve">Owner</w:t>
            </w:r>
          </w:p>
        </w:tc>
        <w:tc>
          <w:tcPr>
            <w:tcW w:type="dxa" w:w="1536"/>
            <w:shd w:fill="1F3864" w:val="clear"/>
            <w:tcMar>
              <w:top w:type="dxa" w:w="70"/>
              <w:left w:type="dxa" w:w="90"/>
              <w:bottom w:type="dxa" w:w="70"/>
              <w:right w:type="dxa" w:w="90"/>
            </w:tcMar>
            <w:vAlign w:val="top"/>
          </w:tcPr>
          <w:p>
            <w:r>
              <w:rPr>
                <w:b/>
                <w:bCs/>
                <w:color w:val="FFFFFF"/>
                <w:sz w:val="17"/>
                <w:szCs w:val="17"/>
              </w:rPr>
              <w:t xml:space="preserve">Trigger</w:t>
            </w:r>
          </w:p>
        </w:tc>
        <w:tc>
          <w:tcPr>
            <w:tcW w:type="dxa" w:w="2867"/>
            <w:shd w:fill="1F3864" w:val="clear"/>
            <w:tcMar>
              <w:top w:type="dxa" w:w="70"/>
              <w:left w:type="dxa" w:w="90"/>
              <w:bottom w:type="dxa" w:w="70"/>
              <w:right w:type="dxa" w:w="90"/>
            </w:tcMar>
            <w:vAlign w:val="top"/>
          </w:tcPr>
          <w:p>
            <w:r>
              <w:rPr>
                <w:b/>
                <w:bCs/>
                <w:color w:val="FFFFFF"/>
                <w:sz w:val="17"/>
                <w:szCs w:val="17"/>
              </w:rPr>
              <w:t xml:space="preserve">Key Stages</w:t>
            </w:r>
          </w:p>
        </w:tc>
        <w:tc>
          <w:tcPr>
            <w:tcW w:type="dxa" w:w="2867"/>
            <w:shd w:fill="1F3864" w:val="clear"/>
            <w:tcMar>
              <w:top w:type="dxa" w:w="70"/>
              <w:left w:type="dxa" w:w="90"/>
              <w:bottom w:type="dxa" w:w="70"/>
              <w:right w:type="dxa" w:w="90"/>
            </w:tcMar>
            <w:vAlign w:val="top"/>
          </w:tcPr>
          <w:p>
            <w:r>
              <w:rPr>
                <w:b/>
                <w:bCs/>
                <w:color w:val="FFFFFF"/>
                <w:sz w:val="17"/>
                <w:szCs w:val="17"/>
              </w:rPr>
              <w:t xml:space="preserve">Automation Opportunity</w:t>
            </w:r>
          </w:p>
        </w:tc>
      </w:tr>
      <w:tr>
        <w:tc>
          <w:tcPr>
            <w:tcW w:type="dxa" w:w="1536"/>
            <w:tcMar>
              <w:top w:type="dxa" w:w="70"/>
              <w:left w:type="dxa" w:w="90"/>
              <w:bottom w:type="dxa" w:w="70"/>
              <w:right w:type="dxa" w:w="90"/>
            </w:tcMar>
            <w:vAlign w:val="top"/>
          </w:tcPr>
          <w:p>
            <w:r>
              <w:rPr>
                <w:b/>
                <w:bCs/>
                <w:color w:val="000000"/>
                <w:sz w:val="15"/>
                <w:szCs w:val="15"/>
              </w:rPr>
              <w:t xml:space="preserve">Document Lifecycle</w:t>
            </w:r>
          </w:p>
        </w:tc>
        <w:tc>
          <w:tcPr>
            <w:tcW w:type="dxa" w:w="1434"/>
            <w:tcMar>
              <w:top w:type="dxa" w:w="70"/>
              <w:left w:type="dxa" w:w="90"/>
              <w:bottom w:type="dxa" w:w="70"/>
              <w:right w:type="dxa" w:w="90"/>
            </w:tcMar>
            <w:vAlign w:val="top"/>
          </w:tcPr>
          <w:p>
            <w:r>
              <w:rPr>
                <w:b w:val="false"/>
                <w:bCs w:val="false"/>
                <w:color w:val="000000"/>
                <w:sz w:val="15"/>
                <w:szCs w:val="15"/>
              </w:rPr>
              <w:t xml:space="preserve">State Content Owner</w:t>
            </w:r>
          </w:p>
        </w:tc>
        <w:tc>
          <w:tcPr>
            <w:tcW w:type="dxa" w:w="1536"/>
            <w:tcMar>
              <w:top w:type="dxa" w:w="70"/>
              <w:left w:type="dxa" w:w="90"/>
              <w:bottom w:type="dxa" w:w="70"/>
              <w:right w:type="dxa" w:w="90"/>
            </w:tcMar>
            <w:vAlign w:val="top"/>
          </w:tcPr>
          <w:p>
            <w:r>
              <w:rPr>
                <w:b w:val="false"/>
                <w:bCs w:val="false"/>
                <w:color w:val="000000"/>
                <w:sz w:val="15"/>
                <w:szCs w:val="15"/>
              </w:rPr>
              <w:t xml:space="preserve">New document created or received</w:t>
            </w:r>
          </w:p>
        </w:tc>
        <w:tc>
          <w:tcPr>
            <w:tcW w:type="dxa" w:w="2867"/>
            <w:tcMar>
              <w:top w:type="dxa" w:w="70"/>
              <w:left w:type="dxa" w:w="90"/>
              <w:bottom w:type="dxa" w:w="70"/>
              <w:right w:type="dxa" w:w="90"/>
            </w:tcMar>
            <w:vAlign w:val="top"/>
          </w:tcPr>
          <w:p>
            <w:r>
              <w:rPr>
                <w:b w:val="false"/>
                <w:bCs w:val="false"/>
                <w:color w:val="000000"/>
                <w:sz w:val="15"/>
                <w:szCs w:val="15"/>
              </w:rPr>
              <w:t xml:space="preserve">Draft → Classify → Review → Approve → Publish/Store → Retain or Dispose</w:t>
            </w:r>
          </w:p>
        </w:tc>
        <w:tc>
          <w:tcPr>
            <w:tcW w:type="dxa" w:w="2867"/>
            <w:tcMar>
              <w:top w:type="dxa" w:w="70"/>
              <w:left w:type="dxa" w:w="90"/>
              <w:bottom w:type="dxa" w:w="70"/>
              <w:right w:type="dxa" w:w="90"/>
            </w:tcMar>
            <w:vAlign w:val="top"/>
          </w:tcPr>
          <w:p>
            <w:r>
              <w:rPr>
                <w:b w:val="false"/>
                <w:bCs w:val="false"/>
                <w:color w:val="000000"/>
                <w:sz w:val="15"/>
                <w:szCs w:val="15"/>
              </w:rPr>
              <w:t xml:space="preserve">Auto-classification against the shared taxonomy; retention-rule enforcement</w:t>
            </w:r>
          </w:p>
        </w:tc>
      </w:tr>
      <w:tr>
        <w:tc>
          <w:tcPr>
            <w:tcW w:type="dxa" w:w="1536"/>
            <w:tcMar>
              <w:top w:type="dxa" w:w="70"/>
              <w:left w:type="dxa" w:w="90"/>
              <w:bottom w:type="dxa" w:w="70"/>
              <w:right w:type="dxa" w:w="90"/>
            </w:tcMar>
            <w:vAlign w:val="top"/>
          </w:tcPr>
          <w:p>
            <w:r>
              <w:rPr>
                <w:b/>
                <w:bCs/>
                <w:color w:val="000000"/>
                <w:sz w:val="15"/>
                <w:szCs w:val="15"/>
              </w:rPr>
              <w:t xml:space="preserve">Project Lifecycle</w:t>
            </w:r>
          </w:p>
        </w:tc>
        <w:tc>
          <w:tcPr>
            <w:tcW w:type="dxa" w:w="1434"/>
            <w:tcMar>
              <w:top w:type="dxa" w:w="70"/>
              <w:left w:type="dxa" w:w="90"/>
              <w:bottom w:type="dxa" w:w="70"/>
              <w:right w:type="dxa" w:w="90"/>
            </w:tcMar>
            <w:vAlign w:val="top"/>
          </w:tcPr>
          <w:p>
            <w:r>
              <w:rPr>
                <w:b w:val="false"/>
                <w:bCs w:val="false"/>
                <w:color w:val="000000"/>
                <w:sz w:val="15"/>
                <w:szCs w:val="15"/>
              </w:rPr>
              <w:t xml:space="preserve">Programme/Project Officer</w:t>
            </w:r>
          </w:p>
        </w:tc>
        <w:tc>
          <w:tcPr>
            <w:tcW w:type="dxa" w:w="1536"/>
            <w:tcMar>
              <w:top w:type="dxa" w:w="70"/>
              <w:left w:type="dxa" w:w="90"/>
              <w:bottom w:type="dxa" w:w="70"/>
              <w:right w:type="dxa" w:w="90"/>
            </w:tcMar>
            <w:vAlign w:val="top"/>
          </w:tcPr>
          <w:p>
            <w:r>
              <w:rPr>
                <w:b w:val="false"/>
                <w:bCs w:val="false"/>
                <w:color w:val="000000"/>
                <w:sz w:val="15"/>
                <w:szCs w:val="15"/>
              </w:rPr>
              <w:t xml:space="preserve">Project initiation within a programme component</w:t>
            </w:r>
          </w:p>
        </w:tc>
        <w:tc>
          <w:tcPr>
            <w:tcW w:type="dxa" w:w="2867"/>
            <w:tcMar>
              <w:top w:type="dxa" w:w="70"/>
              <w:left w:type="dxa" w:w="90"/>
              <w:bottom w:type="dxa" w:w="70"/>
              <w:right w:type="dxa" w:w="90"/>
            </w:tcMar>
            <w:vAlign w:val="top"/>
          </w:tcPr>
          <w:p>
            <w:r>
              <w:rPr>
                <w:b w:val="false"/>
                <w:bCs w:val="false"/>
                <w:color w:val="000000"/>
                <w:sz w:val="15"/>
                <w:szCs w:val="15"/>
              </w:rPr>
              <w:t xml:space="preserve">Initiate → Plan → Execute → Monitor → Close</w:t>
            </w:r>
          </w:p>
        </w:tc>
        <w:tc>
          <w:tcPr>
            <w:tcW w:type="dxa" w:w="2867"/>
            <w:tcMar>
              <w:top w:type="dxa" w:w="70"/>
              <w:left w:type="dxa" w:w="90"/>
              <w:bottom w:type="dxa" w:w="70"/>
              <w:right w:type="dxa" w:w="90"/>
            </w:tcMar>
            <w:vAlign w:val="top"/>
          </w:tcPr>
          <w:p>
            <w:r>
              <w:rPr>
                <w:b w:val="false"/>
                <w:bCs w:val="false"/>
                <w:color w:val="000000"/>
                <w:sz w:val="15"/>
                <w:szCs w:val="15"/>
              </w:rPr>
              <w:t xml:space="preserve">Templated project workspace auto-provisioned from a project-type profile</w:t>
            </w:r>
          </w:p>
        </w:tc>
      </w:tr>
      <w:tr>
        <w:tc>
          <w:tcPr>
            <w:tcW w:type="dxa" w:w="1536"/>
            <w:tcMar>
              <w:top w:type="dxa" w:w="70"/>
              <w:left w:type="dxa" w:w="90"/>
              <w:bottom w:type="dxa" w:w="70"/>
              <w:right w:type="dxa" w:w="90"/>
            </w:tcMar>
            <w:vAlign w:val="top"/>
          </w:tcPr>
          <w:p>
            <w:r>
              <w:rPr>
                <w:b/>
                <w:bCs/>
                <w:color w:val="000000"/>
                <w:sz w:val="15"/>
                <w:szCs w:val="15"/>
              </w:rPr>
              <w:t xml:space="preserve">Programme Lifecycle</w:t>
            </w:r>
          </w:p>
        </w:tc>
        <w:tc>
          <w:tcPr>
            <w:tcW w:type="dxa" w:w="1434"/>
            <w:tcMar>
              <w:top w:type="dxa" w:w="70"/>
              <w:left w:type="dxa" w:w="90"/>
              <w:bottom w:type="dxa" w:w="70"/>
              <w:right w:type="dxa" w:w="90"/>
            </w:tcMar>
            <w:vAlign w:val="top"/>
          </w:tcPr>
          <w:p>
            <w:r>
              <w:rPr>
                <w:b w:val="false"/>
                <w:bCs w:val="false"/>
                <w:color w:val="000000"/>
                <w:sz w:val="15"/>
                <w:szCs w:val="15"/>
              </w:rPr>
              <w:t xml:space="preserve">National Programme Coordinator</w:t>
            </w:r>
          </w:p>
        </w:tc>
        <w:tc>
          <w:tcPr>
            <w:tcW w:type="dxa" w:w="1536"/>
            <w:tcMar>
              <w:top w:type="dxa" w:w="70"/>
              <w:left w:type="dxa" w:w="90"/>
              <w:bottom w:type="dxa" w:w="70"/>
              <w:right w:type="dxa" w:w="90"/>
            </w:tcMar>
            <w:vAlign w:val="top"/>
          </w:tcPr>
          <w:p>
            <w:r>
              <w:rPr>
                <w:b w:val="false"/>
                <w:bCs w:val="false"/>
                <w:color w:val="000000"/>
                <w:sz w:val="15"/>
                <w:szCs w:val="15"/>
              </w:rPr>
              <w:t xml:space="preserve">Programme component milestone or phase change</w:t>
            </w:r>
          </w:p>
        </w:tc>
        <w:tc>
          <w:tcPr>
            <w:tcW w:type="dxa" w:w="2867"/>
            <w:tcMar>
              <w:top w:type="dxa" w:w="70"/>
              <w:left w:type="dxa" w:w="90"/>
              <w:bottom w:type="dxa" w:w="70"/>
              <w:right w:type="dxa" w:w="90"/>
            </w:tcMar>
            <w:vAlign w:val="top"/>
          </w:tcPr>
          <w:p>
            <w:r>
              <w:rPr>
                <w:b w:val="false"/>
                <w:bCs w:val="false"/>
                <w:color w:val="000000"/>
                <w:sz w:val="15"/>
                <w:szCs w:val="15"/>
              </w:rPr>
              <w:t xml:space="preserve">Plan → Mobilize → Deliver → Review → Report</w:t>
            </w:r>
          </w:p>
        </w:tc>
        <w:tc>
          <w:tcPr>
            <w:tcW w:type="dxa" w:w="2867"/>
            <w:tcMar>
              <w:top w:type="dxa" w:w="70"/>
              <w:left w:type="dxa" w:w="90"/>
              <w:bottom w:type="dxa" w:w="70"/>
              <w:right w:type="dxa" w:w="90"/>
            </w:tcMar>
            <w:vAlign w:val="top"/>
          </w:tcPr>
          <w:p>
            <w:r>
              <w:rPr>
                <w:b w:val="false"/>
                <w:bCs w:val="false"/>
                <w:color w:val="000000"/>
                <w:sz w:val="15"/>
                <w:szCs w:val="15"/>
              </w:rPr>
              <w:t xml:space="preserve">Roll-up of project-level status into programme-level dashboards</w:t>
            </w:r>
          </w:p>
        </w:tc>
      </w:tr>
      <w:tr>
        <w:tc>
          <w:tcPr>
            <w:tcW w:type="dxa" w:w="1536"/>
            <w:tcMar>
              <w:top w:type="dxa" w:w="70"/>
              <w:left w:type="dxa" w:w="90"/>
              <w:bottom w:type="dxa" w:w="70"/>
              <w:right w:type="dxa" w:w="90"/>
            </w:tcMar>
            <w:vAlign w:val="top"/>
          </w:tcPr>
          <w:p>
            <w:r>
              <w:rPr>
                <w:b/>
                <w:bCs/>
                <w:color w:val="000000"/>
                <w:sz w:val="15"/>
                <w:szCs w:val="15"/>
              </w:rPr>
              <w:t xml:space="preserve">Knowledge Capture</w:t>
            </w:r>
          </w:p>
        </w:tc>
        <w:tc>
          <w:tcPr>
            <w:tcW w:type="dxa" w:w="1434"/>
            <w:tcMar>
              <w:top w:type="dxa" w:w="70"/>
              <w:left w:type="dxa" w:w="90"/>
              <w:bottom w:type="dxa" w:w="70"/>
              <w:right w:type="dxa" w:w="90"/>
            </w:tcMar>
            <w:vAlign w:val="top"/>
          </w:tcPr>
          <w:p>
            <w:r>
              <w:rPr>
                <w:b w:val="false"/>
                <w:bCs w:val="false"/>
                <w:color w:val="000000"/>
                <w:sz w:val="15"/>
                <w:szCs w:val="15"/>
              </w:rPr>
              <w:t xml:space="preserve">State Knowledge Steward</w:t>
            </w:r>
          </w:p>
        </w:tc>
        <w:tc>
          <w:tcPr>
            <w:tcW w:type="dxa" w:w="1536"/>
            <w:tcMar>
              <w:top w:type="dxa" w:w="70"/>
              <w:left w:type="dxa" w:w="90"/>
              <w:bottom w:type="dxa" w:w="70"/>
              <w:right w:type="dxa" w:w="90"/>
            </w:tcMar>
            <w:vAlign w:val="top"/>
          </w:tcPr>
          <w:p>
            <w:r>
              <w:rPr>
                <w:b w:val="false"/>
                <w:bCs w:val="false"/>
                <w:color w:val="000000"/>
                <w:sz w:val="15"/>
                <w:szCs w:val="15"/>
              </w:rPr>
              <w:t xml:space="preserve">Activity, lesson, or milestone completed</w:t>
            </w:r>
          </w:p>
        </w:tc>
        <w:tc>
          <w:tcPr>
            <w:tcW w:type="dxa" w:w="2867"/>
            <w:tcMar>
              <w:top w:type="dxa" w:w="70"/>
              <w:left w:type="dxa" w:w="90"/>
              <w:bottom w:type="dxa" w:w="70"/>
              <w:right w:type="dxa" w:w="90"/>
            </w:tcMar>
            <w:vAlign w:val="top"/>
          </w:tcPr>
          <w:p>
            <w:r>
              <w:rPr>
                <w:b w:val="false"/>
                <w:bCs w:val="false"/>
                <w:color w:val="000000"/>
                <w:sz w:val="15"/>
                <w:szCs w:val="15"/>
              </w:rPr>
              <w:t xml:space="preserve">Identify → Draft → Submit to steward</w:t>
            </w:r>
          </w:p>
        </w:tc>
        <w:tc>
          <w:tcPr>
            <w:tcW w:type="dxa" w:w="2867"/>
            <w:tcMar>
              <w:top w:type="dxa" w:w="70"/>
              <w:left w:type="dxa" w:w="90"/>
              <w:bottom w:type="dxa" w:w="70"/>
              <w:right w:type="dxa" w:w="90"/>
            </w:tcMar>
            <w:vAlign w:val="top"/>
          </w:tcPr>
          <w:p>
            <w:r>
              <w:rPr>
                <w:b w:val="false"/>
                <w:bCs w:val="false"/>
                <w:color w:val="000000"/>
                <w:sz w:val="15"/>
                <w:szCs w:val="15"/>
              </w:rPr>
              <w:t xml:space="preserve">Guided capture template triggered automatically at milestone close</w:t>
            </w:r>
          </w:p>
        </w:tc>
      </w:tr>
      <w:tr>
        <w:tc>
          <w:tcPr>
            <w:tcW w:type="dxa" w:w="1536"/>
            <w:tcMar>
              <w:top w:type="dxa" w:w="70"/>
              <w:left w:type="dxa" w:w="90"/>
              <w:bottom w:type="dxa" w:w="70"/>
              <w:right w:type="dxa" w:w="90"/>
            </w:tcMar>
            <w:vAlign w:val="top"/>
          </w:tcPr>
          <w:p>
            <w:r>
              <w:rPr>
                <w:b/>
                <w:bCs/>
                <w:color w:val="000000"/>
                <w:sz w:val="15"/>
                <w:szCs w:val="15"/>
              </w:rPr>
              <w:t xml:space="preserve">Knowledge Publishing</w:t>
            </w:r>
          </w:p>
        </w:tc>
        <w:tc>
          <w:tcPr>
            <w:tcW w:type="dxa" w:w="1434"/>
            <w:tcMar>
              <w:top w:type="dxa" w:w="70"/>
              <w:left w:type="dxa" w:w="90"/>
              <w:bottom w:type="dxa" w:w="70"/>
              <w:right w:type="dxa" w:w="90"/>
            </w:tcMar>
            <w:vAlign w:val="top"/>
          </w:tcPr>
          <w:p>
            <w:r>
              <w:rPr>
                <w:b w:val="false"/>
                <w:bCs w:val="false"/>
                <w:color w:val="000000"/>
                <w:sz w:val="15"/>
                <w:szCs w:val="15"/>
              </w:rPr>
              <w:t xml:space="preserve">KMC / Editorial Review</w:t>
            </w:r>
          </w:p>
        </w:tc>
        <w:tc>
          <w:tcPr>
            <w:tcW w:type="dxa" w:w="1536"/>
            <w:tcMar>
              <w:top w:type="dxa" w:w="70"/>
              <w:left w:type="dxa" w:w="90"/>
              <w:bottom w:type="dxa" w:w="70"/>
              <w:right w:type="dxa" w:w="90"/>
            </w:tcMar>
            <w:vAlign w:val="top"/>
          </w:tcPr>
          <w:p>
            <w:r>
              <w:rPr>
                <w:b w:val="false"/>
                <w:bCs w:val="false"/>
                <w:color w:val="000000"/>
                <w:sz w:val="15"/>
                <w:szCs w:val="15"/>
              </w:rPr>
              <w:t xml:space="preserve">Captured knowledge item passes steward review</w:t>
            </w:r>
          </w:p>
        </w:tc>
        <w:tc>
          <w:tcPr>
            <w:tcW w:type="dxa" w:w="2867"/>
            <w:tcMar>
              <w:top w:type="dxa" w:w="70"/>
              <w:left w:type="dxa" w:w="90"/>
              <w:bottom w:type="dxa" w:w="70"/>
              <w:right w:type="dxa" w:w="90"/>
            </w:tcMar>
            <w:vAlign w:val="top"/>
          </w:tcPr>
          <w:p>
            <w:r>
              <w:rPr>
                <w:b w:val="false"/>
                <w:bCs w:val="false"/>
                <w:color w:val="000000"/>
                <w:sz w:val="15"/>
                <w:szCs w:val="15"/>
              </w:rPr>
              <w:t xml:space="preserve">Review → Edit → Approve → Publish to CKR</w:t>
            </w:r>
          </w:p>
        </w:tc>
        <w:tc>
          <w:tcPr>
            <w:tcW w:type="dxa" w:w="2867"/>
            <w:tcMar>
              <w:top w:type="dxa" w:w="70"/>
              <w:left w:type="dxa" w:w="90"/>
              <w:bottom w:type="dxa" w:w="70"/>
              <w:right w:type="dxa" w:w="90"/>
            </w:tcMar>
            <w:vAlign w:val="top"/>
          </w:tcPr>
          <w:p>
            <w:r>
              <w:rPr>
                <w:b w:val="false"/>
                <w:bCs w:val="false"/>
                <w:color w:val="000000"/>
                <w:sz w:val="15"/>
                <w:szCs w:val="15"/>
              </w:rPr>
              <w:t xml:space="preserve">Editorial workflow with SLA-based reviewer assignment</w:t>
            </w:r>
          </w:p>
        </w:tc>
      </w:tr>
      <w:tr>
        <w:tc>
          <w:tcPr>
            <w:tcW w:type="dxa" w:w="1536"/>
            <w:tcMar>
              <w:top w:type="dxa" w:w="70"/>
              <w:left w:type="dxa" w:w="90"/>
              <w:bottom w:type="dxa" w:w="70"/>
              <w:right w:type="dxa" w:w="90"/>
            </w:tcMar>
            <w:vAlign w:val="top"/>
          </w:tcPr>
          <w:p>
            <w:r>
              <w:rPr>
                <w:b/>
                <w:bCs/>
                <w:color w:val="000000"/>
                <w:sz w:val="15"/>
                <w:szCs w:val="15"/>
              </w:rPr>
              <w:t xml:space="preserve">Approval Workflow</w:t>
            </w:r>
          </w:p>
        </w:tc>
        <w:tc>
          <w:tcPr>
            <w:tcW w:type="dxa" w:w="1434"/>
            <w:tcMar>
              <w:top w:type="dxa" w:w="70"/>
              <w:left w:type="dxa" w:w="90"/>
              <w:bottom w:type="dxa" w:w="70"/>
              <w:right w:type="dxa" w:w="90"/>
            </w:tcMar>
            <w:vAlign w:val="top"/>
          </w:tcPr>
          <w:p>
            <w:r>
              <w:rPr>
                <w:b w:val="false"/>
                <w:bCs w:val="false"/>
                <w:color w:val="000000"/>
                <w:sz w:val="15"/>
                <w:szCs w:val="15"/>
              </w:rPr>
              <w:t xml:space="preserve">Relevant Tier Approver (state/regional/national)</w:t>
            </w:r>
          </w:p>
        </w:tc>
        <w:tc>
          <w:tcPr>
            <w:tcW w:type="dxa" w:w="1536"/>
            <w:tcMar>
              <w:top w:type="dxa" w:w="70"/>
              <w:left w:type="dxa" w:w="90"/>
              <w:bottom w:type="dxa" w:w="70"/>
              <w:right w:type="dxa" w:w="90"/>
            </w:tcMar>
            <w:vAlign w:val="top"/>
          </w:tcPr>
          <w:p>
            <w:r>
              <w:rPr>
                <w:b w:val="false"/>
                <w:bCs w:val="false"/>
                <w:color w:val="000000"/>
                <w:sz w:val="15"/>
                <w:szCs w:val="15"/>
              </w:rPr>
              <w:t xml:space="preserve">Document or request submitted for sign-off</w:t>
            </w:r>
          </w:p>
        </w:tc>
        <w:tc>
          <w:tcPr>
            <w:tcW w:type="dxa" w:w="2867"/>
            <w:tcMar>
              <w:top w:type="dxa" w:w="70"/>
              <w:left w:type="dxa" w:w="90"/>
              <w:bottom w:type="dxa" w:w="70"/>
              <w:right w:type="dxa" w:w="90"/>
            </w:tcMar>
            <w:vAlign w:val="top"/>
          </w:tcPr>
          <w:p>
            <w:r>
              <w:rPr>
                <w:b w:val="false"/>
                <w:bCs w:val="false"/>
                <w:color w:val="000000"/>
                <w:sz w:val="15"/>
                <w:szCs w:val="15"/>
              </w:rPr>
              <w:t xml:space="preserve">Route → Review → Approve/Reject → Log</w:t>
            </w:r>
          </w:p>
        </w:tc>
        <w:tc>
          <w:tcPr>
            <w:tcW w:type="dxa" w:w="2867"/>
            <w:tcMar>
              <w:top w:type="dxa" w:w="70"/>
              <w:left w:type="dxa" w:w="90"/>
              <w:bottom w:type="dxa" w:w="70"/>
              <w:right w:type="dxa" w:w="90"/>
            </w:tcMar>
            <w:vAlign w:val="top"/>
          </w:tcPr>
          <w:p>
            <w:r>
              <w:rPr>
                <w:b w:val="false"/>
                <w:bCs w:val="false"/>
                <w:color w:val="000000"/>
                <w:sz w:val="15"/>
                <w:szCs w:val="15"/>
              </w:rPr>
              <w:t xml:space="preserve">Configurable, multi-tier routing engine common to all four document types</w:t>
            </w:r>
          </w:p>
        </w:tc>
      </w:tr>
      <w:tr>
        <w:tc>
          <w:tcPr>
            <w:tcW w:type="dxa" w:w="1536"/>
            <w:tcMar>
              <w:top w:type="dxa" w:w="70"/>
              <w:left w:type="dxa" w:w="90"/>
              <w:bottom w:type="dxa" w:w="70"/>
              <w:right w:type="dxa" w:w="90"/>
            </w:tcMar>
            <w:vAlign w:val="top"/>
          </w:tcPr>
          <w:p>
            <w:r>
              <w:rPr>
                <w:b/>
                <w:bCs/>
                <w:color w:val="000000"/>
                <w:sz w:val="15"/>
                <w:szCs w:val="15"/>
              </w:rPr>
              <w:t xml:space="preserve">Meeting Management</w:t>
            </w:r>
          </w:p>
        </w:tc>
        <w:tc>
          <w:tcPr>
            <w:tcW w:type="dxa" w:w="1434"/>
            <w:tcMar>
              <w:top w:type="dxa" w:w="70"/>
              <w:left w:type="dxa" w:w="90"/>
              <w:bottom w:type="dxa" w:w="70"/>
              <w:right w:type="dxa" w:w="90"/>
            </w:tcMar>
            <w:vAlign w:val="top"/>
          </w:tcPr>
          <w:p>
            <w:r>
              <w:rPr>
                <w:b w:val="false"/>
                <w:bCs w:val="false"/>
                <w:color w:val="000000"/>
                <w:sz w:val="15"/>
                <w:szCs w:val="15"/>
              </w:rPr>
              <w:t xml:space="preserve">Meeting Convenor</w:t>
            </w:r>
          </w:p>
        </w:tc>
        <w:tc>
          <w:tcPr>
            <w:tcW w:type="dxa" w:w="1536"/>
            <w:tcMar>
              <w:top w:type="dxa" w:w="70"/>
              <w:left w:type="dxa" w:w="90"/>
              <w:bottom w:type="dxa" w:w="70"/>
              <w:right w:type="dxa" w:w="90"/>
            </w:tcMar>
            <w:vAlign w:val="top"/>
          </w:tcPr>
          <w:p>
            <w:r>
              <w:rPr>
                <w:b w:val="false"/>
                <w:bCs w:val="false"/>
                <w:color w:val="000000"/>
                <w:sz w:val="15"/>
                <w:szCs w:val="15"/>
              </w:rPr>
              <w:t xml:space="preserve">Scheduled or ad hoc programme meeting</w:t>
            </w:r>
          </w:p>
        </w:tc>
        <w:tc>
          <w:tcPr>
            <w:tcW w:type="dxa" w:w="2867"/>
            <w:tcMar>
              <w:top w:type="dxa" w:w="70"/>
              <w:left w:type="dxa" w:w="90"/>
              <w:bottom w:type="dxa" w:w="70"/>
              <w:right w:type="dxa" w:w="90"/>
            </w:tcMar>
            <w:vAlign w:val="top"/>
          </w:tcPr>
          <w:p>
            <w:r>
              <w:rPr>
                <w:b w:val="false"/>
                <w:bCs w:val="false"/>
                <w:color w:val="000000"/>
                <w:sz w:val="15"/>
                <w:szCs w:val="15"/>
              </w:rPr>
              <w:t xml:space="preserve">Schedule → Agenda → Conduct → Minute → Action-track</w:t>
            </w:r>
          </w:p>
        </w:tc>
        <w:tc>
          <w:tcPr>
            <w:tcW w:type="dxa" w:w="2867"/>
            <w:tcMar>
              <w:top w:type="dxa" w:w="70"/>
              <w:left w:type="dxa" w:w="90"/>
              <w:bottom w:type="dxa" w:w="70"/>
              <w:right w:type="dxa" w:w="90"/>
            </w:tcMar>
            <w:vAlign w:val="top"/>
          </w:tcPr>
          <w:p>
            <w:r>
              <w:rPr>
                <w:b w:val="false"/>
                <w:bCs w:val="false"/>
                <w:color w:val="000000"/>
                <w:sz w:val="15"/>
                <w:szCs w:val="15"/>
              </w:rPr>
              <w:t xml:space="preserve">Auto-linking of minutes and action items to the relevant workflow record</w:t>
            </w:r>
          </w:p>
        </w:tc>
      </w:tr>
      <w:tr>
        <w:tc>
          <w:tcPr>
            <w:tcW w:type="dxa" w:w="1536"/>
            <w:tcMar>
              <w:top w:type="dxa" w:w="70"/>
              <w:left w:type="dxa" w:w="90"/>
              <w:bottom w:type="dxa" w:w="70"/>
              <w:right w:type="dxa" w:w="90"/>
            </w:tcMar>
            <w:vAlign w:val="top"/>
          </w:tcPr>
          <w:p>
            <w:r>
              <w:rPr>
                <w:b/>
                <w:bCs/>
                <w:color w:val="000000"/>
                <w:sz w:val="15"/>
                <w:szCs w:val="15"/>
              </w:rPr>
              <w:t xml:space="preserve">Procurement Tracking</w:t>
            </w:r>
          </w:p>
        </w:tc>
        <w:tc>
          <w:tcPr>
            <w:tcW w:type="dxa" w:w="1434"/>
            <w:tcMar>
              <w:top w:type="dxa" w:w="70"/>
              <w:left w:type="dxa" w:w="90"/>
              <w:bottom w:type="dxa" w:w="70"/>
              <w:right w:type="dxa" w:w="90"/>
            </w:tcMar>
            <w:vAlign w:val="top"/>
          </w:tcPr>
          <w:p>
            <w:r>
              <w:rPr>
                <w:b w:val="false"/>
                <w:bCs w:val="false"/>
                <w:color w:val="000000"/>
                <w:sz w:val="15"/>
                <w:szCs w:val="15"/>
              </w:rPr>
              <w:t xml:space="preserve">Procurement Focal Point</w:t>
            </w:r>
          </w:p>
        </w:tc>
        <w:tc>
          <w:tcPr>
            <w:tcW w:type="dxa" w:w="1536"/>
            <w:tcMar>
              <w:top w:type="dxa" w:w="70"/>
              <w:left w:type="dxa" w:w="90"/>
              <w:bottom w:type="dxa" w:w="70"/>
              <w:right w:type="dxa" w:w="90"/>
            </w:tcMar>
            <w:vAlign w:val="top"/>
          </w:tcPr>
          <w:p>
            <w:r>
              <w:rPr>
                <w:b w:val="false"/>
                <w:bCs w:val="false"/>
                <w:color w:val="000000"/>
                <w:sz w:val="15"/>
                <w:szCs w:val="15"/>
              </w:rPr>
              <w:t xml:space="preserve">Procurement request initiated</w:t>
            </w:r>
          </w:p>
        </w:tc>
        <w:tc>
          <w:tcPr>
            <w:tcW w:type="dxa" w:w="2867"/>
            <w:tcMar>
              <w:top w:type="dxa" w:w="70"/>
              <w:left w:type="dxa" w:w="90"/>
              <w:bottom w:type="dxa" w:w="70"/>
              <w:right w:type="dxa" w:w="90"/>
            </w:tcMar>
            <w:vAlign w:val="top"/>
          </w:tcPr>
          <w:p>
            <w:r>
              <w:rPr>
                <w:b w:val="false"/>
                <w:bCs w:val="false"/>
                <w:color w:val="000000"/>
                <w:sz w:val="15"/>
                <w:szCs w:val="15"/>
              </w:rPr>
              <w:t xml:space="preserve">Request → Approve → Tender/Award → Track → Close</w:t>
            </w:r>
          </w:p>
        </w:tc>
        <w:tc>
          <w:tcPr>
            <w:tcW w:type="dxa" w:w="2867"/>
            <w:tcMar>
              <w:top w:type="dxa" w:w="70"/>
              <w:left w:type="dxa" w:w="90"/>
              <w:bottom w:type="dxa" w:w="70"/>
              <w:right w:type="dxa" w:w="90"/>
            </w:tcMar>
            <w:vAlign w:val="top"/>
          </w:tcPr>
          <w:p>
            <w:r>
              <w:rPr>
                <w:b w:val="false"/>
                <w:bCs w:val="false"/>
                <w:color w:val="000000"/>
                <w:sz w:val="15"/>
                <w:szCs w:val="15"/>
              </w:rPr>
              <w:t xml:space="preserve">Status dashboard replacing manually compiled procurement trackers</w:t>
            </w:r>
          </w:p>
        </w:tc>
      </w:tr>
      <w:tr>
        <w:tc>
          <w:tcPr>
            <w:tcW w:type="dxa" w:w="1536"/>
            <w:tcMar>
              <w:top w:type="dxa" w:w="70"/>
              <w:left w:type="dxa" w:w="90"/>
              <w:bottom w:type="dxa" w:w="70"/>
              <w:right w:type="dxa" w:w="90"/>
            </w:tcMar>
            <w:vAlign w:val="top"/>
          </w:tcPr>
          <w:p>
            <w:r>
              <w:rPr>
                <w:b/>
                <w:bCs/>
                <w:color w:val="000000"/>
                <w:sz w:val="15"/>
                <w:szCs w:val="15"/>
              </w:rPr>
              <w:t xml:space="preserve">Risk Management</w:t>
            </w:r>
          </w:p>
        </w:tc>
        <w:tc>
          <w:tcPr>
            <w:tcW w:type="dxa" w:w="1434"/>
            <w:tcMar>
              <w:top w:type="dxa" w:w="70"/>
              <w:left w:type="dxa" w:w="90"/>
              <w:bottom w:type="dxa" w:w="70"/>
              <w:right w:type="dxa" w:w="90"/>
            </w:tcMar>
            <w:vAlign w:val="top"/>
          </w:tcPr>
          <w:p>
            <w:r>
              <w:rPr>
                <w:b w:val="false"/>
                <w:bCs w:val="false"/>
                <w:color w:val="000000"/>
                <w:sz w:val="15"/>
                <w:szCs w:val="15"/>
              </w:rPr>
              <w:t xml:space="preserve">Risk Owner (per component)</w:t>
            </w:r>
          </w:p>
        </w:tc>
        <w:tc>
          <w:tcPr>
            <w:tcW w:type="dxa" w:w="1536"/>
            <w:tcMar>
              <w:top w:type="dxa" w:w="70"/>
              <w:left w:type="dxa" w:w="90"/>
              <w:bottom w:type="dxa" w:w="70"/>
              <w:right w:type="dxa" w:w="90"/>
            </w:tcMar>
            <w:vAlign w:val="top"/>
          </w:tcPr>
          <w:p>
            <w:r>
              <w:rPr>
                <w:b w:val="false"/>
                <w:bCs w:val="false"/>
                <w:color w:val="000000"/>
                <w:sz w:val="15"/>
                <w:szCs w:val="15"/>
              </w:rPr>
              <w:t xml:space="preserve">Risk identified during planning or delivery</w:t>
            </w:r>
          </w:p>
        </w:tc>
        <w:tc>
          <w:tcPr>
            <w:tcW w:type="dxa" w:w="2867"/>
            <w:tcMar>
              <w:top w:type="dxa" w:w="70"/>
              <w:left w:type="dxa" w:w="90"/>
              <w:bottom w:type="dxa" w:w="70"/>
              <w:right w:type="dxa" w:w="90"/>
            </w:tcMar>
            <w:vAlign w:val="top"/>
          </w:tcPr>
          <w:p>
            <w:r>
              <w:rPr>
                <w:b w:val="false"/>
                <w:bCs w:val="false"/>
                <w:color w:val="000000"/>
                <w:sz w:val="15"/>
                <w:szCs w:val="15"/>
              </w:rPr>
              <w:t xml:space="preserve">Identify → Assess → Mitigate → Monitor → Close</w:t>
            </w:r>
          </w:p>
        </w:tc>
        <w:tc>
          <w:tcPr>
            <w:tcW w:type="dxa" w:w="2867"/>
            <w:tcMar>
              <w:top w:type="dxa" w:w="70"/>
              <w:left w:type="dxa" w:w="90"/>
              <w:bottom w:type="dxa" w:w="70"/>
              <w:right w:type="dxa" w:w="90"/>
            </w:tcMar>
            <w:vAlign w:val="top"/>
          </w:tcPr>
          <w:p>
            <w:r>
              <w:rPr>
                <w:b w:val="false"/>
                <w:bCs w:val="false"/>
                <w:color w:val="000000"/>
                <w:sz w:val="15"/>
                <w:szCs w:val="15"/>
              </w:rPr>
              <w:t xml:space="preserve">Structured risk register with automated review-date reminders</w:t>
            </w:r>
          </w:p>
        </w:tc>
      </w:tr>
      <w:tr>
        <w:tc>
          <w:tcPr>
            <w:tcW w:type="dxa" w:w="1536"/>
            <w:tcMar>
              <w:top w:type="dxa" w:w="70"/>
              <w:left w:type="dxa" w:w="90"/>
              <w:bottom w:type="dxa" w:w="70"/>
              <w:right w:type="dxa" w:w="90"/>
            </w:tcMar>
            <w:vAlign w:val="top"/>
          </w:tcPr>
          <w:p>
            <w:r>
              <w:rPr>
                <w:b/>
                <w:bCs/>
                <w:color w:val="000000"/>
                <w:sz w:val="15"/>
                <w:szCs w:val="15"/>
              </w:rPr>
              <w:t xml:space="preserve">Issue Management</w:t>
            </w:r>
          </w:p>
        </w:tc>
        <w:tc>
          <w:tcPr>
            <w:tcW w:type="dxa" w:w="1434"/>
            <w:tcMar>
              <w:top w:type="dxa" w:w="70"/>
              <w:left w:type="dxa" w:w="90"/>
              <w:bottom w:type="dxa" w:w="70"/>
              <w:right w:type="dxa" w:w="90"/>
            </w:tcMar>
            <w:vAlign w:val="top"/>
          </w:tcPr>
          <w:p>
            <w:r>
              <w:rPr>
                <w:b w:val="false"/>
                <w:bCs w:val="false"/>
                <w:color w:val="000000"/>
                <w:sz w:val="15"/>
                <w:szCs w:val="15"/>
              </w:rPr>
              <w:t xml:space="preserve">Issue Owner</w:t>
            </w:r>
          </w:p>
        </w:tc>
        <w:tc>
          <w:tcPr>
            <w:tcW w:type="dxa" w:w="1536"/>
            <w:tcMar>
              <w:top w:type="dxa" w:w="70"/>
              <w:left w:type="dxa" w:w="90"/>
              <w:bottom w:type="dxa" w:w="70"/>
              <w:right w:type="dxa" w:w="90"/>
            </w:tcMar>
            <w:vAlign w:val="top"/>
          </w:tcPr>
          <w:p>
            <w:r>
              <w:rPr>
                <w:b w:val="false"/>
                <w:bCs w:val="false"/>
                <w:color w:val="000000"/>
                <w:sz w:val="15"/>
                <w:szCs w:val="15"/>
              </w:rPr>
              <w:t xml:space="preserve">Issue raised during delivery</w:t>
            </w:r>
          </w:p>
        </w:tc>
        <w:tc>
          <w:tcPr>
            <w:tcW w:type="dxa" w:w="2867"/>
            <w:tcMar>
              <w:top w:type="dxa" w:w="70"/>
              <w:left w:type="dxa" w:w="90"/>
              <w:bottom w:type="dxa" w:w="70"/>
              <w:right w:type="dxa" w:w="90"/>
            </w:tcMar>
            <w:vAlign w:val="top"/>
          </w:tcPr>
          <w:p>
            <w:r>
              <w:rPr>
                <w:b w:val="false"/>
                <w:bCs w:val="false"/>
                <w:color w:val="000000"/>
                <w:sz w:val="15"/>
                <w:szCs w:val="15"/>
              </w:rPr>
              <w:t xml:space="preserve">Log → Triage → Assign → Resolve → Close</w:t>
            </w:r>
          </w:p>
        </w:tc>
        <w:tc>
          <w:tcPr>
            <w:tcW w:type="dxa" w:w="2867"/>
            <w:tcMar>
              <w:top w:type="dxa" w:w="70"/>
              <w:left w:type="dxa" w:w="90"/>
              <w:bottom w:type="dxa" w:w="70"/>
              <w:right w:type="dxa" w:w="90"/>
            </w:tcMar>
            <w:vAlign w:val="top"/>
          </w:tcPr>
          <w:p>
            <w:r>
              <w:rPr>
                <w:b w:val="false"/>
                <w:bCs w:val="false"/>
                <w:color w:val="000000"/>
                <w:sz w:val="15"/>
                <w:szCs w:val="15"/>
              </w:rPr>
              <w:t xml:space="preserve">Issue-to-resolution SLA tracking with escalation alerts</w:t>
            </w:r>
          </w:p>
        </w:tc>
      </w:tr>
      <w:tr>
        <w:tc>
          <w:tcPr>
            <w:tcW w:type="dxa" w:w="1536"/>
            <w:tcMar>
              <w:top w:type="dxa" w:w="70"/>
              <w:left w:type="dxa" w:w="90"/>
              <w:bottom w:type="dxa" w:w="70"/>
              <w:right w:type="dxa" w:w="90"/>
            </w:tcMar>
            <w:vAlign w:val="top"/>
          </w:tcPr>
          <w:p>
            <w:r>
              <w:rPr>
                <w:b/>
                <w:bCs/>
                <w:color w:val="000000"/>
                <w:sz w:val="15"/>
                <w:szCs w:val="15"/>
              </w:rPr>
              <w:t xml:space="preserve">Change Management</w:t>
            </w:r>
          </w:p>
        </w:tc>
        <w:tc>
          <w:tcPr>
            <w:tcW w:type="dxa" w:w="1434"/>
            <w:tcMar>
              <w:top w:type="dxa" w:w="70"/>
              <w:left w:type="dxa" w:w="90"/>
              <w:bottom w:type="dxa" w:w="70"/>
              <w:right w:type="dxa" w:w="90"/>
            </w:tcMar>
            <w:vAlign w:val="top"/>
          </w:tcPr>
          <w:p>
            <w:r>
              <w:rPr>
                <w:b w:val="false"/>
                <w:bCs w:val="false"/>
                <w:color w:val="000000"/>
                <w:sz w:val="15"/>
                <w:szCs w:val="15"/>
              </w:rPr>
              <w:t xml:space="preserve">Change Control Board (programme level)</w:t>
            </w:r>
          </w:p>
        </w:tc>
        <w:tc>
          <w:tcPr>
            <w:tcW w:type="dxa" w:w="1536"/>
            <w:tcMar>
              <w:top w:type="dxa" w:w="70"/>
              <w:left w:type="dxa" w:w="90"/>
              <w:bottom w:type="dxa" w:w="70"/>
              <w:right w:type="dxa" w:w="90"/>
            </w:tcMar>
            <w:vAlign w:val="top"/>
          </w:tcPr>
          <w:p>
            <w:r>
              <w:rPr>
                <w:b w:val="false"/>
                <w:bCs w:val="false"/>
                <w:color w:val="000000"/>
                <w:sz w:val="15"/>
                <w:szCs w:val="15"/>
              </w:rPr>
              <w:t xml:space="preserve">Change request to scope, workflow, or governance rule</w:t>
            </w:r>
          </w:p>
        </w:tc>
        <w:tc>
          <w:tcPr>
            <w:tcW w:type="dxa" w:w="2867"/>
            <w:tcMar>
              <w:top w:type="dxa" w:w="70"/>
              <w:left w:type="dxa" w:w="90"/>
              <w:bottom w:type="dxa" w:w="70"/>
              <w:right w:type="dxa" w:w="90"/>
            </w:tcMar>
            <w:vAlign w:val="top"/>
          </w:tcPr>
          <w:p>
            <w:r>
              <w:rPr>
                <w:b w:val="false"/>
                <w:bCs w:val="false"/>
                <w:color w:val="000000"/>
                <w:sz w:val="15"/>
                <w:szCs w:val="15"/>
              </w:rPr>
              <w:t xml:space="preserve">Submit → Assess Impact → Approve/Reject → Implement → Confirm</w:t>
            </w:r>
          </w:p>
        </w:tc>
        <w:tc>
          <w:tcPr>
            <w:tcW w:type="dxa" w:w="2867"/>
            <w:tcMar>
              <w:top w:type="dxa" w:w="70"/>
              <w:left w:type="dxa" w:w="90"/>
              <w:bottom w:type="dxa" w:w="70"/>
              <w:right w:type="dxa" w:w="90"/>
            </w:tcMar>
            <w:vAlign w:val="top"/>
          </w:tcPr>
          <w:p>
            <w:r>
              <w:rPr>
                <w:b w:val="false"/>
                <w:bCs w:val="false"/>
                <w:color w:val="000000"/>
                <w:sz w:val="15"/>
                <w:szCs w:val="15"/>
              </w:rPr>
              <w:t xml:space="preserve">Change log linked to the affected workflow or taxonomy element</w:t>
            </w:r>
          </w:p>
        </w:tc>
      </w:tr>
      <w:tr>
        <w:tc>
          <w:tcPr>
            <w:tcW w:type="dxa" w:w="1536"/>
            <w:tcMar>
              <w:top w:type="dxa" w:w="70"/>
              <w:left w:type="dxa" w:w="90"/>
              <w:bottom w:type="dxa" w:w="70"/>
              <w:right w:type="dxa" w:w="90"/>
            </w:tcMar>
            <w:vAlign w:val="top"/>
          </w:tcPr>
          <w:p>
            <w:r>
              <w:rPr>
                <w:b/>
                <w:bCs/>
                <w:color w:val="000000"/>
                <w:sz w:val="15"/>
                <w:szCs w:val="15"/>
              </w:rPr>
              <w:t xml:space="preserve">Training</w:t>
            </w:r>
          </w:p>
        </w:tc>
        <w:tc>
          <w:tcPr>
            <w:tcW w:type="dxa" w:w="1434"/>
            <w:tcMar>
              <w:top w:type="dxa" w:w="70"/>
              <w:left w:type="dxa" w:w="90"/>
              <w:bottom w:type="dxa" w:w="70"/>
              <w:right w:type="dxa" w:w="90"/>
            </w:tcMar>
            <w:vAlign w:val="top"/>
          </w:tcPr>
          <w:p>
            <w:r>
              <w:rPr>
                <w:b w:val="false"/>
                <w:bCs w:val="false"/>
                <w:color w:val="000000"/>
                <w:sz w:val="15"/>
                <w:szCs w:val="15"/>
              </w:rPr>
              <w:t xml:space="preserve">KM and ICT Units (with consultant support during build)</w:t>
            </w:r>
          </w:p>
        </w:tc>
        <w:tc>
          <w:tcPr>
            <w:tcW w:type="dxa" w:w="1536"/>
            <w:tcMar>
              <w:top w:type="dxa" w:w="70"/>
              <w:left w:type="dxa" w:w="90"/>
              <w:bottom w:type="dxa" w:w="70"/>
              <w:right w:type="dxa" w:w="90"/>
            </w:tcMar>
            <w:vAlign w:val="top"/>
          </w:tcPr>
          <w:p>
            <w:r>
              <w:rPr>
                <w:b w:val="false"/>
                <w:bCs w:val="false"/>
                <w:color w:val="000000"/>
                <w:sz w:val="15"/>
                <w:szCs w:val="15"/>
              </w:rPr>
              <w:t xml:space="preserve">New capability released or new staff onboarded</w:t>
            </w:r>
          </w:p>
        </w:tc>
        <w:tc>
          <w:tcPr>
            <w:tcW w:type="dxa" w:w="2867"/>
            <w:tcMar>
              <w:top w:type="dxa" w:w="70"/>
              <w:left w:type="dxa" w:w="90"/>
              <w:bottom w:type="dxa" w:w="70"/>
              <w:right w:type="dxa" w:w="90"/>
            </w:tcMar>
            <w:vAlign w:val="top"/>
          </w:tcPr>
          <w:p>
            <w:r>
              <w:rPr>
                <w:b w:val="false"/>
                <w:bCs w:val="false"/>
                <w:color w:val="000000"/>
                <w:sz w:val="15"/>
                <w:szCs w:val="15"/>
              </w:rPr>
              <w:t xml:space="preserve">Identify Need → Design → Deliver → Assess → Certify</w:t>
            </w:r>
          </w:p>
        </w:tc>
        <w:tc>
          <w:tcPr>
            <w:tcW w:type="dxa" w:w="2867"/>
            <w:tcMar>
              <w:top w:type="dxa" w:w="70"/>
              <w:left w:type="dxa" w:w="90"/>
              <w:bottom w:type="dxa" w:w="70"/>
              <w:right w:type="dxa" w:w="90"/>
            </w:tcMar>
            <w:vAlign w:val="top"/>
          </w:tcPr>
          <w:p>
            <w:r>
              <w:rPr>
                <w:b w:val="false"/>
                <w:bCs w:val="false"/>
                <w:color w:val="000000"/>
                <w:sz w:val="15"/>
                <w:szCs w:val="15"/>
              </w:rPr>
              <w:t xml:space="preserve">Progressive training-of-trainers content released alongside each build phase, not compressed into Week 12</w:t>
            </w:r>
          </w:p>
        </w:tc>
      </w:tr>
      <w:tr>
        <w:tc>
          <w:tcPr>
            <w:tcW w:type="dxa" w:w="1536"/>
            <w:tcMar>
              <w:top w:type="dxa" w:w="70"/>
              <w:left w:type="dxa" w:w="90"/>
              <w:bottom w:type="dxa" w:w="70"/>
              <w:right w:type="dxa" w:w="90"/>
            </w:tcMar>
            <w:vAlign w:val="top"/>
          </w:tcPr>
          <w:p>
            <w:r>
              <w:rPr>
                <w:b/>
                <w:bCs/>
                <w:color w:val="000000"/>
                <w:sz w:val="15"/>
                <w:szCs w:val="15"/>
              </w:rPr>
              <w:t xml:space="preserve">Monitoring</w:t>
            </w:r>
          </w:p>
        </w:tc>
        <w:tc>
          <w:tcPr>
            <w:tcW w:type="dxa" w:w="1434"/>
            <w:tcMar>
              <w:top w:type="dxa" w:w="70"/>
              <w:left w:type="dxa" w:w="90"/>
              <w:bottom w:type="dxa" w:w="70"/>
              <w:right w:type="dxa" w:w="90"/>
            </w:tcMar>
            <w:vAlign w:val="top"/>
          </w:tcPr>
          <w:p>
            <w:r>
              <w:rPr>
                <w:b w:val="false"/>
                <w:bCs w:val="false"/>
                <w:color w:val="000000"/>
                <w:sz w:val="15"/>
                <w:szCs w:val="15"/>
              </w:rPr>
              <w:t xml:space="preserve">M&amp;E Focal Point</w:t>
            </w:r>
          </w:p>
        </w:tc>
        <w:tc>
          <w:tcPr>
            <w:tcW w:type="dxa" w:w="1536"/>
            <w:tcMar>
              <w:top w:type="dxa" w:w="70"/>
              <w:left w:type="dxa" w:w="90"/>
              <w:bottom w:type="dxa" w:w="70"/>
              <w:right w:type="dxa" w:w="90"/>
            </w:tcMar>
            <w:vAlign w:val="top"/>
          </w:tcPr>
          <w:p>
            <w:r>
              <w:rPr>
                <w:b w:val="false"/>
                <w:bCs w:val="false"/>
                <w:color w:val="000000"/>
                <w:sz w:val="15"/>
                <w:szCs w:val="15"/>
              </w:rPr>
              <w:t xml:space="preserve">Ongoing, per KPI reporting cycle</w:t>
            </w:r>
          </w:p>
        </w:tc>
        <w:tc>
          <w:tcPr>
            <w:tcW w:type="dxa" w:w="2867"/>
            <w:tcMar>
              <w:top w:type="dxa" w:w="70"/>
              <w:left w:type="dxa" w:w="90"/>
              <w:bottom w:type="dxa" w:w="70"/>
              <w:right w:type="dxa" w:w="90"/>
            </w:tcMar>
            <w:vAlign w:val="top"/>
          </w:tcPr>
          <w:p>
            <w:r>
              <w:rPr>
                <w:b w:val="false"/>
                <w:bCs w:val="false"/>
                <w:color w:val="000000"/>
                <w:sz w:val="15"/>
                <w:szCs w:val="15"/>
              </w:rPr>
              <w:t xml:space="preserve">Collect → Validate → Aggregate → Flag Exceptions</w:t>
            </w:r>
          </w:p>
        </w:tc>
        <w:tc>
          <w:tcPr>
            <w:tcW w:type="dxa" w:w="2867"/>
            <w:tcMar>
              <w:top w:type="dxa" w:w="70"/>
              <w:left w:type="dxa" w:w="90"/>
              <w:bottom w:type="dxa" w:w="70"/>
              <w:right w:type="dxa" w:w="90"/>
            </w:tcMar>
            <w:vAlign w:val="top"/>
          </w:tcPr>
          <w:p>
            <w:r>
              <w:rPr>
                <w:b w:val="false"/>
                <w:bCs w:val="false"/>
                <w:color w:val="000000"/>
                <w:sz w:val="15"/>
                <w:szCs w:val="15"/>
              </w:rPr>
              <w:t xml:space="preserve">Automated KPI aggregation replacing manual compilation</w:t>
            </w:r>
          </w:p>
        </w:tc>
      </w:tr>
      <w:tr>
        <w:tc>
          <w:tcPr>
            <w:tcW w:type="dxa" w:w="1536"/>
            <w:tcMar>
              <w:top w:type="dxa" w:w="70"/>
              <w:left w:type="dxa" w:w="90"/>
              <w:bottom w:type="dxa" w:w="70"/>
              <w:right w:type="dxa" w:w="90"/>
            </w:tcMar>
            <w:vAlign w:val="top"/>
          </w:tcPr>
          <w:p>
            <w:r>
              <w:rPr>
                <w:b/>
                <w:bCs/>
                <w:color w:val="000000"/>
                <w:sz w:val="15"/>
                <w:szCs w:val="15"/>
              </w:rPr>
              <w:t xml:space="preserve">Reporting</w:t>
            </w:r>
          </w:p>
        </w:tc>
        <w:tc>
          <w:tcPr>
            <w:tcW w:type="dxa" w:w="1434"/>
            <w:tcMar>
              <w:top w:type="dxa" w:w="70"/>
              <w:left w:type="dxa" w:w="90"/>
              <w:bottom w:type="dxa" w:w="70"/>
              <w:right w:type="dxa" w:w="90"/>
            </w:tcMar>
            <w:vAlign w:val="top"/>
          </w:tcPr>
          <w:p>
            <w:r>
              <w:rPr>
                <w:b w:val="false"/>
                <w:bCs w:val="false"/>
                <w:color w:val="000000"/>
                <w:sz w:val="15"/>
                <w:szCs w:val="15"/>
              </w:rPr>
              <w:t xml:space="preserve">M&amp;E Focal Point / State Teams</w:t>
            </w:r>
          </w:p>
        </w:tc>
        <w:tc>
          <w:tcPr>
            <w:tcW w:type="dxa" w:w="1536"/>
            <w:tcMar>
              <w:top w:type="dxa" w:w="70"/>
              <w:left w:type="dxa" w:w="90"/>
              <w:bottom w:type="dxa" w:w="70"/>
              <w:right w:type="dxa" w:w="90"/>
            </w:tcMar>
            <w:vAlign w:val="top"/>
          </w:tcPr>
          <w:p>
            <w:r>
              <w:rPr>
                <w:b w:val="false"/>
                <w:bCs w:val="false"/>
                <w:color w:val="000000"/>
                <w:sz w:val="15"/>
                <w:szCs w:val="15"/>
              </w:rPr>
              <w:t xml:space="preserve">Scheduled or donor-triggered reporting cycle</w:t>
            </w:r>
          </w:p>
        </w:tc>
        <w:tc>
          <w:tcPr>
            <w:tcW w:type="dxa" w:w="2867"/>
            <w:tcMar>
              <w:top w:type="dxa" w:w="70"/>
              <w:left w:type="dxa" w:w="90"/>
              <w:bottom w:type="dxa" w:w="70"/>
              <w:right w:type="dxa" w:w="90"/>
            </w:tcMar>
            <w:vAlign w:val="top"/>
          </w:tcPr>
          <w:p>
            <w:r>
              <w:rPr>
                <w:b w:val="false"/>
                <w:bCs w:val="false"/>
                <w:color w:val="000000"/>
                <w:sz w:val="15"/>
                <w:szCs w:val="15"/>
              </w:rPr>
              <w:t xml:space="preserve">Compile → Template → Review → Submit</w:t>
            </w:r>
          </w:p>
        </w:tc>
        <w:tc>
          <w:tcPr>
            <w:tcW w:type="dxa" w:w="2867"/>
            <w:tcMar>
              <w:top w:type="dxa" w:w="70"/>
              <w:left w:type="dxa" w:w="90"/>
              <w:bottom w:type="dxa" w:w="70"/>
              <w:right w:type="dxa" w:w="90"/>
            </w:tcMar>
            <w:vAlign w:val="top"/>
          </w:tcPr>
          <w:p>
            <w:r>
              <w:rPr>
                <w:b w:val="false"/>
                <w:bCs w:val="false"/>
                <w:color w:val="000000"/>
                <w:sz w:val="15"/>
                <w:szCs w:val="15"/>
              </w:rPr>
              <w:t xml:space="preserve">Templated, automated report generation aligned to AfDB/IFAD/IsDB conventions</w:t>
            </w:r>
          </w:p>
        </w:tc>
      </w:tr>
      <w:tr>
        <w:tc>
          <w:tcPr>
            <w:tcW w:type="dxa" w:w="1536"/>
            <w:tcMar>
              <w:top w:type="dxa" w:w="70"/>
              <w:left w:type="dxa" w:w="90"/>
              <w:bottom w:type="dxa" w:w="70"/>
              <w:right w:type="dxa" w:w="90"/>
            </w:tcMar>
            <w:vAlign w:val="top"/>
          </w:tcPr>
          <w:p>
            <w:r>
              <w:rPr>
                <w:b/>
                <w:bCs/>
                <w:color w:val="000000"/>
                <w:sz w:val="15"/>
                <w:szCs w:val="15"/>
              </w:rPr>
              <w:t xml:space="preserve">Performance Reviews</w:t>
            </w:r>
          </w:p>
        </w:tc>
        <w:tc>
          <w:tcPr>
            <w:tcW w:type="dxa" w:w="1434"/>
            <w:tcMar>
              <w:top w:type="dxa" w:w="70"/>
              <w:left w:type="dxa" w:w="90"/>
              <w:bottom w:type="dxa" w:w="70"/>
              <w:right w:type="dxa" w:w="90"/>
            </w:tcMar>
            <w:vAlign w:val="top"/>
          </w:tcPr>
          <w:p>
            <w:r>
              <w:rPr>
                <w:b w:val="false"/>
                <w:bCs w:val="false"/>
                <w:color w:val="000000"/>
                <w:sz w:val="15"/>
                <w:szCs w:val="15"/>
              </w:rPr>
              <w:t xml:space="preserve">National Programme Coordinator</w:t>
            </w:r>
          </w:p>
        </w:tc>
        <w:tc>
          <w:tcPr>
            <w:tcW w:type="dxa" w:w="1536"/>
            <w:tcMar>
              <w:top w:type="dxa" w:w="70"/>
              <w:left w:type="dxa" w:w="90"/>
              <w:bottom w:type="dxa" w:w="70"/>
              <w:right w:type="dxa" w:w="90"/>
            </w:tcMar>
            <w:vAlign w:val="top"/>
          </w:tcPr>
          <w:p>
            <w:r>
              <w:rPr>
                <w:b w:val="false"/>
                <w:bCs w:val="false"/>
                <w:color w:val="000000"/>
                <w:sz w:val="15"/>
                <w:szCs w:val="15"/>
              </w:rPr>
              <w:t xml:space="preserve">Periodic programme or personnel review cycle</w:t>
            </w:r>
          </w:p>
        </w:tc>
        <w:tc>
          <w:tcPr>
            <w:tcW w:type="dxa" w:w="2867"/>
            <w:tcMar>
              <w:top w:type="dxa" w:w="70"/>
              <w:left w:type="dxa" w:w="90"/>
              <w:bottom w:type="dxa" w:w="70"/>
              <w:right w:type="dxa" w:w="90"/>
            </w:tcMar>
            <w:vAlign w:val="top"/>
          </w:tcPr>
          <w:p>
            <w:r>
              <w:rPr>
                <w:b w:val="false"/>
                <w:bCs w:val="false"/>
                <w:color w:val="000000"/>
                <w:sz w:val="15"/>
                <w:szCs w:val="15"/>
              </w:rPr>
              <w:t xml:space="preserve">Prepare → Review → Record Outcome → Follow Up</w:t>
            </w:r>
          </w:p>
        </w:tc>
        <w:tc>
          <w:tcPr>
            <w:tcW w:type="dxa" w:w="2867"/>
            <w:tcMar>
              <w:top w:type="dxa" w:w="70"/>
              <w:left w:type="dxa" w:w="90"/>
              <w:bottom w:type="dxa" w:w="70"/>
              <w:right w:type="dxa" w:w="90"/>
            </w:tcMar>
            <w:vAlign w:val="top"/>
          </w:tcPr>
          <w:p>
            <w:r>
              <w:rPr>
                <w:b w:val="false"/>
                <w:bCs w:val="false"/>
                <w:color w:val="000000"/>
                <w:sz w:val="15"/>
                <w:szCs w:val="15"/>
              </w:rPr>
              <w:t xml:space="preserve">Historical performance data drawn directly from the reporting and KPI capability</w:t>
            </w:r>
          </w:p>
        </w:tc>
      </w:tr>
      <w:tr>
        <w:tc>
          <w:tcPr>
            <w:tcW w:type="dxa" w:w="1536"/>
            <w:tcMar>
              <w:top w:type="dxa" w:w="70"/>
              <w:left w:type="dxa" w:w="90"/>
              <w:bottom w:type="dxa" w:w="70"/>
              <w:right w:type="dxa" w:w="90"/>
            </w:tcMar>
            <w:vAlign w:val="top"/>
          </w:tcPr>
          <w:p>
            <w:r>
              <w:rPr>
                <w:b/>
                <w:bCs/>
                <w:color w:val="000000"/>
                <w:sz w:val="15"/>
                <w:szCs w:val="15"/>
              </w:rPr>
              <w:t xml:space="preserve">Content Governance</w:t>
            </w:r>
          </w:p>
        </w:tc>
        <w:tc>
          <w:tcPr>
            <w:tcW w:type="dxa" w:w="1434"/>
            <w:tcMar>
              <w:top w:type="dxa" w:w="70"/>
              <w:left w:type="dxa" w:w="90"/>
              <w:bottom w:type="dxa" w:w="70"/>
              <w:right w:type="dxa" w:w="90"/>
            </w:tcMar>
            <w:vAlign w:val="top"/>
          </w:tcPr>
          <w:p>
            <w:r>
              <w:rPr>
                <w:b w:val="false"/>
                <w:bCs w:val="false"/>
                <w:color w:val="000000"/>
                <w:sz w:val="15"/>
                <w:szCs w:val="15"/>
              </w:rPr>
              <w:t xml:space="preserve">KMC (taxonomy authority)</w:t>
            </w:r>
          </w:p>
        </w:tc>
        <w:tc>
          <w:tcPr>
            <w:tcW w:type="dxa" w:w="1536"/>
            <w:tcMar>
              <w:top w:type="dxa" w:w="70"/>
              <w:left w:type="dxa" w:w="90"/>
              <w:bottom w:type="dxa" w:w="70"/>
              <w:right w:type="dxa" w:w="90"/>
            </w:tcMar>
            <w:vAlign w:val="top"/>
          </w:tcPr>
          <w:p>
            <w:r>
              <w:rPr>
                <w:b w:val="false"/>
                <w:bCs w:val="false"/>
                <w:color w:val="000000"/>
                <w:sz w:val="15"/>
                <w:szCs w:val="15"/>
              </w:rPr>
              <w:t xml:space="preserve">Ongoing, and at each governance review cycle</w:t>
            </w:r>
          </w:p>
        </w:tc>
        <w:tc>
          <w:tcPr>
            <w:tcW w:type="dxa" w:w="2867"/>
            <w:tcMar>
              <w:top w:type="dxa" w:w="70"/>
              <w:left w:type="dxa" w:w="90"/>
              <w:bottom w:type="dxa" w:w="70"/>
              <w:right w:type="dxa" w:w="90"/>
            </w:tcMar>
            <w:vAlign w:val="top"/>
          </w:tcPr>
          <w:p>
            <w:r>
              <w:rPr>
                <w:b w:val="false"/>
                <w:bCs w:val="false"/>
                <w:color w:val="000000"/>
                <w:sz w:val="15"/>
                <w:szCs w:val="15"/>
              </w:rPr>
              <w:t xml:space="preserve">Define Standard → Apply → Audit Compliance → Refine</w:t>
            </w:r>
          </w:p>
        </w:tc>
        <w:tc>
          <w:tcPr>
            <w:tcW w:type="dxa" w:w="2867"/>
            <w:tcMar>
              <w:top w:type="dxa" w:w="70"/>
              <w:left w:type="dxa" w:w="90"/>
              <w:bottom w:type="dxa" w:w="70"/>
              <w:right w:type="dxa" w:w="90"/>
            </w:tcMar>
            <w:vAlign w:val="top"/>
          </w:tcPr>
          <w:p>
            <w:r>
              <w:rPr>
                <w:b w:val="false"/>
                <w:bCs w:val="false"/>
                <w:color w:val="000000"/>
                <w:sz w:val="15"/>
                <w:szCs w:val="15"/>
              </w:rPr>
              <w:t xml:space="preserve">Automated taxonomy-compliance checks at point of content submission</w:t>
            </w:r>
          </w:p>
        </w:tc>
      </w:tr>
      <w:tr>
        <w:tc>
          <w:tcPr>
            <w:tcW w:type="dxa" w:w="1536"/>
            <w:tcMar>
              <w:top w:type="dxa" w:w="70"/>
              <w:left w:type="dxa" w:w="90"/>
              <w:bottom w:type="dxa" w:w="70"/>
              <w:right w:type="dxa" w:w="90"/>
            </w:tcMar>
            <w:vAlign w:val="top"/>
          </w:tcPr>
          <w:p>
            <w:r>
              <w:rPr>
                <w:b/>
                <w:bCs/>
                <w:color w:val="000000"/>
                <w:sz w:val="15"/>
                <w:szCs w:val="15"/>
              </w:rPr>
              <w:t xml:space="preserve">Audit</w:t>
            </w:r>
          </w:p>
        </w:tc>
        <w:tc>
          <w:tcPr>
            <w:tcW w:type="dxa" w:w="1434"/>
            <w:tcMar>
              <w:top w:type="dxa" w:w="70"/>
              <w:left w:type="dxa" w:w="90"/>
              <w:bottom w:type="dxa" w:w="70"/>
              <w:right w:type="dxa" w:w="90"/>
            </w:tcMar>
            <w:vAlign w:val="top"/>
          </w:tcPr>
          <w:p>
            <w:r>
              <w:rPr>
                <w:b w:val="false"/>
                <w:bCs w:val="false"/>
                <w:color w:val="000000"/>
                <w:sz w:val="15"/>
                <w:szCs w:val="15"/>
              </w:rPr>
              <w:t xml:space="preserve">Governance &amp; Compliance Function</w:t>
            </w:r>
          </w:p>
        </w:tc>
        <w:tc>
          <w:tcPr>
            <w:tcW w:type="dxa" w:w="1536"/>
            <w:tcMar>
              <w:top w:type="dxa" w:w="70"/>
              <w:left w:type="dxa" w:w="90"/>
              <w:bottom w:type="dxa" w:w="70"/>
              <w:right w:type="dxa" w:w="90"/>
            </w:tcMar>
            <w:vAlign w:val="top"/>
          </w:tcPr>
          <w:p>
            <w:r>
              <w:rPr>
                <w:b w:val="false"/>
                <w:bCs w:val="false"/>
                <w:color w:val="000000"/>
                <w:sz w:val="15"/>
                <w:szCs w:val="15"/>
              </w:rPr>
              <w:t xml:space="preserve">Scheduled audit cycle or triggered by incident</w:t>
            </w:r>
          </w:p>
        </w:tc>
        <w:tc>
          <w:tcPr>
            <w:tcW w:type="dxa" w:w="2867"/>
            <w:tcMar>
              <w:top w:type="dxa" w:w="70"/>
              <w:left w:type="dxa" w:w="90"/>
              <w:bottom w:type="dxa" w:w="70"/>
              <w:right w:type="dxa" w:w="90"/>
            </w:tcMar>
            <w:vAlign w:val="top"/>
          </w:tcPr>
          <w:p>
            <w:r>
              <w:rPr>
                <w:b w:val="false"/>
                <w:bCs w:val="false"/>
                <w:color w:val="000000"/>
                <w:sz w:val="15"/>
                <w:szCs w:val="15"/>
              </w:rPr>
              <w:t xml:space="preserve">Scope → Collect Evidence → Assess → Report → Remediate</w:t>
            </w:r>
          </w:p>
        </w:tc>
        <w:tc>
          <w:tcPr>
            <w:tcW w:type="dxa" w:w="2867"/>
            <w:tcMar>
              <w:top w:type="dxa" w:w="70"/>
              <w:left w:type="dxa" w:w="90"/>
              <w:bottom w:type="dxa" w:w="70"/>
              <w:right w:type="dxa" w:w="90"/>
            </w:tcMar>
            <w:vAlign w:val="top"/>
          </w:tcPr>
          <w:p>
            <w:r>
              <w:rPr>
                <w:b w:val="false"/>
                <w:bCs w:val="false"/>
                <w:color w:val="000000"/>
                <w:sz w:val="15"/>
                <w:szCs w:val="15"/>
              </w:rPr>
              <w:t xml:space="preserve">System-generated audit trail across all workflow and access events</w:t>
            </w:r>
          </w:p>
        </w:tc>
      </w:tr>
      <w:tr>
        <w:tc>
          <w:tcPr>
            <w:tcW w:type="dxa" w:w="1536"/>
            <w:tcMar>
              <w:top w:type="dxa" w:w="70"/>
              <w:left w:type="dxa" w:w="90"/>
              <w:bottom w:type="dxa" w:w="70"/>
              <w:right w:type="dxa" w:w="90"/>
            </w:tcMar>
            <w:vAlign w:val="top"/>
          </w:tcPr>
          <w:p>
            <w:r>
              <w:rPr>
                <w:b/>
                <w:bCs/>
                <w:color w:val="000000"/>
                <w:sz w:val="15"/>
                <w:szCs w:val="15"/>
              </w:rPr>
              <w:t xml:space="preserve">Search</w:t>
            </w:r>
          </w:p>
        </w:tc>
        <w:tc>
          <w:tcPr>
            <w:tcW w:type="dxa" w:w="1434"/>
            <w:tcMar>
              <w:top w:type="dxa" w:w="70"/>
              <w:left w:type="dxa" w:w="90"/>
              <w:bottom w:type="dxa" w:w="70"/>
              <w:right w:type="dxa" w:w="90"/>
            </w:tcMar>
            <w:vAlign w:val="top"/>
          </w:tcPr>
          <w:p>
            <w:r>
              <w:rPr>
                <w:b w:val="false"/>
                <w:bCs w:val="false"/>
                <w:color w:val="000000"/>
                <w:sz w:val="15"/>
                <w:szCs w:val="15"/>
              </w:rPr>
              <w:t xml:space="preserve">Platform Administration</w:t>
            </w:r>
          </w:p>
        </w:tc>
        <w:tc>
          <w:tcPr>
            <w:tcW w:type="dxa" w:w="1536"/>
            <w:tcMar>
              <w:top w:type="dxa" w:w="70"/>
              <w:left w:type="dxa" w:w="90"/>
              <w:bottom w:type="dxa" w:w="70"/>
              <w:right w:type="dxa" w:w="90"/>
            </w:tcMar>
            <w:vAlign w:val="top"/>
          </w:tcPr>
          <w:p>
            <w:r>
              <w:rPr>
                <w:b w:val="false"/>
                <w:bCs w:val="false"/>
                <w:color w:val="000000"/>
                <w:sz w:val="15"/>
                <w:szCs w:val="15"/>
              </w:rPr>
              <w:t xml:space="preserve">Ongoing, user-initiated</w:t>
            </w:r>
          </w:p>
        </w:tc>
        <w:tc>
          <w:tcPr>
            <w:tcW w:type="dxa" w:w="2867"/>
            <w:tcMar>
              <w:top w:type="dxa" w:w="70"/>
              <w:left w:type="dxa" w:w="90"/>
              <w:bottom w:type="dxa" w:w="70"/>
              <w:right w:type="dxa" w:w="90"/>
            </w:tcMar>
            <w:vAlign w:val="top"/>
          </w:tcPr>
          <w:p>
            <w:r>
              <w:rPr>
                <w:b w:val="false"/>
                <w:bCs w:val="false"/>
                <w:color w:val="000000"/>
                <w:sz w:val="15"/>
                <w:szCs w:val="15"/>
              </w:rPr>
              <w:t xml:space="preserve">Query → Federate (ESM/CKR-aware) → Rank → Return</w:t>
            </w:r>
          </w:p>
        </w:tc>
        <w:tc>
          <w:tcPr>
            <w:tcW w:type="dxa" w:w="2867"/>
            <w:tcMar>
              <w:top w:type="dxa" w:w="70"/>
              <w:left w:type="dxa" w:w="90"/>
              <w:bottom w:type="dxa" w:w="70"/>
              <w:right w:type="dxa" w:w="90"/>
            </w:tcMar>
            <w:vAlign w:val="top"/>
          </w:tcPr>
          <w:p>
            <w:r>
              <w:rPr>
                <w:b w:val="false"/>
                <w:bCs w:val="false"/>
                <w:color w:val="000000"/>
                <w:sz w:val="15"/>
                <w:szCs w:val="15"/>
              </w:rPr>
              <w:t xml:space="preserve">Federated search respecting the ESM/CKR access boundary, built on the shared taxonomy</w:t>
            </w:r>
          </w:p>
        </w:tc>
      </w:tr>
      <w:tr>
        <w:tc>
          <w:tcPr>
            <w:tcW w:type="dxa" w:w="1536"/>
            <w:tcMar>
              <w:top w:type="dxa" w:w="70"/>
              <w:left w:type="dxa" w:w="90"/>
              <w:bottom w:type="dxa" w:w="70"/>
              <w:right w:type="dxa" w:w="90"/>
            </w:tcMar>
            <w:vAlign w:val="top"/>
          </w:tcPr>
          <w:p>
            <w:r>
              <w:rPr>
                <w:b/>
                <w:bCs/>
                <w:color w:val="000000"/>
                <w:sz w:val="15"/>
                <w:szCs w:val="15"/>
              </w:rPr>
              <w:t xml:space="preserve">Notifications</w:t>
            </w:r>
          </w:p>
        </w:tc>
        <w:tc>
          <w:tcPr>
            <w:tcW w:type="dxa" w:w="1434"/>
            <w:tcMar>
              <w:top w:type="dxa" w:w="70"/>
              <w:left w:type="dxa" w:w="90"/>
              <w:bottom w:type="dxa" w:w="70"/>
              <w:right w:type="dxa" w:w="90"/>
            </w:tcMar>
            <w:vAlign w:val="top"/>
          </w:tcPr>
          <w:p>
            <w:r>
              <w:rPr>
                <w:b w:val="false"/>
                <w:bCs w:val="false"/>
                <w:color w:val="000000"/>
                <w:sz w:val="15"/>
                <w:szCs w:val="15"/>
              </w:rPr>
              <w:t xml:space="preserve">Platform Administration</w:t>
            </w:r>
          </w:p>
        </w:tc>
        <w:tc>
          <w:tcPr>
            <w:tcW w:type="dxa" w:w="1536"/>
            <w:tcMar>
              <w:top w:type="dxa" w:w="70"/>
              <w:left w:type="dxa" w:w="90"/>
              <w:bottom w:type="dxa" w:w="70"/>
              <w:right w:type="dxa" w:w="90"/>
            </w:tcMar>
            <w:vAlign w:val="top"/>
          </w:tcPr>
          <w:p>
            <w:r>
              <w:rPr>
                <w:b w:val="false"/>
                <w:bCs w:val="false"/>
                <w:color w:val="000000"/>
                <w:sz w:val="15"/>
                <w:szCs w:val="15"/>
              </w:rPr>
              <w:t xml:space="preserve">Triggered by any governed workflow event</w:t>
            </w:r>
          </w:p>
        </w:tc>
        <w:tc>
          <w:tcPr>
            <w:tcW w:type="dxa" w:w="2867"/>
            <w:tcMar>
              <w:top w:type="dxa" w:w="70"/>
              <w:left w:type="dxa" w:w="90"/>
              <w:bottom w:type="dxa" w:w="70"/>
              <w:right w:type="dxa" w:w="90"/>
            </w:tcMar>
            <w:vAlign w:val="top"/>
          </w:tcPr>
          <w:p>
            <w:r>
              <w:rPr>
                <w:b w:val="false"/>
                <w:bCs w:val="false"/>
                <w:color w:val="000000"/>
                <w:sz w:val="15"/>
                <w:szCs w:val="15"/>
              </w:rPr>
              <w:t xml:space="preserve">Detect Event → Determine Recipient → Deliver → Log</w:t>
            </w:r>
          </w:p>
        </w:tc>
        <w:tc>
          <w:tcPr>
            <w:tcW w:type="dxa" w:w="2867"/>
            <w:tcMar>
              <w:top w:type="dxa" w:w="70"/>
              <w:left w:type="dxa" w:w="90"/>
              <w:bottom w:type="dxa" w:w="70"/>
              <w:right w:type="dxa" w:w="90"/>
            </w:tcMar>
            <w:vAlign w:val="top"/>
          </w:tcPr>
          <w:p>
            <w:r>
              <w:rPr>
                <w:b w:val="false"/>
                <w:bCs w:val="false"/>
                <w:color w:val="000000"/>
                <w:sz w:val="15"/>
                <w:szCs w:val="15"/>
              </w:rPr>
              <w:t xml:space="preserve">Configurable notification rules replacing informal, ad hoc communication</w:t>
            </w:r>
          </w:p>
        </w:tc>
      </w:tr>
    </w:tbl>
    <w:p>
      <w:pPr>
        <w:spacing w:after="160"/>
      </w:pPr>
    </w:p>
    <w:p>
      <w:pPr>
        <w:pStyle w:val="Heading1"/>
        <w:pBdr>
          <w:bottom w:val="single" w:color="1F3864" w:sz="6" w:space="4"/>
        </w:pBdr>
        <w:spacing w:after="130" w:before="320"/>
      </w:pPr>
      <w:r>
        <w:t xml:space="preserve">2.6 Value Streams</w:t>
      </w:r>
    </w:p>
    <w:p>
      <w:pPr>
        <w:spacing w:after="150" w:line="276"/>
        <w:jc w:val="both"/>
      </w:pPr>
      <w:r>
        <w:t xml:space="preserve">Four end-to-end value streams cut across the process inventory above, each stated from stakeholder trigger to delivered value — the clearest way to show how individual processes combine into outcomes the TOR's own KPIs actually measure.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2048"/>
        <w:gridCol w:w="2662"/>
        <w:gridCol w:w="3686"/>
      </w:tblGrid>
      <w:tr>
        <w:trPr>
          <w:tblHeader/>
        </w:trPr>
        <w:tc>
          <w:tcPr>
            <w:tcW w:type="dxa" w:w="1843"/>
            <w:shd w:fill="1F3864" w:val="clear"/>
            <w:tcMar>
              <w:top w:type="dxa" w:w="70"/>
              <w:left w:type="dxa" w:w="90"/>
              <w:bottom w:type="dxa" w:w="70"/>
              <w:right w:type="dxa" w:w="90"/>
            </w:tcMar>
            <w:vAlign w:val="top"/>
          </w:tcPr>
          <w:p>
            <w:r>
              <w:rPr>
                <w:b/>
                <w:bCs/>
                <w:color w:val="FFFFFF"/>
                <w:sz w:val="17"/>
                <w:szCs w:val="17"/>
              </w:rPr>
              <w:t xml:space="preserve">Value Stream</w:t>
            </w:r>
          </w:p>
        </w:tc>
        <w:tc>
          <w:tcPr>
            <w:tcW w:type="dxa" w:w="2048"/>
            <w:shd w:fill="1F3864" w:val="clear"/>
            <w:tcMar>
              <w:top w:type="dxa" w:w="70"/>
              <w:left w:type="dxa" w:w="90"/>
              <w:bottom w:type="dxa" w:w="70"/>
              <w:right w:type="dxa" w:w="90"/>
            </w:tcMar>
            <w:vAlign w:val="top"/>
          </w:tcPr>
          <w:p>
            <w:r>
              <w:rPr>
                <w:b/>
                <w:bCs/>
                <w:color w:val="FFFFFF"/>
                <w:sz w:val="17"/>
                <w:szCs w:val="17"/>
              </w:rPr>
              <w:t xml:space="preserve">Trigger</w:t>
            </w:r>
          </w:p>
        </w:tc>
        <w:tc>
          <w:tcPr>
            <w:tcW w:type="dxa" w:w="2662"/>
            <w:shd w:fill="1F3864" w:val="clear"/>
            <w:tcMar>
              <w:top w:type="dxa" w:w="70"/>
              <w:left w:type="dxa" w:w="90"/>
              <w:bottom w:type="dxa" w:w="70"/>
              <w:right w:type="dxa" w:w="90"/>
            </w:tcMar>
            <w:vAlign w:val="top"/>
          </w:tcPr>
          <w:p>
            <w:r>
              <w:rPr>
                <w:b/>
                <w:bCs/>
                <w:color w:val="FFFFFF"/>
                <w:sz w:val="17"/>
                <w:szCs w:val="17"/>
              </w:rPr>
              <w:t xml:space="preserve">Stages</w:t>
            </w:r>
          </w:p>
        </w:tc>
        <w:tc>
          <w:tcPr>
            <w:tcW w:type="dxa" w:w="3686"/>
            <w:shd w:fill="1F3864" w:val="clear"/>
            <w:tcMar>
              <w:top w:type="dxa" w:w="70"/>
              <w:left w:type="dxa" w:w="90"/>
              <w:bottom w:type="dxa" w:w="70"/>
              <w:right w:type="dxa" w:w="90"/>
            </w:tcMar>
            <w:vAlign w:val="top"/>
          </w:tcPr>
          <w:p>
            <w:r>
              <w:rPr>
                <w:b/>
                <w:bCs/>
                <w:color w:val="FFFFFF"/>
                <w:sz w:val="17"/>
                <w:szCs w:val="17"/>
              </w:rPr>
              <w:t xml:space="preserve">Value Delivered</w:t>
            </w:r>
          </w:p>
        </w:tc>
      </w:tr>
      <w:tr>
        <w:tc>
          <w:tcPr>
            <w:tcW w:type="dxa" w:w="1843"/>
            <w:tcMar>
              <w:top w:type="dxa" w:w="70"/>
              <w:left w:type="dxa" w:w="90"/>
              <w:bottom w:type="dxa" w:w="70"/>
              <w:right w:type="dxa" w:w="90"/>
            </w:tcMar>
            <w:vAlign w:val="top"/>
          </w:tcPr>
          <w:p>
            <w:r>
              <w:rPr>
                <w:b/>
                <w:bCs/>
                <w:color w:val="000000"/>
                <w:sz w:val="17"/>
                <w:szCs w:val="17"/>
              </w:rPr>
              <w:t xml:space="preserve">From Draft to Approved Record</w:t>
            </w:r>
          </w:p>
        </w:tc>
        <w:tc>
          <w:tcPr>
            <w:tcW w:type="dxa" w:w="2048"/>
            <w:tcMar>
              <w:top w:type="dxa" w:w="70"/>
              <w:left w:type="dxa" w:w="90"/>
              <w:bottom w:type="dxa" w:w="70"/>
              <w:right w:type="dxa" w:w="90"/>
            </w:tcMar>
            <w:vAlign w:val="top"/>
          </w:tcPr>
          <w:p>
            <w:r>
              <w:rPr>
                <w:b w:val="false"/>
                <w:bCs w:val="false"/>
                <w:color w:val="000000"/>
                <w:sz w:val="17"/>
                <w:szCs w:val="17"/>
              </w:rPr>
              <w:t xml:space="preserve">A state team drafts a work plan, report, memo, or procurement record</w:t>
            </w:r>
          </w:p>
        </w:tc>
        <w:tc>
          <w:tcPr>
            <w:tcW w:type="dxa" w:w="2662"/>
            <w:tcMar>
              <w:top w:type="dxa" w:w="70"/>
              <w:left w:type="dxa" w:w="90"/>
              <w:bottom w:type="dxa" w:w="70"/>
              <w:right w:type="dxa" w:w="90"/>
            </w:tcMar>
            <w:vAlign w:val="top"/>
          </w:tcPr>
          <w:p>
            <w:r>
              <w:rPr>
                <w:b w:val="false"/>
                <w:bCs w:val="false"/>
                <w:color w:val="000000"/>
                <w:sz w:val="17"/>
                <w:szCs w:val="17"/>
              </w:rPr>
              <w:t xml:space="preserve">Draft → Review → Approve → Publish/Archive</w:t>
            </w:r>
          </w:p>
        </w:tc>
        <w:tc>
          <w:tcPr>
            <w:tcW w:type="dxa" w:w="3686"/>
            <w:tcMar>
              <w:top w:type="dxa" w:w="70"/>
              <w:left w:type="dxa" w:w="90"/>
              <w:bottom w:type="dxa" w:w="70"/>
              <w:right w:type="dxa" w:w="90"/>
            </w:tcMar>
            <w:vAlign w:val="top"/>
          </w:tcPr>
          <w:p>
            <w:r>
              <w:rPr>
                <w:b w:val="false"/>
                <w:bCs w:val="false"/>
                <w:color w:val="000000"/>
                <w:sz w:val="17"/>
                <w:szCs w:val="17"/>
              </w:rPr>
              <w:t xml:space="preserve">An auditable, governed decision of record, replacing today's untracked manual approval</w:t>
            </w:r>
          </w:p>
        </w:tc>
      </w:tr>
      <w:tr>
        <w:tc>
          <w:tcPr>
            <w:tcW w:type="dxa" w:w="1843"/>
            <w:tcMar>
              <w:top w:type="dxa" w:w="70"/>
              <w:left w:type="dxa" w:w="90"/>
              <w:bottom w:type="dxa" w:w="70"/>
              <w:right w:type="dxa" w:w="90"/>
            </w:tcMar>
            <w:vAlign w:val="top"/>
          </w:tcPr>
          <w:p>
            <w:r>
              <w:rPr>
                <w:b/>
                <w:bCs/>
                <w:color w:val="000000"/>
                <w:sz w:val="17"/>
                <w:szCs w:val="17"/>
              </w:rPr>
              <w:t xml:space="preserve">From State Experience to Institutional Knowledge</w:t>
            </w:r>
          </w:p>
        </w:tc>
        <w:tc>
          <w:tcPr>
            <w:tcW w:type="dxa" w:w="2048"/>
            <w:tcMar>
              <w:top w:type="dxa" w:w="70"/>
              <w:left w:type="dxa" w:w="90"/>
              <w:bottom w:type="dxa" w:w="70"/>
              <w:right w:type="dxa" w:w="90"/>
            </w:tcMar>
            <w:vAlign w:val="top"/>
          </w:tcPr>
          <w:p>
            <w:r>
              <w:rPr>
                <w:b w:val="false"/>
                <w:bCs w:val="false"/>
                <w:color w:val="000000"/>
                <w:sz w:val="17"/>
                <w:szCs w:val="17"/>
              </w:rPr>
              <w:t xml:space="preserve">A state completes an activity or milestone</w:t>
            </w:r>
          </w:p>
        </w:tc>
        <w:tc>
          <w:tcPr>
            <w:tcW w:type="dxa" w:w="2662"/>
            <w:tcMar>
              <w:top w:type="dxa" w:w="70"/>
              <w:left w:type="dxa" w:w="90"/>
              <w:bottom w:type="dxa" w:w="70"/>
              <w:right w:type="dxa" w:w="90"/>
            </w:tcMar>
            <w:vAlign w:val="top"/>
          </w:tcPr>
          <w:p>
            <w:r>
              <w:rPr>
                <w:b w:val="false"/>
                <w:bCs w:val="false"/>
                <w:color w:val="000000"/>
                <w:sz w:val="17"/>
                <w:szCs w:val="17"/>
              </w:rPr>
              <w:t xml:space="preserve">Capture → Steward Review → Curate → Publish to CKR → Disseminate/Reuse</w:t>
            </w:r>
          </w:p>
        </w:tc>
        <w:tc>
          <w:tcPr>
            <w:tcW w:type="dxa" w:w="3686"/>
            <w:tcMar>
              <w:top w:type="dxa" w:w="70"/>
              <w:left w:type="dxa" w:w="90"/>
              <w:bottom w:type="dxa" w:w="70"/>
              <w:right w:type="dxa" w:w="90"/>
            </w:tcMar>
            <w:vAlign w:val="top"/>
          </w:tcPr>
          <w:p>
            <w:r>
              <w:rPr>
                <w:b w:val="false"/>
                <w:bCs w:val="false"/>
                <w:color w:val="000000"/>
                <w:sz w:val="17"/>
                <w:szCs w:val="17"/>
              </w:rPr>
              <w:t xml:space="preserve">Institutional memory that reaches all seven states and the FCT, not just the originating state</w:t>
            </w:r>
          </w:p>
        </w:tc>
      </w:tr>
      <w:tr>
        <w:tc>
          <w:tcPr>
            <w:tcW w:type="dxa" w:w="1843"/>
            <w:tcMar>
              <w:top w:type="dxa" w:w="70"/>
              <w:left w:type="dxa" w:w="90"/>
              <w:bottom w:type="dxa" w:w="70"/>
              <w:right w:type="dxa" w:w="90"/>
            </w:tcMar>
            <w:vAlign w:val="top"/>
          </w:tcPr>
          <w:p>
            <w:r>
              <w:rPr>
                <w:b/>
                <w:bCs/>
                <w:color w:val="000000"/>
                <w:sz w:val="17"/>
                <w:szCs w:val="17"/>
              </w:rPr>
              <w:t xml:space="preserve">From Field Activity to Executive Decision</w:t>
            </w:r>
          </w:p>
        </w:tc>
        <w:tc>
          <w:tcPr>
            <w:tcW w:type="dxa" w:w="2048"/>
            <w:tcMar>
              <w:top w:type="dxa" w:w="70"/>
              <w:left w:type="dxa" w:w="90"/>
              <w:bottom w:type="dxa" w:w="70"/>
              <w:right w:type="dxa" w:w="90"/>
            </w:tcMar>
            <w:vAlign w:val="top"/>
          </w:tcPr>
          <w:p>
            <w:r>
              <w:rPr>
                <w:b w:val="false"/>
                <w:bCs w:val="false"/>
                <w:color w:val="000000"/>
                <w:sz w:val="17"/>
                <w:szCs w:val="17"/>
              </w:rPr>
              <w:t xml:space="preserve">A periodic reporting cycle or milestone event occurs</w:t>
            </w:r>
          </w:p>
        </w:tc>
        <w:tc>
          <w:tcPr>
            <w:tcW w:type="dxa" w:w="2662"/>
            <w:tcMar>
              <w:top w:type="dxa" w:w="70"/>
              <w:left w:type="dxa" w:w="90"/>
              <w:bottom w:type="dxa" w:w="70"/>
              <w:right w:type="dxa" w:w="90"/>
            </w:tcMar>
            <w:vAlign w:val="top"/>
          </w:tcPr>
          <w:p>
            <w:r>
              <w:rPr>
                <w:b w:val="false"/>
                <w:bCs w:val="false"/>
                <w:color w:val="000000"/>
                <w:sz w:val="17"/>
                <w:szCs w:val="17"/>
              </w:rPr>
              <w:t xml:space="preserve">Data Capture → Aggregation → Templated Report Generation → Tiered Dashboard Publication → Decision</w:t>
            </w:r>
          </w:p>
        </w:tc>
        <w:tc>
          <w:tcPr>
            <w:tcW w:type="dxa" w:w="3686"/>
            <w:tcMar>
              <w:top w:type="dxa" w:w="70"/>
              <w:left w:type="dxa" w:w="90"/>
              <w:bottom w:type="dxa" w:w="70"/>
              <w:right w:type="dxa" w:w="90"/>
            </w:tcMar>
            <w:vAlign w:val="top"/>
          </w:tcPr>
          <w:p>
            <w:r>
              <w:rPr>
                <w:b w:val="false"/>
                <w:bCs w:val="false"/>
                <w:color w:val="000000"/>
                <w:sz w:val="17"/>
                <w:szCs w:val="17"/>
              </w:rPr>
              <w:t xml:space="preserve">Timely, accurate, donor-aligned decision support for the National Programme Coordinator, donors, and state managers</w:t>
            </w:r>
          </w:p>
        </w:tc>
      </w:tr>
      <w:tr>
        <w:tc>
          <w:tcPr>
            <w:tcW w:type="dxa" w:w="1843"/>
            <w:tcMar>
              <w:top w:type="dxa" w:w="70"/>
              <w:left w:type="dxa" w:w="90"/>
              <w:bottom w:type="dxa" w:w="70"/>
              <w:right w:type="dxa" w:w="90"/>
            </w:tcMar>
            <w:vAlign w:val="top"/>
          </w:tcPr>
          <w:p>
            <w:r>
              <w:rPr>
                <w:b/>
                <w:bCs/>
                <w:color w:val="000000"/>
                <w:sz w:val="17"/>
                <w:szCs w:val="17"/>
              </w:rPr>
              <w:t xml:space="preserve">From Legacy Content to Governed Repository</w:t>
            </w:r>
          </w:p>
        </w:tc>
        <w:tc>
          <w:tcPr>
            <w:tcW w:type="dxa" w:w="2048"/>
            <w:tcMar>
              <w:top w:type="dxa" w:w="70"/>
              <w:left w:type="dxa" w:w="90"/>
              <w:bottom w:type="dxa" w:w="70"/>
              <w:right w:type="dxa" w:w="90"/>
            </w:tcMar>
            <w:vAlign w:val="top"/>
          </w:tcPr>
          <w:p>
            <w:r>
              <w:rPr>
                <w:b w:val="false"/>
                <w:bCs w:val="false"/>
                <w:color w:val="000000"/>
                <w:sz w:val="17"/>
                <w:szCs w:val="17"/>
              </w:rPr>
              <w:t xml:space="preserve">The Inception-phase content and data audit begins</w:t>
            </w:r>
          </w:p>
        </w:tc>
        <w:tc>
          <w:tcPr>
            <w:tcW w:type="dxa" w:w="2662"/>
            <w:tcMar>
              <w:top w:type="dxa" w:w="70"/>
              <w:left w:type="dxa" w:w="90"/>
              <w:bottom w:type="dxa" w:w="70"/>
              <w:right w:type="dxa" w:w="90"/>
            </w:tcMar>
            <w:vAlign w:val="top"/>
          </w:tcPr>
          <w:p>
            <w:r>
              <w:rPr>
                <w:b w:val="false"/>
                <w:bCs w:val="false"/>
                <w:color w:val="000000"/>
                <w:sz w:val="17"/>
                <w:szCs w:val="17"/>
              </w:rPr>
              <w:t xml:space="preserve">Audit → Classify → Migrate → Validate → Retire Legacy</w:t>
            </w:r>
          </w:p>
        </w:tc>
        <w:tc>
          <w:tcPr>
            <w:tcW w:type="dxa" w:w="3686"/>
            <w:tcMar>
              <w:top w:type="dxa" w:w="70"/>
              <w:left w:type="dxa" w:w="90"/>
              <w:bottom w:type="dxa" w:w="70"/>
              <w:right w:type="dxa" w:w="90"/>
            </w:tcMar>
            <w:vAlign w:val="top"/>
          </w:tcPr>
          <w:p>
            <w:r>
              <w:rPr>
                <w:b w:val="false"/>
                <w:bCs w:val="false"/>
                <w:color w:val="000000"/>
                <w:sz w:val="17"/>
                <w:szCs w:val="17"/>
              </w:rPr>
              <w:t xml:space="preserve">A single governed system of record replacing the fragmented, decentralized storage named in the TOR's Problem Statement</w:t>
            </w:r>
          </w:p>
        </w:tc>
      </w:tr>
    </w:tbl>
    <w:p>
      <w:pPr>
        <w:spacing w:after="160"/>
      </w:pPr>
    </w:p>
    <w:p>
      <w:pPr>
        <w:pStyle w:val="Heading1"/>
        <w:pBdr>
          <w:bottom w:val="single" w:color="1F3864" w:sz="6" w:space="4"/>
        </w:pBdr>
        <w:spacing w:after="130" w:before="320"/>
      </w:pPr>
      <w:r>
        <w:t xml:space="preserve">2.7 Organisation Model</w:t>
      </w:r>
    </w:p>
    <w:p>
      <w:pPr>
        <w:spacing w:after="150" w:line="276"/>
        <w:jc w:val="both"/>
      </w:pPr>
      <w:r>
        <w:t xml:space="preserve">The organisation model names every party the business architecture must account for, drawn directly from the stakeholder analysis in the Master Bid &amp; Delivery Strategy. No procurement document lists this map in full, since a TOR defines scope and eligibility rather than organizational structure — the entities below are named explicitly here so later sections (Governance, Decision Model, RACI) have a fixed vocabulary to reference.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77"/>
        <w:gridCol w:w="6963"/>
      </w:tblGrid>
      <w:tr>
        <w:trPr>
          <w:tblHeader/>
        </w:trPr>
        <w:tc>
          <w:tcPr>
            <w:tcW w:type="dxa" w:w="3277"/>
            <w:shd w:fill="1F3864" w:val="clear"/>
            <w:tcMar>
              <w:top w:type="dxa" w:w="70"/>
              <w:left w:type="dxa" w:w="90"/>
              <w:bottom w:type="dxa" w:w="70"/>
              <w:right w:type="dxa" w:w="90"/>
            </w:tcMar>
            <w:vAlign w:val="top"/>
          </w:tcPr>
          <w:p>
            <w:r>
              <w:rPr>
                <w:b/>
                <w:bCs/>
                <w:color w:val="FFFFFF"/>
                <w:sz w:val="17"/>
                <w:szCs w:val="17"/>
              </w:rPr>
              <w:t xml:space="preserve">Entity</w:t>
            </w:r>
          </w:p>
        </w:tc>
        <w:tc>
          <w:tcPr>
            <w:tcW w:type="dxa" w:w="6963"/>
            <w:shd w:fill="1F3864" w:val="clear"/>
            <w:tcMar>
              <w:top w:type="dxa" w:w="70"/>
              <w:left w:type="dxa" w:w="90"/>
              <w:bottom w:type="dxa" w:w="70"/>
              <w:right w:type="dxa" w:w="90"/>
            </w:tcMar>
            <w:vAlign w:val="top"/>
          </w:tcPr>
          <w:p>
            <w:r>
              <w:rPr>
                <w:b/>
                <w:bCs/>
                <w:color w:val="FFFFFF"/>
                <w:sz w:val="17"/>
                <w:szCs w:val="17"/>
              </w:rPr>
              <w:t xml:space="preserve">Role in the Architecture</w:t>
            </w:r>
          </w:p>
        </w:tc>
      </w:tr>
      <w:tr>
        <w:tc>
          <w:tcPr>
            <w:tcW w:type="dxa" w:w="3277"/>
            <w:tcMar>
              <w:top w:type="dxa" w:w="70"/>
              <w:left w:type="dxa" w:w="90"/>
              <w:bottom w:type="dxa" w:w="70"/>
              <w:right w:type="dxa" w:w="90"/>
            </w:tcMar>
            <w:vAlign w:val="top"/>
          </w:tcPr>
          <w:p>
            <w:r>
              <w:rPr>
                <w:b/>
                <w:bCs/>
                <w:color w:val="000000"/>
                <w:sz w:val="17"/>
                <w:szCs w:val="17"/>
              </w:rPr>
              <w:t xml:space="preserve">National Programme Coordination Office (NPCO) / National Programme Coordinator</w:t>
            </w:r>
          </w:p>
        </w:tc>
        <w:tc>
          <w:tcPr>
            <w:tcW w:type="dxa" w:w="6963"/>
            <w:tcMar>
              <w:top w:type="dxa" w:w="70"/>
              <w:left w:type="dxa" w:w="90"/>
              <w:bottom w:type="dxa" w:w="70"/>
              <w:right w:type="dxa" w:w="90"/>
            </w:tcMar>
            <w:vAlign w:val="top"/>
          </w:tcPr>
          <w:p>
            <w:r>
              <w:rPr>
                <w:b w:val="false"/>
                <w:bCs w:val="false"/>
                <w:color w:val="000000"/>
                <w:sz w:val="17"/>
                <w:szCs w:val="17"/>
              </w:rPr>
              <w:t xml:space="preserve">Ultimate accountability holder for the programme; endorses the Data &amp; Content Governance Charter; primary governance partner.</w:t>
            </w:r>
          </w:p>
        </w:tc>
      </w:tr>
      <w:tr>
        <w:tc>
          <w:tcPr>
            <w:tcW w:type="dxa" w:w="3277"/>
            <w:tcMar>
              <w:top w:type="dxa" w:w="70"/>
              <w:left w:type="dxa" w:w="90"/>
              <w:bottom w:type="dxa" w:w="70"/>
              <w:right w:type="dxa" w:w="90"/>
            </w:tcMar>
            <w:vAlign w:val="top"/>
          </w:tcPr>
          <w:p>
            <w:r>
              <w:rPr>
                <w:b/>
                <w:bCs/>
                <w:color w:val="000000"/>
                <w:sz w:val="17"/>
                <w:szCs w:val="17"/>
              </w:rPr>
              <w:t xml:space="preserve">Knowledge Management Component (KMC)</w:t>
            </w:r>
          </w:p>
        </w:tc>
        <w:tc>
          <w:tcPr>
            <w:tcW w:type="dxa" w:w="6963"/>
            <w:tcMar>
              <w:top w:type="dxa" w:w="70"/>
              <w:left w:type="dxa" w:w="90"/>
              <w:bottom w:type="dxa" w:w="70"/>
              <w:right w:type="dxa" w:w="90"/>
            </w:tcMar>
            <w:vAlign w:val="top"/>
          </w:tcPr>
          <w:p>
            <w:r>
              <w:rPr>
                <w:b w:val="false"/>
                <w:bCs w:val="false"/>
                <w:color w:val="000000"/>
                <w:sz w:val="17"/>
                <w:szCs w:val="17"/>
              </w:rPr>
              <w:t xml:space="preserve">Technical-lead counterpart to the consultant; holds content-decision accountability (what legacy content is preserved, reformatted, or discarded); co-signs the Governance Charter; taxonomy authority.</w:t>
            </w:r>
          </w:p>
        </w:tc>
      </w:tr>
      <w:tr>
        <w:tc>
          <w:tcPr>
            <w:tcW w:type="dxa" w:w="3277"/>
            <w:tcMar>
              <w:top w:type="dxa" w:w="70"/>
              <w:left w:type="dxa" w:w="90"/>
              <w:bottom w:type="dxa" w:w="70"/>
              <w:right w:type="dxa" w:w="90"/>
            </w:tcMar>
            <w:vAlign w:val="top"/>
          </w:tcPr>
          <w:p>
            <w:r>
              <w:rPr>
                <w:b/>
                <w:bCs/>
                <w:color w:val="000000"/>
                <w:sz w:val="17"/>
                <w:szCs w:val="17"/>
              </w:rPr>
              <w:t xml:space="preserve">Client KM and ICT Units</w:t>
            </w:r>
          </w:p>
        </w:tc>
        <w:tc>
          <w:tcPr>
            <w:tcW w:type="dxa" w:w="6963"/>
            <w:tcMar>
              <w:top w:type="dxa" w:w="70"/>
              <w:left w:type="dxa" w:w="90"/>
              <w:bottom w:type="dxa" w:w="70"/>
              <w:right w:type="dxa" w:w="90"/>
            </w:tcMar>
            <w:vAlign w:val="top"/>
          </w:tcPr>
          <w:p>
            <w:r>
              <w:rPr>
                <w:b w:val="false"/>
                <w:bCs w:val="false"/>
                <w:color w:val="000000"/>
                <w:sz w:val="17"/>
                <w:szCs w:val="17"/>
              </w:rPr>
              <w:t xml:space="preserve">Owns day-to-day platform operating capability; progresses from Level 1 (ad hoc) through Level 2 (systematized, consultant-supported) toward Level 3 (self-sufficient) over the engagement; inherits the platform at handover.</w:t>
            </w:r>
          </w:p>
        </w:tc>
      </w:tr>
      <w:tr>
        <w:tc>
          <w:tcPr>
            <w:tcW w:type="dxa" w:w="3277"/>
            <w:tcMar>
              <w:top w:type="dxa" w:w="70"/>
              <w:left w:type="dxa" w:w="90"/>
              <w:bottom w:type="dxa" w:w="70"/>
              <w:right w:type="dxa" w:w="90"/>
            </w:tcMar>
            <w:vAlign w:val="top"/>
          </w:tcPr>
          <w:p>
            <w:r>
              <w:rPr>
                <w:b/>
                <w:bCs/>
                <w:color w:val="000000"/>
                <w:sz w:val="17"/>
                <w:szCs w:val="17"/>
              </w:rPr>
              <w:t xml:space="preserve">Seven State Implementation Teams and the FCT</w:t>
            </w:r>
          </w:p>
        </w:tc>
        <w:tc>
          <w:tcPr>
            <w:tcW w:type="dxa" w:w="6963"/>
            <w:tcMar>
              <w:top w:type="dxa" w:w="70"/>
              <w:left w:type="dxa" w:w="90"/>
              <w:bottom w:type="dxa" w:w="70"/>
              <w:right w:type="dxa" w:w="90"/>
            </w:tcMar>
            <w:vAlign w:val="top"/>
          </w:tcPr>
          <w:p>
            <w:r>
              <w:rPr>
                <w:b w:val="false"/>
                <w:bCs w:val="false"/>
                <w:color w:val="000000"/>
                <w:sz w:val="17"/>
                <w:szCs w:val="17"/>
              </w:rPr>
              <w:t xml:space="preserve">Day-to-day content owners under the federated-but-governed model; primary daily users of both systems; adoption-critical to the TOR's own named 'adoption resistance' risk.</w:t>
            </w:r>
          </w:p>
        </w:tc>
      </w:tr>
      <w:tr>
        <w:tc>
          <w:tcPr>
            <w:tcW w:type="dxa" w:w="3277"/>
            <w:tcMar>
              <w:top w:type="dxa" w:w="70"/>
              <w:left w:type="dxa" w:w="90"/>
              <w:bottom w:type="dxa" w:w="70"/>
              <w:right w:type="dxa" w:w="90"/>
            </w:tcMar>
            <w:vAlign w:val="top"/>
          </w:tcPr>
          <w:p>
            <w:r>
              <w:rPr>
                <w:b/>
                <w:bCs/>
                <w:color w:val="000000"/>
                <w:sz w:val="17"/>
                <w:szCs w:val="17"/>
              </w:rPr>
              <w:t xml:space="preserve">State-Level Focal Points</w:t>
            </w:r>
          </w:p>
        </w:tc>
        <w:tc>
          <w:tcPr>
            <w:tcW w:type="dxa" w:w="6963"/>
            <w:tcMar>
              <w:top w:type="dxa" w:w="70"/>
              <w:left w:type="dxa" w:w="90"/>
              <w:bottom w:type="dxa" w:w="70"/>
              <w:right w:type="dxa" w:w="90"/>
            </w:tcMar>
            <w:vAlign w:val="top"/>
          </w:tcPr>
          <w:p>
            <w:r>
              <w:rPr>
                <w:b w:val="false"/>
                <w:bCs w:val="false"/>
                <w:color w:val="000000"/>
                <w:sz w:val="17"/>
                <w:szCs w:val="17"/>
              </w:rPr>
              <w:t xml:space="preserve">Consulted on content-migration and retention decisions; local point of contact for training and change management.</w:t>
            </w:r>
          </w:p>
        </w:tc>
      </w:tr>
      <w:tr>
        <w:tc>
          <w:tcPr>
            <w:tcW w:type="dxa" w:w="3277"/>
            <w:tcMar>
              <w:top w:type="dxa" w:w="70"/>
              <w:left w:type="dxa" w:w="90"/>
              <w:bottom w:type="dxa" w:w="70"/>
              <w:right w:type="dxa" w:w="90"/>
            </w:tcMar>
            <w:vAlign w:val="top"/>
          </w:tcPr>
          <w:p>
            <w:r>
              <w:rPr>
                <w:b/>
                <w:bCs/>
                <w:color w:val="000000"/>
                <w:sz w:val="17"/>
                <w:szCs w:val="17"/>
              </w:rPr>
              <w:t xml:space="preserve">Co-Financing Institutions (AfDB, IFAD, IsDB)</w:t>
            </w:r>
          </w:p>
        </w:tc>
        <w:tc>
          <w:tcPr>
            <w:tcW w:type="dxa" w:w="6963"/>
            <w:tcMar>
              <w:top w:type="dxa" w:w="70"/>
              <w:left w:type="dxa" w:w="90"/>
              <w:bottom w:type="dxa" w:w="70"/>
              <w:right w:type="dxa" w:w="90"/>
            </w:tcMar>
            <w:vAlign w:val="top"/>
          </w:tcPr>
          <w:p>
            <w:r>
              <w:rPr>
                <w:b w:val="false"/>
                <w:bCs w:val="false"/>
                <w:color w:val="000000"/>
                <w:sz w:val="17"/>
                <w:szCs w:val="17"/>
              </w:rPr>
              <w:t xml:space="preserve">Hold supervisory and fiduciary authority through disbursement conditions and supervision missions; engaged at a summary level via the Charter's donor-alignment review, not in operational detail.</w:t>
            </w:r>
          </w:p>
        </w:tc>
      </w:tr>
      <w:tr>
        <w:tc>
          <w:tcPr>
            <w:tcW w:type="dxa" w:w="3277"/>
            <w:tcMar>
              <w:top w:type="dxa" w:w="70"/>
              <w:left w:type="dxa" w:w="90"/>
              <w:bottom w:type="dxa" w:w="70"/>
              <w:right w:type="dxa" w:w="90"/>
            </w:tcMar>
            <w:vAlign w:val="top"/>
          </w:tcPr>
          <w:p>
            <w:r>
              <w:rPr>
                <w:b/>
                <w:bCs/>
                <w:color w:val="000000"/>
                <w:sz w:val="17"/>
                <w:szCs w:val="17"/>
              </w:rPr>
              <w:t xml:space="preserve">Private Sector Actors and Community Organizations</w:t>
            </w:r>
          </w:p>
        </w:tc>
        <w:tc>
          <w:tcPr>
            <w:tcW w:type="dxa" w:w="6963"/>
            <w:tcMar>
              <w:top w:type="dxa" w:w="70"/>
              <w:left w:type="dxa" w:w="90"/>
              <w:bottom w:type="dxa" w:w="70"/>
              <w:right w:type="dxa" w:w="90"/>
            </w:tcMar>
            <w:vAlign w:val="top"/>
          </w:tcPr>
          <w:p>
            <w:r>
              <w:rPr>
                <w:b w:val="false"/>
                <w:bCs w:val="false"/>
                <w:color w:val="000000"/>
                <w:sz w:val="17"/>
                <w:szCs w:val="17"/>
              </w:rPr>
              <w:t xml:space="preserve">Ultimate beneficiaries of CKR's public knowledge-sharing objective; engaged through published content rather than governance participation.</w:t>
            </w:r>
          </w:p>
        </w:tc>
      </w:tr>
      <w:tr>
        <w:tc>
          <w:tcPr>
            <w:tcW w:type="dxa" w:w="3277"/>
            <w:tcMar>
              <w:top w:type="dxa" w:w="70"/>
              <w:left w:type="dxa" w:w="90"/>
              <w:bottom w:type="dxa" w:w="70"/>
              <w:right w:type="dxa" w:w="90"/>
            </w:tcMar>
            <w:vAlign w:val="top"/>
          </w:tcPr>
          <w:p>
            <w:r>
              <w:rPr>
                <w:b/>
                <w:bCs/>
                <w:color w:val="000000"/>
                <w:sz w:val="17"/>
                <w:szCs w:val="17"/>
              </w:rPr>
              <w:t xml:space="preserve">Consultant Delivery Team</w:t>
            </w:r>
          </w:p>
        </w:tc>
        <w:tc>
          <w:tcPr>
            <w:tcW w:type="dxa" w:w="6963"/>
            <w:tcMar>
              <w:top w:type="dxa" w:w="70"/>
              <w:left w:type="dxa" w:w="90"/>
              <w:bottom w:type="dxa" w:w="70"/>
              <w:right w:type="dxa" w:w="90"/>
            </w:tcMar>
            <w:vAlign w:val="top"/>
          </w:tcPr>
          <w:p>
            <w:r>
              <w:rPr>
                <w:b w:val="false"/>
                <w:bCs w:val="false"/>
                <w:color w:val="000000"/>
                <w:sz w:val="17"/>
                <w:szCs w:val="17"/>
              </w:rPr>
              <w:t xml:space="preserve">Designs, configures, migrates, and deploys both systems within the fixed twelve-week schedule; personally leads architecture and configuration; may engage bounded, named specialist support for specific modules where resource-loading requires it.</w:t>
            </w:r>
          </w:p>
        </w:tc>
      </w:tr>
      <w:tr>
        <w:tc>
          <w:tcPr>
            <w:tcW w:type="dxa" w:w="3277"/>
            <w:tcMar>
              <w:top w:type="dxa" w:w="70"/>
              <w:left w:type="dxa" w:w="90"/>
              <w:bottom w:type="dxa" w:w="70"/>
              <w:right w:type="dxa" w:w="90"/>
            </w:tcMar>
            <w:vAlign w:val="top"/>
          </w:tcPr>
          <w:p>
            <w:r>
              <w:rPr>
                <w:b/>
                <w:bCs/>
                <w:color w:val="000000"/>
                <w:sz w:val="17"/>
                <w:szCs w:val="17"/>
              </w:rPr>
              <w:t xml:space="preserve">Enterprise Architecture Review Board</w:t>
            </w:r>
          </w:p>
        </w:tc>
        <w:tc>
          <w:tcPr>
            <w:tcW w:type="dxa" w:w="6963"/>
            <w:tcMar>
              <w:top w:type="dxa" w:w="70"/>
              <w:left w:type="dxa" w:w="90"/>
              <w:bottom w:type="dxa" w:w="70"/>
              <w:right w:type="dxa" w:w="90"/>
            </w:tcMar>
            <w:vAlign w:val="top"/>
          </w:tcPr>
          <w:p>
            <w:r>
              <w:rPr>
                <w:b w:val="false"/>
                <w:bCs w:val="false"/>
                <w:color w:val="000000"/>
                <w:sz w:val="17"/>
                <w:szCs w:val="17"/>
              </w:rPr>
              <w:t xml:space="preserve">Governance body established under the Architecture Principles in Section 1; approves any exception to the architecture principles or standards set in this Blueprint.</w:t>
            </w:r>
          </w:p>
        </w:tc>
      </w:tr>
    </w:tbl>
    <w:p>
      <w:pPr>
        <w:spacing w:after="160"/>
      </w:pPr>
    </w:p>
    <w:p>
      <w:pPr>
        <w:pStyle w:val="Heading1"/>
        <w:pBdr>
          <w:bottom w:val="single" w:color="1F3864" w:sz="6" w:space="4"/>
        </w:pBdr>
        <w:spacing w:after="130" w:before="320"/>
      </w:pPr>
      <w:r>
        <w:t xml:space="preserve">2.8 Operating Model</w:t>
      </w:r>
    </w:p>
    <w:p>
      <w:pPr>
        <w:spacing w:after="150" w:line="276"/>
        <w:jc w:val="both"/>
      </w:pPr>
      <w:r>
        <w:t xml:space="preserve">The steady-state operating model is federated-but-governed, consistent with the Enterprise Principles fixed in Section 1: state teams and the FCT operate their own content day to day, while taxonomy, retention, and workflow standards are set once at national level by the KMC and applied consistently everywhere. Approvals flow through a multi-tier hierarchy — state, regional, national — using the single configurable workflow engine described in the Business Process Architecture above, rather than a bespoke process per tier.</w:t>
      </w:r>
    </w:p>
    <w:p>
      <w:pPr>
        <w:spacing w:after="150" w:line="276"/>
        <w:jc w:val="both"/>
      </w:pPr>
      <w:r>
        <w:t xml:space="preserve">The Governance Charter is adopted as a formally signed instrument during the Inception phase (Weeks 1–2), co-signed by the KMC as technical lead and endorsed by the National Programme Coordinator, so the operating model survives personnel turnover in a way an unsigned recommendation in a final report does not. Over the twelve-week engagement, the consultant's own role shifts from build-and-configure toward advise-and-handover, mirroring the KM and ICT Units' progression up the capability-maturity scale, so that operational ownership sits with the client — not the consultant — from go-live onward.</w:t>
      </w:r>
    </w:p>
    <w:p>
      <w:pPr>
        <w:pStyle w:val="Heading1"/>
        <w:pBdr>
          <w:bottom w:val="single" w:color="1F3864" w:sz="6" w:space="4"/>
        </w:pBdr>
        <w:spacing w:after="130" w:before="320"/>
      </w:pPr>
      <w:r>
        <w:t xml:space="preserve">2.9 Decision Model</w:t>
      </w:r>
    </w:p>
    <w:p>
      <w:pPr>
        <w:spacing w:after="150" w:line="276"/>
        <w:jc w:val="both"/>
      </w:pPr>
      <w:r>
        <w:t xml:space="preserve">Six recurring decision types govern the architecture. Each is stated with a single decision owner, consistent with the RACI discipline applied throughout the Master Bid &amp; Delivery Strategy, plus who is consulted and who is kept informed.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2458"/>
        <w:gridCol w:w="2458"/>
        <w:gridCol w:w="2458"/>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Decision</w:t>
            </w:r>
          </w:p>
        </w:tc>
        <w:tc>
          <w:tcPr>
            <w:tcW w:type="dxa" w:w="2458"/>
            <w:shd w:fill="1F3864" w:val="clear"/>
            <w:tcMar>
              <w:top w:type="dxa" w:w="70"/>
              <w:left w:type="dxa" w:w="90"/>
              <w:bottom w:type="dxa" w:w="70"/>
              <w:right w:type="dxa" w:w="90"/>
            </w:tcMar>
            <w:vAlign w:val="top"/>
          </w:tcPr>
          <w:p>
            <w:r>
              <w:rPr>
                <w:b/>
                <w:bCs/>
                <w:color w:val="FFFFFF"/>
                <w:sz w:val="17"/>
                <w:szCs w:val="17"/>
              </w:rPr>
              <w:t xml:space="preserve">Owner</w:t>
            </w:r>
          </w:p>
        </w:tc>
        <w:tc>
          <w:tcPr>
            <w:tcW w:type="dxa" w:w="2458"/>
            <w:shd w:fill="1F3864" w:val="clear"/>
            <w:tcMar>
              <w:top w:type="dxa" w:w="70"/>
              <w:left w:type="dxa" w:w="90"/>
              <w:bottom w:type="dxa" w:w="70"/>
              <w:right w:type="dxa" w:w="90"/>
            </w:tcMar>
            <w:vAlign w:val="top"/>
          </w:tcPr>
          <w:p>
            <w:r>
              <w:rPr>
                <w:b/>
                <w:bCs/>
                <w:color w:val="FFFFFF"/>
                <w:sz w:val="17"/>
                <w:szCs w:val="17"/>
              </w:rPr>
              <w:t xml:space="preserve">Consulted</w:t>
            </w:r>
          </w:p>
        </w:tc>
        <w:tc>
          <w:tcPr>
            <w:tcW w:type="dxa" w:w="2458"/>
            <w:shd w:fill="1F3864" w:val="clear"/>
            <w:tcMar>
              <w:top w:type="dxa" w:w="70"/>
              <w:left w:type="dxa" w:w="90"/>
              <w:bottom w:type="dxa" w:w="70"/>
              <w:right w:type="dxa" w:w="90"/>
            </w:tcMar>
            <w:vAlign w:val="top"/>
          </w:tcPr>
          <w:p>
            <w:r>
              <w:rPr>
                <w:b/>
                <w:bCs/>
                <w:color w:val="FFFFFF"/>
                <w:sz w:val="17"/>
                <w:szCs w:val="17"/>
              </w:rPr>
              <w:t xml:space="preserve">Informed</w:t>
            </w:r>
          </w:p>
        </w:tc>
      </w:tr>
      <w:tr>
        <w:tc>
          <w:tcPr>
            <w:tcW w:type="dxa" w:w="2867"/>
            <w:tcMar>
              <w:top w:type="dxa" w:w="70"/>
              <w:left w:type="dxa" w:w="90"/>
              <w:bottom w:type="dxa" w:w="70"/>
              <w:right w:type="dxa" w:w="90"/>
            </w:tcMar>
            <w:vAlign w:val="top"/>
          </w:tcPr>
          <w:p>
            <w:r>
              <w:rPr>
                <w:b/>
                <w:bCs/>
                <w:color w:val="000000"/>
                <w:sz w:val="17"/>
                <w:szCs w:val="17"/>
              </w:rPr>
              <w:t xml:space="preserve">Taxonomy and metadata standard</w:t>
            </w:r>
          </w:p>
        </w:tc>
        <w:tc>
          <w:tcPr>
            <w:tcW w:type="dxa" w:w="2458"/>
            <w:tcMar>
              <w:top w:type="dxa" w:w="70"/>
              <w:left w:type="dxa" w:w="90"/>
              <w:bottom w:type="dxa" w:w="70"/>
              <w:right w:type="dxa" w:w="90"/>
            </w:tcMar>
            <w:vAlign w:val="top"/>
          </w:tcPr>
          <w:p>
            <w:r>
              <w:rPr>
                <w:b w:val="false"/>
                <w:bCs w:val="false"/>
                <w:color w:val="000000"/>
                <w:sz w:val="17"/>
                <w:szCs w:val="17"/>
              </w:rPr>
              <w:t xml:space="preserve">KMC</w:t>
            </w:r>
          </w:p>
        </w:tc>
        <w:tc>
          <w:tcPr>
            <w:tcW w:type="dxa" w:w="2458"/>
            <w:tcMar>
              <w:top w:type="dxa" w:w="70"/>
              <w:left w:type="dxa" w:w="90"/>
              <w:bottom w:type="dxa" w:w="70"/>
              <w:right w:type="dxa" w:w="90"/>
            </w:tcMar>
            <w:vAlign w:val="top"/>
          </w:tcPr>
          <w:p>
            <w:r>
              <w:rPr>
                <w:b w:val="false"/>
                <w:bCs w:val="false"/>
                <w:color w:val="000000"/>
                <w:sz w:val="17"/>
                <w:szCs w:val="17"/>
              </w:rPr>
              <w:t xml:space="preserve">State-level focal points</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 co-financing institutions</w:t>
            </w:r>
          </w:p>
        </w:tc>
      </w:tr>
      <w:tr>
        <w:tc>
          <w:tcPr>
            <w:tcW w:type="dxa" w:w="2867"/>
            <w:tcMar>
              <w:top w:type="dxa" w:w="70"/>
              <w:left w:type="dxa" w:w="90"/>
              <w:bottom w:type="dxa" w:w="70"/>
              <w:right w:type="dxa" w:w="90"/>
            </w:tcMar>
            <w:vAlign w:val="top"/>
          </w:tcPr>
          <w:p>
            <w:r>
              <w:rPr>
                <w:b/>
                <w:bCs/>
                <w:color w:val="000000"/>
                <w:sz w:val="17"/>
                <w:szCs w:val="17"/>
              </w:rPr>
              <w:t xml:space="preserve">Content migration and retention (what legacy content is kept)</w:t>
            </w:r>
          </w:p>
        </w:tc>
        <w:tc>
          <w:tcPr>
            <w:tcW w:type="dxa" w:w="2458"/>
            <w:tcMar>
              <w:top w:type="dxa" w:w="70"/>
              <w:left w:type="dxa" w:w="90"/>
              <w:bottom w:type="dxa" w:w="70"/>
              <w:right w:type="dxa" w:w="90"/>
            </w:tcMar>
            <w:vAlign w:val="top"/>
          </w:tcPr>
          <w:p>
            <w:r>
              <w:rPr>
                <w:b w:val="false"/>
                <w:bCs w:val="false"/>
                <w:color w:val="000000"/>
                <w:sz w:val="17"/>
                <w:szCs w:val="17"/>
              </w:rPr>
              <w:t xml:space="preserve">KMC</w:t>
            </w:r>
          </w:p>
        </w:tc>
        <w:tc>
          <w:tcPr>
            <w:tcW w:type="dxa" w:w="2458"/>
            <w:tcMar>
              <w:top w:type="dxa" w:w="70"/>
              <w:left w:type="dxa" w:w="90"/>
              <w:bottom w:type="dxa" w:w="70"/>
              <w:right w:type="dxa" w:w="90"/>
            </w:tcMar>
            <w:vAlign w:val="top"/>
          </w:tcPr>
          <w:p>
            <w:r>
              <w:rPr>
                <w:b w:val="false"/>
                <w:bCs w:val="false"/>
                <w:color w:val="000000"/>
                <w:sz w:val="17"/>
                <w:szCs w:val="17"/>
              </w:rPr>
              <w:t xml:space="preserve">State-level focal points; consultant (execution)</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r>
      <w:tr>
        <w:tc>
          <w:tcPr>
            <w:tcW w:type="dxa" w:w="2867"/>
            <w:tcMar>
              <w:top w:type="dxa" w:w="70"/>
              <w:left w:type="dxa" w:w="90"/>
              <w:bottom w:type="dxa" w:w="70"/>
              <w:right w:type="dxa" w:w="90"/>
            </w:tcMar>
            <w:vAlign w:val="top"/>
          </w:tcPr>
          <w:p>
            <w:r>
              <w:rPr>
                <w:b/>
                <w:bCs/>
                <w:color w:val="000000"/>
                <w:sz w:val="17"/>
                <w:szCs w:val="17"/>
              </w:rPr>
              <w:t xml:space="preserve">Architecture principle exceptions</w:t>
            </w:r>
          </w:p>
        </w:tc>
        <w:tc>
          <w:tcPr>
            <w:tcW w:type="dxa" w:w="2458"/>
            <w:tcMar>
              <w:top w:type="dxa" w:w="70"/>
              <w:left w:type="dxa" w:w="90"/>
              <w:bottom w:type="dxa" w:w="70"/>
              <w:right w:type="dxa" w:w="90"/>
            </w:tcMar>
            <w:vAlign w:val="top"/>
          </w:tcPr>
          <w:p>
            <w:r>
              <w:rPr>
                <w:b w:val="false"/>
                <w:bCs w:val="false"/>
                <w:color w:val="000000"/>
                <w:sz w:val="17"/>
                <w:szCs w:val="17"/>
              </w:rPr>
              <w:t xml:space="preserve">Enterprise Architecture Review Board</w:t>
            </w:r>
          </w:p>
        </w:tc>
        <w:tc>
          <w:tcPr>
            <w:tcW w:type="dxa" w:w="2458"/>
            <w:tcMar>
              <w:top w:type="dxa" w:w="70"/>
              <w:left w:type="dxa" w:w="90"/>
              <w:bottom w:type="dxa" w:w="70"/>
              <w:right w:type="dxa" w:w="90"/>
            </w:tcMar>
            <w:vAlign w:val="top"/>
          </w:tcPr>
          <w:p>
            <w:r>
              <w:rPr>
                <w:b w:val="false"/>
                <w:bCs w:val="false"/>
                <w:color w:val="000000"/>
                <w:sz w:val="17"/>
                <w:szCs w:val="17"/>
              </w:rPr>
              <w:t xml:space="preserve">Consultant</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r>
      <w:tr>
        <w:tc>
          <w:tcPr>
            <w:tcW w:type="dxa" w:w="2867"/>
            <w:tcMar>
              <w:top w:type="dxa" w:w="70"/>
              <w:left w:type="dxa" w:w="90"/>
              <w:bottom w:type="dxa" w:w="70"/>
              <w:right w:type="dxa" w:w="90"/>
            </w:tcMar>
            <w:vAlign w:val="top"/>
          </w:tcPr>
          <w:p>
            <w:r>
              <w:rPr>
                <w:b/>
                <w:bCs/>
                <w:color w:val="000000"/>
                <w:sz w:val="17"/>
                <w:szCs w:val="17"/>
              </w:rPr>
              <w:t xml:space="preserve">Security risk decisions</w:t>
            </w:r>
          </w:p>
        </w:tc>
        <w:tc>
          <w:tcPr>
            <w:tcW w:type="dxa" w:w="2458"/>
            <w:tcMar>
              <w:top w:type="dxa" w:w="70"/>
              <w:left w:type="dxa" w:w="90"/>
              <w:bottom w:type="dxa" w:w="70"/>
              <w:right w:type="dxa" w:w="90"/>
            </w:tcMar>
            <w:vAlign w:val="top"/>
          </w:tcPr>
          <w:p>
            <w:r>
              <w:rPr>
                <w:b w:val="false"/>
                <w:bCs w:val="false"/>
                <w:color w:val="000000"/>
                <w:sz w:val="17"/>
                <w:szCs w:val="17"/>
              </w:rPr>
              <w:t xml:space="preserve">KMC and National Programme Coordinator (jointly)</w:t>
            </w:r>
          </w:p>
        </w:tc>
        <w:tc>
          <w:tcPr>
            <w:tcW w:type="dxa" w:w="2458"/>
            <w:tcMar>
              <w:top w:type="dxa" w:w="70"/>
              <w:left w:type="dxa" w:w="90"/>
              <w:bottom w:type="dxa" w:w="70"/>
              <w:right w:type="dxa" w:w="90"/>
            </w:tcMar>
            <w:vAlign w:val="top"/>
          </w:tcPr>
          <w:p>
            <w:r>
              <w:rPr>
                <w:b w:val="false"/>
                <w:bCs w:val="false"/>
                <w:color w:val="000000"/>
                <w:sz w:val="17"/>
                <w:szCs w:val="17"/>
              </w:rPr>
              <w:t xml:space="preserve">KM and ICT Units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r>
        <w:tc>
          <w:tcPr>
            <w:tcW w:type="dxa" w:w="2867"/>
            <w:tcMar>
              <w:top w:type="dxa" w:w="70"/>
              <w:left w:type="dxa" w:w="90"/>
              <w:bottom w:type="dxa" w:w="70"/>
              <w:right w:type="dxa" w:w="90"/>
            </w:tcMar>
            <w:vAlign w:val="top"/>
          </w:tcPr>
          <w:p>
            <w:r>
              <w:rPr>
                <w:b/>
                <w:bCs/>
                <w:color w:val="000000"/>
                <w:sz w:val="17"/>
                <w:szCs w:val="17"/>
              </w:rPr>
              <w:t xml:space="preserve">Workflow escalation and SLA rules</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w:t>
            </w:r>
          </w:p>
        </w:tc>
        <w:tc>
          <w:tcPr>
            <w:tcW w:type="dxa" w:w="2458"/>
            <w:tcMar>
              <w:top w:type="dxa" w:w="70"/>
              <w:left w:type="dxa" w:w="90"/>
              <w:bottom w:type="dxa" w:w="70"/>
              <w:right w:type="dxa" w:w="90"/>
            </w:tcMar>
            <w:vAlign w:val="top"/>
          </w:tcPr>
          <w:p>
            <w:r>
              <w:rPr>
                <w:b w:val="false"/>
                <w:bCs w:val="false"/>
                <w:color w:val="000000"/>
                <w:sz w:val="17"/>
                <w:szCs w:val="17"/>
              </w:rPr>
              <w:t xml:space="preserve">State implementation teams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r>
        <w:tc>
          <w:tcPr>
            <w:tcW w:type="dxa" w:w="2867"/>
            <w:tcMar>
              <w:top w:type="dxa" w:w="70"/>
              <w:left w:type="dxa" w:w="90"/>
              <w:bottom w:type="dxa" w:w="70"/>
              <w:right w:type="dxa" w:w="90"/>
            </w:tcMar>
            <w:vAlign w:val="top"/>
          </w:tcPr>
          <w:p>
            <w:r>
              <w:rPr>
                <w:b/>
                <w:bCs/>
                <w:color w:val="000000"/>
                <w:sz w:val="17"/>
                <w:szCs w:val="17"/>
              </w:rPr>
              <w:t xml:space="preserve">Governance Charter adoption and amendment</w:t>
            </w:r>
          </w:p>
        </w:tc>
        <w:tc>
          <w:tcPr>
            <w:tcW w:type="dxa" w:w="2458"/>
            <w:tcMar>
              <w:top w:type="dxa" w:w="70"/>
              <w:left w:type="dxa" w:w="90"/>
              <w:bottom w:type="dxa" w:w="70"/>
              <w:right w:type="dxa" w:w="90"/>
            </w:tcMar>
            <w:vAlign w:val="top"/>
          </w:tcPr>
          <w:p>
            <w:r>
              <w:rPr>
                <w:b w:val="false"/>
                <w:bCs w:val="false"/>
                <w:color w:val="000000"/>
                <w:sz w:val="17"/>
                <w:szCs w:val="17"/>
              </w:rPr>
              <w:t xml:space="preserve">National Programme Coordinator (endorses); KMC (co-signs)</w:t>
            </w:r>
          </w:p>
        </w:tc>
        <w:tc>
          <w:tcPr>
            <w:tcW w:type="dxa" w:w="2458"/>
            <w:tcMar>
              <w:top w:type="dxa" w:w="70"/>
              <w:left w:type="dxa" w:w="90"/>
              <w:bottom w:type="dxa" w:w="70"/>
              <w:right w:type="dxa" w:w="90"/>
            </w:tcMar>
            <w:vAlign w:val="top"/>
          </w:tcPr>
          <w:p>
            <w:r>
              <w:rPr>
                <w:b w:val="false"/>
                <w:bCs w:val="false"/>
                <w:color w:val="000000"/>
                <w:sz w:val="17"/>
                <w:szCs w:val="17"/>
              </w:rPr>
              <w:t xml:space="preserve">State implementation teams</w:t>
            </w:r>
          </w:p>
        </w:tc>
        <w:tc>
          <w:tcPr>
            <w:tcW w:type="dxa" w:w="2458"/>
            <w:tcMar>
              <w:top w:type="dxa" w:w="70"/>
              <w:left w:type="dxa" w:w="90"/>
              <w:bottom w:type="dxa" w:w="70"/>
              <w:right w:type="dxa" w:w="90"/>
            </w:tcMar>
            <w:vAlign w:val="top"/>
          </w:tcPr>
          <w:p>
            <w:r>
              <w:rPr>
                <w:b w:val="false"/>
                <w:bCs w:val="false"/>
                <w:color w:val="000000"/>
                <w:sz w:val="17"/>
                <w:szCs w:val="17"/>
              </w:rPr>
              <w:t xml:space="preserve">Co-financing institutions</w:t>
            </w:r>
          </w:p>
        </w:tc>
      </w:tr>
    </w:tbl>
    <w:p>
      <w:pPr>
        <w:spacing w:after="160"/>
      </w:pPr>
    </w:p>
    <w:p>
      <w:pPr>
        <w:pStyle w:val="Heading1"/>
        <w:pBdr>
          <w:bottom w:val="single" w:color="1F3864" w:sz="6" w:space="4"/>
        </w:pBdr>
        <w:spacing w:after="130" w:before="320"/>
      </w:pPr>
      <w:r>
        <w:t xml:space="preserve">2.10 Governance Model</w:t>
      </w:r>
    </w:p>
    <w:p>
      <w:pPr>
        <w:spacing w:after="150" w:line="276"/>
        <w:jc w:val="both"/>
      </w:pPr>
      <w:r>
        <w:t xml:space="preserve">The Data &amp; Content Governance Charter is the single highest-leverage governance artefact this engagement produces. The Master Bid &amp; Delivery Strategy's own fishbone (root-cause) analysis found that the programme's coordination failures are disproportionately governance failures wearing a technology costume — meaning a technically excellent ESM/CKR build without a signed governance instrument would recreate today's fragmentation in digital form within months of go-live. The Charter therefore defines content ownership, taxonomy authority, retention standards, and federal/state decision rights, and is adopted formally in Weeks 1–2 rather than left as a section of the consultant's own closing report.</w:t>
      </w:r>
    </w:p>
    <w:p>
      <w:pPr>
        <w:spacing w:after="150" w:line="276"/>
        <w:jc w:val="both"/>
      </w:pPr>
      <w:r>
        <w:t xml:space="preserve">The Enterprise Architecture Review Board, established under the Architecture Principles in Section 1, governs exceptions to architecture standards throughout delivery and beyond. Donor governance touches the architecture at one bounded, deliberate point — a donor-alignment review built into the Charter's own cadence — rather than through continuous operational engagement, consistent with the power/interest analysis in Section 2.11 below, which places the three co-financing institutions in the high-power, lower-interest quadrant.</w:t>
      </w:r>
    </w:p>
    <w:p>
      <w:pPr>
        <w:pStyle w:val="Heading1"/>
        <w:pBdr>
          <w:bottom w:val="single" w:color="1F3864" w:sz="6" w:space="4"/>
        </w:pBdr>
        <w:spacing w:after="130" w:before="320"/>
      </w:pPr>
      <w:r>
        <w:t xml:space="preserve">2.11 Stakeholder Model</w:t>
      </w:r>
    </w:p>
    <w:p>
      <w:pPr>
        <w:spacing w:after="150" w:line="276"/>
        <w:jc w:val="both"/>
      </w:pPr>
      <w:r>
        <w:t xml:space="preserve">A standard power/interest grid, applied in the Master Bid &amp; Delivery Strategy, organizes engagement approach by how much influence a stakeholder holds over the programme's success and how much direct interest it has in the specific systems being built.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3277"/>
        <w:gridCol w:w="4915"/>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Quadrant</w:t>
            </w:r>
          </w:p>
        </w:tc>
        <w:tc>
          <w:tcPr>
            <w:tcW w:type="dxa" w:w="3277"/>
            <w:shd w:fill="1F3864" w:val="clear"/>
            <w:tcMar>
              <w:top w:type="dxa" w:w="70"/>
              <w:left w:type="dxa" w:w="90"/>
              <w:bottom w:type="dxa" w:w="70"/>
              <w:right w:type="dxa" w:w="90"/>
            </w:tcMar>
            <w:vAlign w:val="top"/>
          </w:tcPr>
          <w:p>
            <w:r>
              <w:rPr>
                <w:b/>
                <w:bCs/>
                <w:color w:val="FFFFFF"/>
                <w:sz w:val="17"/>
                <w:szCs w:val="17"/>
              </w:rPr>
              <w:t xml:space="preserve">Stakeholders</w:t>
            </w:r>
          </w:p>
        </w:tc>
        <w:tc>
          <w:tcPr>
            <w:tcW w:type="dxa" w:w="4915"/>
            <w:shd w:fill="1F3864" w:val="clear"/>
            <w:tcMar>
              <w:top w:type="dxa" w:w="70"/>
              <w:left w:type="dxa" w:w="90"/>
              <w:bottom w:type="dxa" w:w="70"/>
              <w:right w:type="dxa" w:w="90"/>
            </w:tcMar>
            <w:vAlign w:val="top"/>
          </w:tcPr>
          <w:p>
            <w:r>
              <w:rPr>
                <w:b/>
                <w:bCs/>
                <w:color w:val="FFFFFF"/>
                <w:sz w:val="17"/>
                <w:szCs w:val="17"/>
              </w:rPr>
              <w:t xml:space="preserve">Engagement Approach</w:t>
            </w:r>
          </w:p>
        </w:tc>
      </w:tr>
      <w:tr>
        <w:tc>
          <w:tcPr>
            <w:tcW w:type="dxa" w:w="2048"/>
            <w:tcMar>
              <w:top w:type="dxa" w:w="70"/>
              <w:left w:type="dxa" w:w="90"/>
              <w:bottom w:type="dxa" w:w="70"/>
              <w:right w:type="dxa" w:w="90"/>
            </w:tcMar>
            <w:vAlign w:val="top"/>
          </w:tcPr>
          <w:p>
            <w:r>
              <w:rPr>
                <w:b/>
                <w:bCs/>
                <w:color w:val="000000"/>
                <w:sz w:val="17"/>
                <w:szCs w:val="17"/>
              </w:rPr>
              <w:t xml:space="preserve">High Power / High Interest</w:t>
            </w:r>
          </w:p>
        </w:tc>
        <w:tc>
          <w:tcPr>
            <w:tcW w:type="dxa" w:w="3277"/>
            <w:tcMar>
              <w:top w:type="dxa" w:w="70"/>
              <w:left w:type="dxa" w:w="90"/>
              <w:bottom w:type="dxa" w:w="70"/>
              <w:right w:type="dxa" w:w="90"/>
            </w:tcMar>
            <w:vAlign w:val="top"/>
          </w:tcPr>
          <w:p>
            <w:r>
              <w:rPr>
                <w:b w:val="false"/>
                <w:bCs w:val="false"/>
                <w:color w:val="000000"/>
                <w:sz w:val="17"/>
                <w:szCs w:val="17"/>
              </w:rPr>
              <w:t xml:space="preserve">National Programme Coordinator; KMC</w:t>
            </w:r>
          </w:p>
        </w:tc>
        <w:tc>
          <w:tcPr>
            <w:tcW w:type="dxa" w:w="4915"/>
            <w:tcMar>
              <w:top w:type="dxa" w:w="70"/>
              <w:left w:type="dxa" w:w="90"/>
              <w:bottom w:type="dxa" w:w="70"/>
              <w:right w:type="dxa" w:w="90"/>
            </w:tcMar>
            <w:vAlign w:val="top"/>
          </w:tcPr>
          <w:p>
            <w:r>
              <w:rPr>
                <w:b w:val="false"/>
                <w:bCs w:val="false"/>
                <w:color w:val="000000"/>
                <w:sz w:val="17"/>
                <w:szCs w:val="17"/>
              </w:rPr>
              <w:t xml:space="preserve">Primary governance partners; RACI Accountable/Responsible roles; continuous engagement throughout delivery.</w:t>
            </w:r>
          </w:p>
        </w:tc>
      </w:tr>
      <w:tr>
        <w:tc>
          <w:tcPr>
            <w:tcW w:type="dxa" w:w="2048"/>
            <w:tcMar>
              <w:top w:type="dxa" w:w="70"/>
              <w:left w:type="dxa" w:w="90"/>
              <w:bottom w:type="dxa" w:w="70"/>
              <w:right w:type="dxa" w:w="90"/>
            </w:tcMar>
            <w:vAlign w:val="top"/>
          </w:tcPr>
          <w:p>
            <w:r>
              <w:rPr>
                <w:b/>
                <w:bCs/>
                <w:color w:val="000000"/>
                <w:sz w:val="17"/>
                <w:szCs w:val="17"/>
              </w:rPr>
              <w:t xml:space="preserve">High Power / Lower Interest</w:t>
            </w:r>
          </w:p>
        </w:tc>
        <w:tc>
          <w:tcPr>
            <w:tcW w:type="dxa" w:w="3277"/>
            <w:tcMar>
              <w:top w:type="dxa" w:w="70"/>
              <w:left w:type="dxa" w:w="90"/>
              <w:bottom w:type="dxa" w:w="70"/>
              <w:right w:type="dxa" w:w="90"/>
            </w:tcMar>
            <w:vAlign w:val="top"/>
          </w:tcPr>
          <w:p>
            <w:r>
              <w:rPr>
                <w:b w:val="false"/>
                <w:bCs w:val="false"/>
                <w:color w:val="000000"/>
                <w:sz w:val="17"/>
                <w:szCs w:val="17"/>
              </w:rPr>
              <w:t xml:space="preserve">AfDB, IFAD, IsDB (co-financing institutions)</w:t>
            </w:r>
          </w:p>
        </w:tc>
        <w:tc>
          <w:tcPr>
            <w:tcW w:type="dxa" w:w="4915"/>
            <w:tcMar>
              <w:top w:type="dxa" w:w="70"/>
              <w:left w:type="dxa" w:w="90"/>
              <w:bottom w:type="dxa" w:w="70"/>
              <w:right w:type="dxa" w:w="90"/>
            </w:tcMar>
            <w:vAlign w:val="top"/>
          </w:tcPr>
          <w:p>
            <w:r>
              <w:rPr>
                <w:b w:val="false"/>
                <w:bCs w:val="false"/>
                <w:color w:val="000000"/>
                <w:sz w:val="17"/>
                <w:szCs w:val="17"/>
              </w:rPr>
              <w:t xml:space="preserve">Kept informed at a summary level through the Governance Charter's donor-alignment review; not engaged in operational detail.</w:t>
            </w:r>
          </w:p>
        </w:tc>
      </w:tr>
      <w:tr>
        <w:tc>
          <w:tcPr>
            <w:tcW w:type="dxa" w:w="2048"/>
            <w:tcMar>
              <w:top w:type="dxa" w:w="70"/>
              <w:left w:type="dxa" w:w="90"/>
              <w:bottom w:type="dxa" w:w="70"/>
              <w:right w:type="dxa" w:w="90"/>
            </w:tcMar>
            <w:vAlign w:val="top"/>
          </w:tcPr>
          <w:p>
            <w:r>
              <w:rPr>
                <w:b/>
                <w:bCs/>
                <w:color w:val="000000"/>
                <w:sz w:val="17"/>
                <w:szCs w:val="17"/>
              </w:rPr>
              <w:t xml:space="preserve">Lower Power / High Interest</w:t>
            </w:r>
          </w:p>
        </w:tc>
        <w:tc>
          <w:tcPr>
            <w:tcW w:type="dxa" w:w="3277"/>
            <w:tcMar>
              <w:top w:type="dxa" w:w="70"/>
              <w:left w:type="dxa" w:w="90"/>
              <w:bottom w:type="dxa" w:w="70"/>
              <w:right w:type="dxa" w:w="90"/>
            </w:tcMar>
            <w:vAlign w:val="top"/>
          </w:tcPr>
          <w:p>
            <w:r>
              <w:rPr>
                <w:b w:val="false"/>
                <w:bCs w:val="false"/>
                <w:color w:val="000000"/>
                <w:sz w:val="17"/>
                <w:szCs w:val="17"/>
              </w:rPr>
              <w:t xml:space="preserve">Seven state implementation teams and the FCT</w:t>
            </w:r>
          </w:p>
        </w:tc>
        <w:tc>
          <w:tcPr>
            <w:tcW w:type="dxa" w:w="4915"/>
            <w:tcMar>
              <w:top w:type="dxa" w:w="70"/>
              <w:left w:type="dxa" w:w="90"/>
              <w:bottom w:type="dxa" w:w="70"/>
              <w:right w:type="dxa" w:w="90"/>
            </w:tcMar>
            <w:vAlign w:val="top"/>
          </w:tcPr>
          <w:p>
            <w:r>
              <w:rPr>
                <w:b w:val="false"/>
                <w:bCs w:val="false"/>
                <w:color w:val="000000"/>
                <w:sz w:val="17"/>
                <w:szCs w:val="17"/>
              </w:rPr>
              <w:t xml:space="preserve">Daily users whose adoption determines whether the TOR's named 'adoption resistance' risk materializes; consulted, trained, and supported directly.</w:t>
            </w:r>
          </w:p>
        </w:tc>
      </w:tr>
      <w:tr>
        <w:tc>
          <w:tcPr>
            <w:tcW w:type="dxa" w:w="2048"/>
            <w:tcMar>
              <w:top w:type="dxa" w:w="70"/>
              <w:left w:type="dxa" w:w="90"/>
              <w:bottom w:type="dxa" w:w="70"/>
              <w:right w:type="dxa" w:w="90"/>
            </w:tcMar>
            <w:vAlign w:val="top"/>
          </w:tcPr>
          <w:p>
            <w:r>
              <w:rPr>
                <w:b/>
                <w:bCs/>
                <w:color w:val="000000"/>
                <w:sz w:val="17"/>
                <w:szCs w:val="17"/>
              </w:rPr>
              <w:t xml:space="preserve">Lower Power / Lower Interest</w:t>
            </w:r>
          </w:p>
        </w:tc>
        <w:tc>
          <w:tcPr>
            <w:tcW w:type="dxa" w:w="3277"/>
            <w:tcMar>
              <w:top w:type="dxa" w:w="70"/>
              <w:left w:type="dxa" w:w="90"/>
              <w:bottom w:type="dxa" w:w="70"/>
              <w:right w:type="dxa" w:w="90"/>
            </w:tcMar>
            <w:vAlign w:val="top"/>
          </w:tcPr>
          <w:p>
            <w:r>
              <w:rPr>
                <w:b w:val="false"/>
                <w:bCs w:val="false"/>
                <w:color w:val="000000"/>
                <w:sz w:val="17"/>
                <w:szCs w:val="17"/>
              </w:rPr>
              <w:t xml:space="preserve">Private sector actors; community organizations</w:t>
            </w:r>
          </w:p>
        </w:tc>
        <w:tc>
          <w:tcPr>
            <w:tcW w:type="dxa" w:w="4915"/>
            <w:tcMar>
              <w:top w:type="dxa" w:w="70"/>
              <w:left w:type="dxa" w:w="90"/>
              <w:bottom w:type="dxa" w:w="70"/>
              <w:right w:type="dxa" w:w="90"/>
            </w:tcMar>
            <w:vAlign w:val="top"/>
          </w:tcPr>
          <w:p>
            <w:r>
              <w:rPr>
                <w:b w:val="false"/>
                <w:bCs w:val="false"/>
                <w:color w:val="000000"/>
                <w:sz w:val="17"/>
                <w:szCs w:val="17"/>
              </w:rPr>
              <w:t xml:space="preserve">Ultimate CKR beneficiaries, engaged through published public knowledge content rather than governance participation.</w:t>
            </w:r>
          </w:p>
        </w:tc>
      </w:tr>
    </w:tbl>
    <w:p>
      <w:pPr>
        <w:spacing w:after="160"/>
      </w:pPr>
    </w:p>
    <w:p>
      <w:pPr>
        <w:pStyle w:val="Heading1"/>
        <w:pBdr>
          <w:bottom w:val="single" w:color="1F3864" w:sz="6" w:space="4"/>
        </w:pBdr>
        <w:spacing w:after="130" w:before="320"/>
      </w:pPr>
      <w:r>
        <w:t xml:space="preserve">2.12 Business Motivation Model</w:t>
      </w:r>
    </w:p>
    <w:p>
      <w:pPr>
        <w:spacing w:after="150" w:line="276"/>
        <w:jc w:val="both"/>
      </w:pPr>
      <w:r>
        <w:t xml:space="preserve">The Business Motivation Model connects the Ends fixed in Section 1 to the Means, Influencers, and Directives that this architecture must operate within.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7987"/>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Category</w:t>
            </w:r>
          </w:p>
        </w:tc>
        <w:tc>
          <w:tcPr>
            <w:tcW w:type="dxa" w:w="7987"/>
            <w:shd w:fill="1F3864" w:val="clear"/>
            <w:tcMar>
              <w:top w:type="dxa" w:w="70"/>
              <w:left w:type="dxa" w:w="90"/>
              <w:bottom w:type="dxa" w:w="70"/>
              <w:right w:type="dxa" w:w="90"/>
            </w:tcMar>
            <w:vAlign w:val="top"/>
          </w:tcPr>
          <w:p>
            <w:r>
              <w:rPr>
                <w:b/>
                <w:bCs/>
                <w:color w:val="FFFFFF"/>
                <w:sz w:val="17"/>
                <w:szCs w:val="17"/>
              </w:rPr>
              <w:t xml:space="preserve">Content</w:t>
            </w:r>
          </w:p>
        </w:tc>
      </w:tr>
      <w:tr>
        <w:tc>
          <w:tcPr>
            <w:tcW w:type="dxa" w:w="2253"/>
            <w:tcMar>
              <w:top w:type="dxa" w:w="70"/>
              <w:left w:type="dxa" w:w="90"/>
              <w:bottom w:type="dxa" w:w="70"/>
              <w:right w:type="dxa" w:w="90"/>
            </w:tcMar>
            <w:vAlign w:val="top"/>
          </w:tcPr>
          <w:p>
            <w:r>
              <w:rPr>
                <w:b/>
                <w:bCs/>
                <w:color w:val="000000"/>
                <w:sz w:val="17"/>
                <w:szCs w:val="17"/>
              </w:rPr>
              <w:t xml:space="preserve">Ends — Vision</w:t>
            </w:r>
          </w:p>
        </w:tc>
        <w:tc>
          <w:tcPr>
            <w:tcW w:type="dxa" w:w="7987"/>
            <w:tcMar>
              <w:top w:type="dxa" w:w="70"/>
              <w:left w:type="dxa" w:w="90"/>
              <w:bottom w:type="dxa" w:w="70"/>
              <w:right w:type="dxa" w:w="90"/>
            </w:tcMar>
            <w:vAlign w:val="top"/>
          </w:tcPr>
          <w:p>
            <w:r>
              <w:rPr>
                <w:b w:val="false"/>
                <w:bCs w:val="false"/>
                <w:color w:val="000000"/>
                <w:sz w:val="17"/>
                <w:szCs w:val="17"/>
              </w:rPr>
              <w:t xml:space="preserve">The Transformation Vision Statement fixed in Section 1.4: two purpose-built, securely bounded systems operating under one shared taxonomy, governance charter, and accountable stewardship model within the fixed twelve-week schedule.</w:t>
            </w:r>
          </w:p>
        </w:tc>
      </w:tr>
      <w:tr>
        <w:tc>
          <w:tcPr>
            <w:tcW w:type="dxa" w:w="2253"/>
            <w:tcMar>
              <w:top w:type="dxa" w:w="70"/>
              <w:left w:type="dxa" w:w="90"/>
              <w:bottom w:type="dxa" w:w="70"/>
              <w:right w:type="dxa" w:w="90"/>
            </w:tcMar>
            <w:vAlign w:val="top"/>
          </w:tcPr>
          <w:p>
            <w:r>
              <w:rPr>
                <w:b/>
                <w:bCs/>
                <w:color w:val="000000"/>
                <w:sz w:val="17"/>
                <w:szCs w:val="17"/>
              </w:rPr>
              <w:t xml:space="preserve">Ends — Goals and Objectives</w:t>
            </w:r>
          </w:p>
        </w:tc>
        <w:tc>
          <w:tcPr>
            <w:tcW w:type="dxa" w:w="7987"/>
            <w:tcMar>
              <w:top w:type="dxa" w:w="70"/>
              <w:left w:type="dxa" w:w="90"/>
              <w:bottom w:type="dxa" w:w="70"/>
              <w:right w:type="dxa" w:w="90"/>
            </w:tcMar>
            <w:vAlign w:val="top"/>
          </w:tcPr>
          <w:p>
            <w:r>
              <w:rPr>
                <w:b w:val="false"/>
                <w:bCs w:val="false"/>
                <w:color w:val="000000"/>
                <w:sz w:val="17"/>
                <w:szCs w:val="17"/>
              </w:rPr>
              <w:t xml:space="preserve">The ten Strategic Objectives fixed in Section 1.6, spanning ESM/CKR establishment, audit-trailed workflow, cross-state knowledge reuse, tiered dashboards, governance charter adoption, NDPR-aligned security, schedule discipline, and the Phase 2 roadmap boundary.</w:t>
            </w:r>
          </w:p>
        </w:tc>
      </w:tr>
      <w:tr>
        <w:tc>
          <w:tcPr>
            <w:tcW w:type="dxa" w:w="2253"/>
            <w:tcMar>
              <w:top w:type="dxa" w:w="70"/>
              <w:left w:type="dxa" w:w="90"/>
              <w:bottom w:type="dxa" w:w="70"/>
              <w:right w:type="dxa" w:w="90"/>
            </w:tcMar>
            <w:vAlign w:val="top"/>
          </w:tcPr>
          <w:p>
            <w:r>
              <w:rPr>
                <w:b/>
                <w:bCs/>
                <w:color w:val="000000"/>
                <w:sz w:val="17"/>
                <w:szCs w:val="17"/>
              </w:rPr>
              <w:t xml:space="preserve">Means — Strategies</w:t>
            </w:r>
          </w:p>
        </w:tc>
        <w:tc>
          <w:tcPr>
            <w:tcW w:type="dxa" w:w="7987"/>
            <w:tcMar>
              <w:top w:type="dxa" w:w="70"/>
              <w:left w:type="dxa" w:w="90"/>
              <w:bottom w:type="dxa" w:w="70"/>
              <w:right w:type="dxa" w:w="90"/>
            </w:tcMar>
            <w:vAlign w:val="top"/>
          </w:tcPr>
          <w:p>
            <w:r>
              <w:rPr>
                <w:b w:val="false"/>
                <w:bCs w:val="false"/>
                <w:color w:val="000000"/>
                <w:sz w:val="17"/>
                <w:szCs w:val="17"/>
              </w:rPr>
              <w:t xml:space="preserve">Federated-but-governed operating model; phase discipline separating TOR-mandated Phase 1 from an optional, costed Phase 2; configure-before-build technology posture.</w:t>
            </w:r>
          </w:p>
        </w:tc>
      </w:tr>
      <w:tr>
        <w:tc>
          <w:tcPr>
            <w:tcW w:type="dxa" w:w="2253"/>
            <w:tcMar>
              <w:top w:type="dxa" w:w="70"/>
              <w:left w:type="dxa" w:w="90"/>
              <w:bottom w:type="dxa" w:w="70"/>
              <w:right w:type="dxa" w:w="90"/>
            </w:tcMar>
            <w:vAlign w:val="top"/>
          </w:tcPr>
          <w:p>
            <w:r>
              <w:rPr>
                <w:b/>
                <w:bCs/>
                <w:color w:val="000000"/>
                <w:sz w:val="17"/>
                <w:szCs w:val="17"/>
              </w:rPr>
              <w:t xml:space="preserve">Means — Tactics</w:t>
            </w:r>
          </w:p>
        </w:tc>
        <w:tc>
          <w:tcPr>
            <w:tcW w:type="dxa" w:w="7987"/>
            <w:tcMar>
              <w:top w:type="dxa" w:w="70"/>
              <w:left w:type="dxa" w:w="90"/>
              <w:bottom w:type="dxa" w:w="70"/>
              <w:right w:type="dxa" w:w="90"/>
            </w:tcMar>
            <w:vAlign w:val="top"/>
          </w:tcPr>
          <w:p>
            <w:r>
              <w:rPr>
                <w:b w:val="false"/>
                <w:bCs w:val="false"/>
                <w:color w:val="000000"/>
                <w:sz w:val="17"/>
                <w:szCs w:val="17"/>
              </w:rPr>
              <w:t xml:space="preserve">Governance Charter co-signed in Weeks 1–2; RACI-governed delivery phases; capability-maturity roadmap moving KM and ICT Units toward self-sufficiency; tiered executive/management/operational dashboards.</w:t>
            </w:r>
          </w:p>
        </w:tc>
      </w:tr>
      <w:tr>
        <w:tc>
          <w:tcPr>
            <w:tcW w:type="dxa" w:w="2253"/>
            <w:tcMar>
              <w:top w:type="dxa" w:w="70"/>
              <w:left w:type="dxa" w:w="90"/>
              <w:bottom w:type="dxa" w:w="70"/>
              <w:right w:type="dxa" w:w="90"/>
            </w:tcMar>
            <w:vAlign w:val="top"/>
          </w:tcPr>
          <w:p>
            <w:r>
              <w:rPr>
                <w:b/>
                <w:bCs/>
                <w:color w:val="000000"/>
                <w:sz w:val="17"/>
                <w:szCs w:val="17"/>
              </w:rPr>
              <w:t xml:space="preserve">Influencers — Assessments</w:t>
            </w:r>
          </w:p>
        </w:tc>
        <w:tc>
          <w:tcPr>
            <w:tcW w:type="dxa" w:w="7987"/>
            <w:tcMar>
              <w:top w:type="dxa" w:w="70"/>
              <w:left w:type="dxa" w:w="90"/>
              <w:bottom w:type="dxa" w:w="70"/>
              <w:right w:type="dxa" w:w="90"/>
            </w:tcMar>
            <w:vAlign w:val="top"/>
          </w:tcPr>
          <w:p>
            <w:r>
              <w:rPr>
                <w:b w:val="false"/>
                <w:bCs w:val="false"/>
                <w:color w:val="000000"/>
                <w:sz w:val="17"/>
                <w:szCs w:val="17"/>
              </w:rPr>
              <w:t xml:space="preserve">Current-state fragmentation across seven states and the FCT (weakness); intensifying multi-donor fiduciary scrutiny (external influencer); the TOR's own named adoption-resistance risk (weakness); a fixed twelve-week schedule (constraint).</w:t>
            </w:r>
          </w:p>
        </w:tc>
      </w:tr>
      <w:tr>
        <w:tc>
          <w:tcPr>
            <w:tcW w:type="dxa" w:w="2253"/>
            <w:tcMar>
              <w:top w:type="dxa" w:w="70"/>
              <w:left w:type="dxa" w:w="90"/>
              <w:bottom w:type="dxa" w:w="70"/>
              <w:right w:type="dxa" w:w="90"/>
            </w:tcMar>
            <w:vAlign w:val="top"/>
          </w:tcPr>
          <w:p>
            <w:r>
              <w:rPr>
                <w:b/>
                <w:bCs/>
                <w:color w:val="000000"/>
                <w:sz w:val="17"/>
                <w:szCs w:val="17"/>
              </w:rPr>
              <w:t xml:space="preserve">Directives — Regulations and Policies</w:t>
            </w:r>
          </w:p>
        </w:tc>
        <w:tc>
          <w:tcPr>
            <w:tcW w:type="dxa" w:w="7987"/>
            <w:tcMar>
              <w:top w:type="dxa" w:w="70"/>
              <w:left w:type="dxa" w:w="90"/>
              <w:bottom w:type="dxa" w:w="70"/>
              <w:right w:type="dxa" w:w="90"/>
            </w:tcMar>
            <w:vAlign w:val="top"/>
          </w:tcPr>
          <w:p>
            <w:r>
              <w:rPr>
                <w:b w:val="false"/>
                <w:bCs w:val="false"/>
                <w:color w:val="000000"/>
                <w:sz w:val="17"/>
                <w:szCs w:val="17"/>
              </w:rPr>
              <w:t xml:space="preserve">TOR Section 4's mandate that ESM and CKR remain independent systems; the Nigeria Data Protection Regulation; IFAD's Anti-Money Laundering, Anti-Fraud and Corruption, and PSEA policies; the Annex 1 Evaluation Criteria.</w:t>
            </w:r>
          </w:p>
        </w:tc>
      </w:tr>
    </w:tbl>
    <w:p>
      <w:pPr>
        <w:spacing w:after="160"/>
      </w:pPr>
    </w:p>
    <w:p>
      <w:pPr>
        <w:pStyle w:val="Heading1"/>
        <w:pBdr>
          <w:bottom w:val="single" w:color="1F3864" w:sz="6" w:space="4"/>
        </w:pBdr>
        <w:spacing w:after="130" w:before="320"/>
      </w:pPr>
      <w:r>
        <w:t xml:space="preserve">2.13 RACI Matrix — Major Delivery Phases</w:t>
      </w:r>
    </w:p>
    <w:p>
      <w:pPr>
        <w:spacing w:after="150" w:line="276"/>
        <w:jc w:val="both"/>
      </w:pPr>
      <w:r>
        <w:t xml:space="preserve">Applying RACI (Responsible, Accountable, Consulted, Informed) to the major delivery phases makes the responsibility model explicit rather than leaving it implicit in a workplan, closing the planning question the TOR itself leaves open: who is accountable for which decision, at which phase.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1229"/>
        <w:gridCol w:w="1229"/>
        <w:gridCol w:w="1434"/>
        <w:gridCol w:w="1024"/>
        <w:gridCol w:w="1229"/>
        <w:gridCol w:w="1229"/>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Phase</w:t>
            </w:r>
          </w:p>
        </w:tc>
        <w:tc>
          <w:tcPr>
            <w:tcW w:type="dxa" w:w="1229"/>
            <w:shd w:fill="1F3864" w:val="clear"/>
            <w:tcMar>
              <w:top w:type="dxa" w:w="70"/>
              <w:left w:type="dxa" w:w="90"/>
              <w:bottom w:type="dxa" w:w="70"/>
              <w:right w:type="dxa" w:w="90"/>
            </w:tcMar>
            <w:vAlign w:val="top"/>
          </w:tcPr>
          <w:p>
            <w:r>
              <w:rPr>
                <w:b/>
                <w:bCs/>
                <w:color w:val="FFFFFF"/>
                <w:sz w:val="17"/>
                <w:szCs w:val="17"/>
              </w:rPr>
              <w:t xml:space="preserve">Consultant</w:t>
            </w:r>
          </w:p>
        </w:tc>
        <w:tc>
          <w:tcPr>
            <w:tcW w:type="dxa" w:w="1229"/>
            <w:shd w:fill="1F3864" w:val="clear"/>
            <w:tcMar>
              <w:top w:type="dxa" w:w="70"/>
              <w:left w:type="dxa" w:w="90"/>
              <w:bottom w:type="dxa" w:w="70"/>
              <w:right w:type="dxa" w:w="90"/>
            </w:tcMar>
            <w:vAlign w:val="top"/>
          </w:tcPr>
          <w:p>
            <w:r>
              <w:rPr>
                <w:b/>
                <w:bCs/>
                <w:color w:val="FFFFFF"/>
                <w:sz w:val="17"/>
                <w:szCs w:val="17"/>
              </w:rPr>
              <w:t xml:space="preserve">KMC</w:t>
            </w:r>
          </w:p>
        </w:tc>
        <w:tc>
          <w:tcPr>
            <w:tcW w:type="dxa" w:w="1434"/>
            <w:shd w:fill="1F3864" w:val="clear"/>
            <w:tcMar>
              <w:top w:type="dxa" w:w="70"/>
              <w:left w:type="dxa" w:w="90"/>
              <w:bottom w:type="dxa" w:w="70"/>
              <w:right w:type="dxa" w:w="90"/>
            </w:tcMar>
            <w:vAlign w:val="top"/>
          </w:tcPr>
          <w:p>
            <w:r>
              <w:rPr>
                <w:b/>
                <w:bCs/>
                <w:color w:val="FFFFFF"/>
                <w:sz w:val="17"/>
                <w:szCs w:val="17"/>
              </w:rPr>
              <w:t xml:space="preserve">KM/ICT Units</w:t>
            </w:r>
          </w:p>
        </w:tc>
        <w:tc>
          <w:tcPr>
            <w:tcW w:type="dxa" w:w="1024"/>
            <w:shd w:fill="1F3864" w:val="clear"/>
            <w:tcMar>
              <w:top w:type="dxa" w:w="70"/>
              <w:left w:type="dxa" w:w="90"/>
              <w:bottom w:type="dxa" w:w="70"/>
              <w:right w:type="dxa" w:w="90"/>
            </w:tcMar>
            <w:vAlign w:val="top"/>
          </w:tcPr>
          <w:p>
            <w:r>
              <w:rPr>
                <w:b/>
                <w:bCs/>
                <w:color w:val="FFFFFF"/>
                <w:sz w:val="17"/>
                <w:szCs w:val="17"/>
              </w:rPr>
              <w:t xml:space="preserve">NPC</w:t>
            </w:r>
          </w:p>
        </w:tc>
        <w:tc>
          <w:tcPr>
            <w:tcW w:type="dxa" w:w="1229"/>
            <w:shd w:fill="1F3864" w:val="clear"/>
            <w:tcMar>
              <w:top w:type="dxa" w:w="70"/>
              <w:left w:type="dxa" w:w="90"/>
              <w:bottom w:type="dxa" w:w="70"/>
              <w:right w:type="dxa" w:w="90"/>
            </w:tcMar>
            <w:vAlign w:val="top"/>
          </w:tcPr>
          <w:p>
            <w:r>
              <w:rPr>
                <w:b/>
                <w:bCs/>
                <w:color w:val="FFFFFF"/>
                <w:sz w:val="17"/>
                <w:szCs w:val="17"/>
              </w:rPr>
              <w:t xml:space="preserve">Co-Financiers</w:t>
            </w:r>
          </w:p>
        </w:tc>
        <w:tc>
          <w:tcPr>
            <w:tcW w:type="dxa" w:w="1229"/>
            <w:shd w:fill="1F3864" w:val="clear"/>
            <w:tcMar>
              <w:top w:type="dxa" w:w="70"/>
              <w:left w:type="dxa" w:w="90"/>
              <w:bottom w:type="dxa" w:w="70"/>
              <w:right w:type="dxa" w:w="90"/>
            </w:tcMar>
            <w:vAlign w:val="top"/>
          </w:tcPr>
          <w:p>
            <w:r>
              <w:rPr>
                <w:b/>
                <w:bCs/>
                <w:color w:val="FFFFFF"/>
                <w:sz w:val="17"/>
                <w:szCs w:val="17"/>
              </w:rPr>
              <w:t xml:space="preserve">State Teams</w:t>
            </w:r>
          </w:p>
        </w:tc>
      </w:tr>
      <w:tr>
        <w:tc>
          <w:tcPr>
            <w:tcW w:type="dxa" w:w="2867"/>
            <w:tcMar>
              <w:top w:type="dxa" w:w="70"/>
              <w:left w:type="dxa" w:w="90"/>
              <w:bottom w:type="dxa" w:w="70"/>
              <w:right w:type="dxa" w:w="90"/>
            </w:tcMar>
            <w:vAlign w:val="top"/>
          </w:tcPr>
          <w:p>
            <w:r>
              <w:rPr>
                <w:b/>
                <w:bCs/>
                <w:color w:val="000000"/>
                <w:sz w:val="16"/>
                <w:szCs w:val="16"/>
              </w:rPr>
              <w:t xml:space="preserve">Requirements &amp; Stakeholder Consultation (Wks 1–2)</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A</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Content &amp; Data Audit</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A</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Governance Charter Adoption</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229"/>
            <w:tcMar>
              <w:top w:type="dxa" w:w="70"/>
              <w:left w:type="dxa" w:w="90"/>
              <w:bottom w:type="dxa" w:w="70"/>
              <w:right w:type="dxa" w:w="90"/>
            </w:tcMar>
            <w:vAlign w:val="top"/>
          </w:tcPr>
          <w:p>
            <w:r>
              <w:rPr>
                <w:b w:val="false"/>
                <w:bCs w:val="false"/>
                <w:color w:val="000000"/>
                <w:sz w:val="16"/>
                <w:szCs w:val="16"/>
              </w:rPr>
              <w:t xml:space="preserve">A (co-signs)</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A (endorses)</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r>
      <w:tr>
        <w:tc>
          <w:tcPr>
            <w:tcW w:type="dxa" w:w="2867"/>
            <w:tcMar>
              <w:top w:type="dxa" w:w="70"/>
              <w:left w:type="dxa" w:w="90"/>
              <w:bottom w:type="dxa" w:w="70"/>
              <w:right w:type="dxa" w:w="90"/>
            </w:tcMar>
            <w:vAlign w:val="top"/>
          </w:tcPr>
          <w:p>
            <w:r>
              <w:rPr>
                <w:b/>
                <w:bCs/>
                <w:color w:val="000000"/>
                <w:sz w:val="16"/>
                <w:szCs w:val="16"/>
              </w:rPr>
              <w:t xml:space="preserve">System Design &amp; Configuration</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Content Migration</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A</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Workflow Configuration</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434"/>
            <w:tcMar>
              <w:top w:type="dxa" w:w="70"/>
              <w:left w:type="dxa" w:w="90"/>
              <w:bottom w:type="dxa" w:w="70"/>
              <w:right w:type="dxa" w:w="90"/>
            </w:tcMar>
            <w:vAlign w:val="top"/>
          </w:tcPr>
          <w:p>
            <w:r>
              <w:rPr>
                <w:b w:val="false"/>
                <w:bCs w:val="false"/>
                <w:color w:val="000000"/>
                <w:sz w:val="16"/>
                <w:szCs w:val="16"/>
              </w:rPr>
              <w:t xml:space="preserve">C</w:t>
            </w:r>
          </w:p>
        </w:tc>
        <w:tc>
          <w:tcPr>
            <w:tcW w:type="dxa" w:w="1024"/>
            <w:tcMar>
              <w:top w:type="dxa" w:w="70"/>
              <w:left w:type="dxa" w:w="90"/>
              <w:bottom w:type="dxa" w:w="70"/>
              <w:right w:type="dxa" w:w="90"/>
            </w:tcMar>
            <w:vAlign w:val="top"/>
          </w:tcPr>
          <w:p>
            <w:r>
              <w:rPr>
                <w:b w:val="false"/>
                <w:bCs w:val="false"/>
                <w:color w:val="000000"/>
                <w:sz w:val="16"/>
                <w:szCs w:val="16"/>
              </w:rPr>
              <w:t xml:space="preserve">A</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Testing</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434"/>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Training</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434"/>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r>
      <w:tr>
        <w:tc>
          <w:tcPr>
            <w:tcW w:type="dxa" w:w="2867"/>
            <w:tcMar>
              <w:top w:type="dxa" w:w="70"/>
              <w:left w:type="dxa" w:w="90"/>
              <w:bottom w:type="dxa" w:w="70"/>
              <w:right w:type="dxa" w:w="90"/>
            </w:tcMar>
            <w:vAlign w:val="top"/>
          </w:tcPr>
          <w:p>
            <w:r>
              <w:rPr>
                <w:b/>
                <w:bCs/>
                <w:color w:val="000000"/>
                <w:sz w:val="16"/>
                <w:szCs w:val="16"/>
              </w:rPr>
              <w:t xml:space="preserve">Go-Live / Deployment</w:t>
            </w:r>
          </w:p>
        </w:tc>
        <w:tc>
          <w:tcPr>
            <w:tcW w:type="dxa" w:w="1229"/>
            <w:tcMar>
              <w:top w:type="dxa" w:w="70"/>
              <w:left w:type="dxa" w:w="90"/>
              <w:bottom w:type="dxa" w:w="70"/>
              <w:right w:type="dxa" w:w="90"/>
            </w:tcMar>
            <w:vAlign w:val="top"/>
          </w:tcPr>
          <w:p>
            <w:r>
              <w:rPr>
                <w:b w:val="false"/>
                <w:bCs w:val="false"/>
                <w:color w:val="000000"/>
                <w:sz w:val="16"/>
                <w:szCs w:val="16"/>
              </w:rPr>
              <w:t xml:space="preserve">R</w:t>
            </w:r>
          </w:p>
        </w:tc>
        <w:tc>
          <w:tcPr>
            <w:tcW w:type="dxa" w:w="1229"/>
            <w:tcMar>
              <w:top w:type="dxa" w:w="70"/>
              <w:left w:type="dxa" w:w="90"/>
              <w:bottom w:type="dxa" w:w="70"/>
              <w:right w:type="dxa" w:w="90"/>
            </w:tcMar>
            <w:vAlign w:val="top"/>
          </w:tcPr>
          <w:p>
            <w:r>
              <w:rPr>
                <w:b w:val="false"/>
                <w:bCs w:val="false"/>
                <w:color w:val="000000"/>
                <w:sz w:val="16"/>
                <w:szCs w:val="16"/>
              </w:rPr>
              <w:t xml:space="preserve">A</w:t>
            </w:r>
          </w:p>
        </w:tc>
        <w:tc>
          <w:tcPr>
            <w:tcW w:type="dxa" w:w="1434"/>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r>
      <w:tr>
        <w:tc>
          <w:tcPr>
            <w:tcW w:type="dxa" w:w="2867"/>
            <w:tcMar>
              <w:top w:type="dxa" w:w="70"/>
              <w:left w:type="dxa" w:w="90"/>
              <w:bottom w:type="dxa" w:w="70"/>
              <w:right w:type="dxa" w:w="90"/>
            </w:tcMar>
            <w:vAlign w:val="top"/>
          </w:tcPr>
          <w:p>
            <w:r>
              <w:rPr>
                <w:b/>
                <w:bCs/>
                <w:color w:val="000000"/>
                <w:sz w:val="16"/>
                <w:szCs w:val="16"/>
              </w:rPr>
              <w:t xml:space="preserve">Post-Go-Live Handover &amp; Sustainability</w:t>
            </w:r>
          </w:p>
        </w:tc>
        <w:tc>
          <w:tcPr>
            <w:tcW w:type="dxa" w:w="1229"/>
            <w:tcMar>
              <w:top w:type="dxa" w:w="70"/>
              <w:left w:type="dxa" w:w="90"/>
              <w:bottom w:type="dxa" w:w="70"/>
              <w:right w:type="dxa" w:w="90"/>
            </w:tcMar>
            <w:vAlign w:val="top"/>
          </w:tcPr>
          <w:p>
            <w:r>
              <w:rPr>
                <w:b w:val="false"/>
                <w:bCs w:val="false"/>
                <w:color w:val="000000"/>
                <w:sz w:val="16"/>
                <w:szCs w:val="16"/>
              </w:rPr>
              <w:t xml:space="preserve">C</w:t>
            </w:r>
          </w:p>
        </w:tc>
        <w:tc>
          <w:tcPr>
            <w:tcW w:type="dxa" w:w="1229"/>
            <w:tcMar>
              <w:top w:type="dxa" w:w="70"/>
              <w:left w:type="dxa" w:w="90"/>
              <w:bottom w:type="dxa" w:w="70"/>
              <w:right w:type="dxa" w:w="90"/>
            </w:tcMar>
            <w:vAlign w:val="top"/>
          </w:tcPr>
          <w:p>
            <w:r>
              <w:rPr>
                <w:b w:val="false"/>
                <w:bCs w:val="false"/>
                <w:color w:val="000000"/>
                <w:sz w:val="16"/>
                <w:szCs w:val="16"/>
              </w:rPr>
              <w:t xml:space="preserve">A</w:t>
            </w:r>
          </w:p>
        </w:tc>
        <w:tc>
          <w:tcPr>
            <w:tcW w:type="dxa" w:w="1434"/>
            <w:tcMar>
              <w:top w:type="dxa" w:w="70"/>
              <w:left w:type="dxa" w:w="90"/>
              <w:bottom w:type="dxa" w:w="70"/>
              <w:right w:type="dxa" w:w="90"/>
            </w:tcMar>
            <w:vAlign w:val="top"/>
          </w:tcPr>
          <w:p>
            <w:r>
              <w:rPr>
                <w:b w:val="false"/>
                <w:bCs w:val="false"/>
                <w:color w:val="000000"/>
                <w:sz w:val="16"/>
                <w:szCs w:val="16"/>
              </w:rPr>
              <w:t xml:space="preserve">R</w:t>
            </w:r>
          </w:p>
        </w:tc>
        <w:tc>
          <w:tcPr>
            <w:tcW w:type="dxa" w:w="1024"/>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c>
          <w:tcPr>
            <w:tcW w:type="dxa" w:w="1229"/>
            <w:tcMar>
              <w:top w:type="dxa" w:w="70"/>
              <w:left w:type="dxa" w:w="90"/>
              <w:bottom w:type="dxa" w:w="70"/>
              <w:right w:type="dxa" w:w="90"/>
            </w:tcMar>
            <w:vAlign w:val="top"/>
          </w:tcPr>
          <w:p>
            <w:r>
              <w:rPr>
                <w:b w:val="false"/>
                <w:bCs w:val="false"/>
                <w:color w:val="000000"/>
                <w:sz w:val="16"/>
                <w:szCs w:val="16"/>
              </w:rPr>
              <w:t xml:space="preserve">I</w:t>
            </w:r>
          </w:p>
        </w:tc>
      </w:tr>
    </w:tbl>
    <w:p>
      <w:pPr>
        <w:spacing w:after="160" w:before="100"/>
      </w:pPr>
      <w:r>
        <w:rPr>
          <w:i/>
          <w:iCs/>
          <w:color w:val="666666"/>
          <w:sz w:val="16"/>
          <w:szCs w:val="16"/>
        </w:rPr>
        <w:t xml:space="preserve">R = Responsible (does the work); A = Accountable (owns the decision); C = Consulted (input sought); I = Informed (kept aware); '-' = no expected role. Governance Charter Adoption is jointly accountable per the Charter's own co-signature requirement.</w:t>
      </w:r>
    </w:p>
    <w:p>
      <w:pPr>
        <w:pStyle w:val="Heading1"/>
        <w:pBdr>
          <w:bottom w:val="single" w:color="1F3864" w:sz="6" w:space="4"/>
        </w:pBdr>
        <w:spacing w:after="130" w:before="320"/>
      </w:pPr>
      <w:r>
        <w:t xml:space="preserve">2.14 Transition to Section 3</w:t>
      </w:r>
    </w:p>
    <w:p>
      <w:pPr>
        <w:spacing w:after="150" w:line="276"/>
        <w:jc w:val="both"/>
      </w:pPr>
      <w:r>
        <w:t xml:space="preserve">Section 3 (Enterprise Architecture — Application Layer) takes the business capabilities, processes, and organisation model fixed here and identifies the specific applications that realize them, building an Application Portfolio that maps every application to the business domain and capability it serves. Nothing in Section 3 revisits the business structures established in this section; it builds directly on top of them.</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2026-07-18T07:23:09.053Z</dcterms:created>
  <dcterms:modified xsi:type="dcterms:W3CDTF">2026-07-18T07:23:09.053Z</dcterms:modified>
</cp:coreProperties>
</file>

<file path=docProps/custom.xml><?xml version="1.0" encoding="utf-8"?>
<Properties xmlns="http://schemas.openxmlformats.org/officeDocument/2006/custom-properties" xmlns:vt="http://schemas.openxmlformats.org/officeDocument/2006/docPropsVTypes"/>
</file>