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3 of 16 — Enterprise Architecture (Application Layer)</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identifies every application in the ESM/CKR solution and organizes them into an Application Portfolio, consistent with the Architecture Principles fixed in Section 1 (Maximize Benefit to the Enterprise, Common-Use Applications, Technology Independence) and built directly on the business domains, capabilities, and organisation model fixed in Section 2. Each application is profiled against ten attributes — Purpose, Users, Capabilities, Dependencies, Integrations, Security, Scalability, Availability, Ownership, and Future Evolution — the level of detail an Enterprise Architecture Review Board would expect before approving a build.</w:t>
      </w:r>
    </w:p>
    <w:p>
      <w:pPr>
        <w:pStyle w:val="Heading1"/>
        <w:pBdr>
          <w:bottom w:val="single" w:color="1F3864" w:sz="6" w:space="4"/>
        </w:pBdr>
        <w:spacing w:after="130" w:before="320"/>
      </w:pPr>
      <w:r>
        <w:t xml:space="preserve">3.1 Application Architecture Decision Framework</w:t>
      </w:r>
    </w:p>
    <w:p>
      <w:pPr>
        <w:spacing w:after="150" w:line="276"/>
        <w:jc w:val="both"/>
      </w:pPr>
      <w:r>
        <w:t xml:space="preserve">The choice between building custom software, configuring a mature platform, or integrating an existing system is stated here as an explicit decision framework, not a bare preference, because a framework is defensible in a way a preference is not. Three variables govern the decision for every application in this portfolio: the fixed twelve-week schedule, which strongly penalizes any custom development carrying unknown defect rates; the post-project sustainability requirement, which favours platforms the client's own KM and ICT Units can plausibly learn to administer without permanent consultant dependency; and the TOR's own specific naming — 'WordPress or equivalent' for the CKR's content management system specifically, with no comparable named preference for the ESM's document-management platform, which constrains the CKR's platform class while leaving the ESM choice to this Blueprint's own judgment.</w:t>
      </w:r>
    </w:p>
    <w:p>
      <w:pPr>
        <w:spacing w:after="150" w:line="276"/>
        <w:jc w:val="both"/>
      </w:pPr>
      <w:r>
        <w:t xml:space="preserve">Applied consistently, this framework favours configuration of proven, mature platforms across every major application in the portfolio, with custom development reserved only for the integration glue that no off-the-shelf product can be expected to supply out of the box — principally the API connections to the existing SAPZ website. This is also the specific mechanism that protects against vendor and licensing lock-in: platforms are selected for strong data-export and open-standard interoperability characteristics, so that a future decision to migrate away from any given vendor remains realistic over the programme's multi-year lifecycle, stated here as a deliberate design principle rather than left to be inferred later. Section 10 (Technology Stack Evaluation) applies this same framework to name and compare specific technology options; this section identifies the applications the framework must be applied to.</w:t>
      </w:r>
    </w:p>
    <w:p>
      <w:pPr>
        <w:pStyle w:val="Heading1"/>
        <w:pBdr>
          <w:bottom w:val="single" w:color="1F3864" w:sz="6" w:space="4"/>
        </w:pBdr>
        <w:spacing w:after="130" w:before="320"/>
      </w:pPr>
      <w:r>
        <w:t xml:space="preserve">3.2 Application Scope Prioritization (MoSCoW)</w:t>
      </w:r>
    </w:p>
    <w:p>
      <w:pPr>
        <w:spacing w:after="150" w:line="276"/>
        <w:jc w:val="both"/>
      </w:pPr>
      <w:r>
        <w:t xml:space="preserve">A MoSCoW pass over the TOR's own scope, applied honestly rather than marking everything a 'Must Have,' sets the build priority behind every application profiled in this section.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Priority</w:t>
            </w:r>
          </w:p>
        </w:tc>
        <w:tc>
          <w:tcPr>
            <w:tcW w:type="dxa" w:w="8192"/>
            <w:shd w:fill="1F3864" w:val="clear"/>
            <w:tcMar>
              <w:top w:type="dxa" w:w="70"/>
              <w:left w:type="dxa" w:w="90"/>
              <w:bottom w:type="dxa" w:w="70"/>
              <w:right w:type="dxa" w:w="90"/>
            </w:tcMar>
            <w:vAlign w:val="top"/>
          </w:tcPr>
          <w:p>
            <w:r>
              <w:rPr>
                <w:b/>
                <w:bCs/>
                <w:color w:val="FFFFFF"/>
                <w:sz w:val="17"/>
                <w:szCs w:val="17"/>
              </w:rPr>
              <w:t xml:space="preserve">Scope</w:t>
            </w:r>
          </w:p>
        </w:tc>
      </w:tr>
      <w:tr>
        <w:tc>
          <w:tcPr>
            <w:tcW w:type="dxa" w:w="2048"/>
            <w:tcMar>
              <w:top w:type="dxa" w:w="70"/>
              <w:left w:type="dxa" w:w="90"/>
              <w:bottom w:type="dxa" w:w="70"/>
              <w:right w:type="dxa" w:w="90"/>
            </w:tcMar>
            <w:vAlign w:val="top"/>
          </w:tcPr>
          <w:p>
            <w:r>
              <w:rPr>
                <w:b/>
                <w:bCs/>
                <w:color w:val="000000"/>
                <w:sz w:val="17"/>
                <w:szCs w:val="17"/>
              </w:rPr>
              <w:t xml:space="preserve">Must Have</w:t>
            </w:r>
          </w:p>
        </w:tc>
        <w:tc>
          <w:tcPr>
            <w:tcW w:type="dxa" w:w="8192"/>
            <w:tcMar>
              <w:top w:type="dxa" w:w="70"/>
              <w:left w:type="dxa" w:w="90"/>
              <w:bottom w:type="dxa" w:w="70"/>
              <w:right w:type="dxa" w:w="90"/>
            </w:tcMar>
            <w:vAlign w:val="top"/>
          </w:tcPr>
          <w:p>
            <w:r>
              <w:rPr>
                <w:b w:val="false"/>
                <w:bCs w:val="false"/>
                <w:color w:val="000000"/>
                <w:sz w:val="17"/>
                <w:szCs w:val="17"/>
              </w:rPr>
              <w:t xml:space="preserve">Centralized document repository (ESM); multi-level workflow approval; role-based access control and multi-factor authentication; the standalone CKR platform with search; integration with the existing SAPZ website.</w:t>
            </w:r>
          </w:p>
        </w:tc>
      </w:tr>
      <w:tr>
        <w:tc>
          <w:tcPr>
            <w:tcW w:type="dxa" w:w="2048"/>
            <w:tcMar>
              <w:top w:type="dxa" w:w="70"/>
              <w:left w:type="dxa" w:w="90"/>
              <w:bottom w:type="dxa" w:w="70"/>
              <w:right w:type="dxa" w:w="90"/>
            </w:tcMar>
            <w:vAlign w:val="top"/>
          </w:tcPr>
          <w:p>
            <w:r>
              <w:rPr>
                <w:b/>
                <w:bCs/>
                <w:color w:val="000000"/>
                <w:sz w:val="17"/>
                <w:szCs w:val="17"/>
              </w:rPr>
              <w:t xml:space="preserve">Should Have</w:t>
            </w:r>
          </w:p>
        </w:tc>
        <w:tc>
          <w:tcPr>
            <w:tcW w:type="dxa" w:w="8192"/>
            <w:tcMar>
              <w:top w:type="dxa" w:w="70"/>
              <w:left w:type="dxa" w:w="90"/>
              <w:bottom w:type="dxa" w:w="70"/>
              <w:right w:type="dxa" w:w="90"/>
            </w:tcMar>
            <w:vAlign w:val="top"/>
          </w:tcPr>
          <w:p>
            <w:r>
              <w:rPr>
                <w:b w:val="false"/>
                <w:bCs w:val="false"/>
                <w:color w:val="000000"/>
                <w:sz w:val="17"/>
                <w:szCs w:val="17"/>
              </w:rPr>
              <w:t xml:space="preserve">The full analytics dashboard suite beyond baseline reporting; complete content-migration coverage for every legacy document, not only a prioritized subset; comprehensive training-manual coverage for every named user role.</w:t>
            </w:r>
          </w:p>
        </w:tc>
      </w:tr>
      <w:tr>
        <w:tc>
          <w:tcPr>
            <w:tcW w:type="dxa" w:w="2048"/>
            <w:tcMar>
              <w:top w:type="dxa" w:w="70"/>
              <w:left w:type="dxa" w:w="90"/>
              <w:bottom w:type="dxa" w:w="70"/>
              <w:right w:type="dxa" w:w="90"/>
            </w:tcMar>
            <w:vAlign w:val="top"/>
          </w:tcPr>
          <w:p>
            <w:r>
              <w:rPr>
                <w:b/>
                <w:bCs/>
                <w:color w:val="000000"/>
                <w:sz w:val="17"/>
                <w:szCs w:val="17"/>
              </w:rPr>
              <w:t xml:space="preserve">Could Have (Phase 2 roadmap)</w:t>
            </w:r>
          </w:p>
        </w:tc>
        <w:tc>
          <w:tcPr>
            <w:tcW w:type="dxa" w:w="8192"/>
            <w:tcMar>
              <w:top w:type="dxa" w:w="70"/>
              <w:left w:type="dxa" w:w="90"/>
              <w:bottom w:type="dxa" w:w="70"/>
              <w:right w:type="dxa" w:w="90"/>
            </w:tcMar>
            <w:vAlign w:val="top"/>
          </w:tcPr>
          <w:p>
            <w:r>
              <w:rPr>
                <w:b w:val="false"/>
                <w:bCs w:val="false"/>
                <w:color w:val="000000"/>
                <w:sz w:val="17"/>
                <w:szCs w:val="17"/>
              </w:rPr>
              <w:t xml:space="preserve">AI-assisted classification and tagging; predictive analytics over workflow and KPI data; the knowledge graph.</w:t>
            </w:r>
          </w:p>
        </w:tc>
      </w:tr>
      <w:tr>
        <w:tc>
          <w:tcPr>
            <w:tcW w:type="dxa" w:w="2048"/>
            <w:tcMar>
              <w:top w:type="dxa" w:w="70"/>
              <w:left w:type="dxa" w:w="90"/>
              <w:bottom w:type="dxa" w:w="70"/>
              <w:right w:type="dxa" w:w="90"/>
            </w:tcMar>
            <w:vAlign w:val="top"/>
          </w:tcPr>
          <w:p>
            <w:r>
              <w:rPr>
                <w:b/>
                <w:bCs/>
                <w:color w:val="000000"/>
                <w:sz w:val="17"/>
                <w:szCs w:val="17"/>
              </w:rPr>
              <w:t xml:space="preserve">Won't Have (this engagement)</w:t>
            </w:r>
          </w:p>
        </w:tc>
        <w:tc>
          <w:tcPr>
            <w:tcW w:type="dxa" w:w="8192"/>
            <w:tcMar>
              <w:top w:type="dxa" w:w="70"/>
              <w:left w:type="dxa" w:w="90"/>
              <w:bottom w:type="dxa" w:w="70"/>
              <w:right w:type="dxa" w:w="90"/>
            </w:tcMar>
            <w:vAlign w:val="top"/>
          </w:tcPr>
          <w:p>
            <w:r>
              <w:rPr>
                <w:b w:val="false"/>
                <w:bCs w:val="false"/>
                <w:color w:val="000000"/>
                <w:sz w:val="17"/>
                <w:szCs w:val="17"/>
              </w:rPr>
              <w:t xml:space="preserve">A fully custom-built ECM platform in place of a configured commercial one; any commitment to permanent post-contract operational support beyond a documented handover.</w:t>
            </w:r>
          </w:p>
        </w:tc>
      </w:tr>
    </w:tbl>
    <w:p>
      <w:pPr>
        <w:spacing w:after="160"/>
      </w:pPr>
    </w:p>
    <w:p>
      <w:pPr>
        <w:pStyle w:val="Heading1"/>
        <w:pBdr>
          <w:bottom w:val="single" w:color="1F3864" w:sz="6" w:space="4"/>
        </w:pBdr>
        <w:spacing w:after="130" w:before="320"/>
      </w:pPr>
      <w:r>
        <w:t xml:space="preserve">3.3 Application Portfolio Overview</w:t>
      </w:r>
    </w:p>
    <w:p>
      <w:pPr>
        <w:spacing w:after="150" w:line="276"/>
        <w:jc w:val="both"/>
      </w:pPr>
      <w:r>
        <w:t xml:space="preserve">Ten applications and components make up the portfolio. Each is classified by the business domain it primarily serves (Section 2.1), which system it belongs to, its delivery approach under the decision framework above, and its MoSCoW priority.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
        <w:gridCol w:w="2458"/>
        <w:gridCol w:w="2253"/>
        <w:gridCol w:w="1331"/>
        <w:gridCol w:w="2458"/>
        <w:gridCol w:w="1229"/>
      </w:tblGrid>
      <w:tr>
        <w:trPr>
          <w:tblHeader/>
        </w:trPr>
        <w:tc>
          <w:tcPr>
            <w:tcW w:type="dxa" w:w="512"/>
            <w:shd w:fill="1F3864" w:val="clear"/>
            <w:tcMar>
              <w:top w:type="dxa" w:w="70"/>
              <w:left w:type="dxa" w:w="90"/>
              <w:bottom w:type="dxa" w:w="70"/>
              <w:right w:type="dxa" w:w="90"/>
            </w:tcMar>
            <w:vAlign w:val="top"/>
          </w:tcPr>
          <w:p>
            <w:r>
              <w:rPr>
                <w:b/>
                <w:bCs/>
                <w:color w:val="FFFFFF"/>
                <w:sz w:val="17"/>
                <w:szCs w:val="17"/>
              </w:rPr>
              <w:t xml:space="preserve">#</w:t>
            </w:r>
          </w:p>
        </w:tc>
        <w:tc>
          <w:tcPr>
            <w:tcW w:type="dxa" w:w="2458"/>
            <w:shd w:fill="1F3864" w:val="clear"/>
            <w:tcMar>
              <w:top w:type="dxa" w:w="70"/>
              <w:left w:type="dxa" w:w="90"/>
              <w:bottom w:type="dxa" w:w="70"/>
              <w:right w:type="dxa" w:w="90"/>
            </w:tcMar>
            <w:vAlign w:val="top"/>
          </w:tcPr>
          <w:p>
            <w:r>
              <w:rPr>
                <w:b/>
                <w:bCs/>
                <w:color w:val="FFFFFF"/>
                <w:sz w:val="17"/>
                <w:szCs w:val="17"/>
              </w:rPr>
              <w:t xml:space="preserve">Application</w:t>
            </w:r>
          </w:p>
        </w:tc>
        <w:tc>
          <w:tcPr>
            <w:tcW w:type="dxa" w:w="2253"/>
            <w:shd w:fill="1F3864" w:val="clear"/>
            <w:tcMar>
              <w:top w:type="dxa" w:w="70"/>
              <w:left w:type="dxa" w:w="90"/>
              <w:bottom w:type="dxa" w:w="70"/>
              <w:right w:type="dxa" w:w="90"/>
            </w:tcMar>
            <w:vAlign w:val="top"/>
          </w:tcPr>
          <w:p>
            <w:r>
              <w:rPr>
                <w:b/>
                <w:bCs/>
                <w:color w:val="FFFFFF"/>
                <w:sz w:val="17"/>
                <w:szCs w:val="17"/>
              </w:rPr>
              <w:t xml:space="preserve">Primary Domain</w:t>
            </w:r>
          </w:p>
        </w:tc>
        <w:tc>
          <w:tcPr>
            <w:tcW w:type="dxa" w:w="1331"/>
            <w:shd w:fill="1F3864" w:val="clear"/>
            <w:tcMar>
              <w:top w:type="dxa" w:w="70"/>
              <w:left w:type="dxa" w:w="90"/>
              <w:bottom w:type="dxa" w:w="70"/>
              <w:right w:type="dxa" w:w="90"/>
            </w:tcMar>
            <w:vAlign w:val="top"/>
          </w:tcPr>
          <w:p>
            <w:r>
              <w:rPr>
                <w:b/>
                <w:bCs/>
                <w:color w:val="FFFFFF"/>
                <w:sz w:val="17"/>
                <w:szCs w:val="17"/>
              </w:rPr>
              <w:t xml:space="preserve">System</w:t>
            </w:r>
          </w:p>
        </w:tc>
        <w:tc>
          <w:tcPr>
            <w:tcW w:type="dxa" w:w="2458"/>
            <w:shd w:fill="1F3864" w:val="clear"/>
            <w:tcMar>
              <w:top w:type="dxa" w:w="70"/>
              <w:left w:type="dxa" w:w="90"/>
              <w:bottom w:type="dxa" w:w="70"/>
              <w:right w:type="dxa" w:w="90"/>
            </w:tcMar>
            <w:vAlign w:val="top"/>
          </w:tcPr>
          <w:p>
            <w:r>
              <w:rPr>
                <w:b/>
                <w:bCs/>
                <w:color w:val="FFFFFF"/>
                <w:sz w:val="17"/>
                <w:szCs w:val="17"/>
              </w:rPr>
              <w:t xml:space="preserve">Delivery Approach</w:t>
            </w:r>
          </w:p>
        </w:tc>
        <w:tc>
          <w:tcPr>
            <w:tcW w:type="dxa" w:w="1229"/>
            <w:shd w:fill="1F3864" w:val="clear"/>
            <w:tcMar>
              <w:top w:type="dxa" w:w="70"/>
              <w:left w:type="dxa" w:w="90"/>
              <w:bottom w:type="dxa" w:w="70"/>
              <w:right w:type="dxa" w:w="90"/>
            </w:tcMar>
            <w:vAlign w:val="top"/>
          </w:tcPr>
          <w:p>
            <w:r>
              <w:rPr>
                <w:b/>
                <w:bCs/>
                <w:color w:val="FFFFFF"/>
                <w:sz w:val="17"/>
                <w:szCs w:val="17"/>
              </w:rPr>
              <w:t xml:space="preserve">MoSCoW</w:t>
            </w:r>
          </w:p>
        </w:tc>
      </w:tr>
      <w:tr>
        <w:tc>
          <w:tcPr>
            <w:tcW w:type="dxa" w:w="512"/>
            <w:tcMar>
              <w:top w:type="dxa" w:w="70"/>
              <w:left w:type="dxa" w:w="90"/>
              <w:bottom w:type="dxa" w:w="70"/>
              <w:right w:type="dxa" w:w="90"/>
            </w:tcMar>
            <w:vAlign w:val="top"/>
          </w:tcPr>
          <w:p>
            <w:r>
              <w:rPr>
                <w:b/>
                <w:bCs/>
                <w:color w:val="000000"/>
                <w:sz w:val="16"/>
                <w:szCs w:val="16"/>
              </w:rPr>
              <w:t xml:space="preserve">1</w:t>
            </w:r>
          </w:p>
        </w:tc>
        <w:tc>
          <w:tcPr>
            <w:tcW w:type="dxa" w:w="2458"/>
            <w:tcMar>
              <w:top w:type="dxa" w:w="70"/>
              <w:left w:type="dxa" w:w="90"/>
              <w:bottom w:type="dxa" w:w="70"/>
              <w:right w:type="dxa" w:w="90"/>
            </w:tcMar>
            <w:vAlign w:val="top"/>
          </w:tcPr>
          <w:p>
            <w:r>
              <w:rPr>
                <w:b w:val="false"/>
                <w:bCs w:val="false"/>
                <w:color w:val="000000"/>
                <w:sz w:val="16"/>
                <w:szCs w:val="16"/>
              </w:rPr>
              <w:t xml:space="preserve">ESM Core Platform</w:t>
            </w:r>
          </w:p>
        </w:tc>
        <w:tc>
          <w:tcPr>
            <w:tcW w:type="dxa" w:w="2253"/>
            <w:tcMar>
              <w:top w:type="dxa" w:w="70"/>
              <w:left w:type="dxa" w:w="90"/>
              <w:bottom w:type="dxa" w:w="70"/>
              <w:right w:type="dxa" w:w="90"/>
            </w:tcMar>
            <w:vAlign w:val="top"/>
          </w:tcPr>
          <w:p>
            <w:r>
              <w:rPr>
                <w:b w:val="false"/>
                <w:bCs w:val="false"/>
                <w:color w:val="000000"/>
                <w:sz w:val="16"/>
                <w:szCs w:val="16"/>
              </w:rPr>
              <w:t xml:space="preserve">Document &amp; Content Management</w:t>
            </w:r>
          </w:p>
        </w:tc>
        <w:tc>
          <w:tcPr>
            <w:tcW w:type="dxa" w:w="1331"/>
            <w:tcMar>
              <w:top w:type="dxa" w:w="70"/>
              <w:left w:type="dxa" w:w="90"/>
              <w:bottom w:type="dxa" w:w="70"/>
              <w:right w:type="dxa" w:w="90"/>
            </w:tcMar>
            <w:vAlign w:val="top"/>
          </w:tcPr>
          <w:p>
            <w:r>
              <w:rPr>
                <w:b w:val="false"/>
                <w:bCs w:val="false"/>
                <w:color w:val="000000"/>
                <w:sz w:val="16"/>
                <w:szCs w:val="16"/>
              </w:rPr>
              <w:t xml:space="preserve">ESM (internal)</w:t>
            </w:r>
          </w:p>
        </w:tc>
        <w:tc>
          <w:tcPr>
            <w:tcW w:type="dxa" w:w="2458"/>
            <w:tcMar>
              <w:top w:type="dxa" w:w="70"/>
              <w:left w:type="dxa" w:w="90"/>
              <w:bottom w:type="dxa" w:w="70"/>
              <w:right w:type="dxa" w:w="90"/>
            </w:tcMar>
            <w:vAlign w:val="top"/>
          </w:tcPr>
          <w:p>
            <w:r>
              <w:rPr>
                <w:b w:val="false"/>
                <w:bCs w:val="false"/>
                <w:color w:val="000000"/>
                <w:sz w:val="16"/>
                <w:szCs w:val="16"/>
              </w:rPr>
              <w:t xml:space="preserve">Configure mature ECM platform class</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2</w:t>
            </w:r>
          </w:p>
        </w:tc>
        <w:tc>
          <w:tcPr>
            <w:tcW w:type="dxa" w:w="2458"/>
            <w:tcMar>
              <w:top w:type="dxa" w:w="70"/>
              <w:left w:type="dxa" w:w="90"/>
              <w:bottom w:type="dxa" w:w="70"/>
              <w:right w:type="dxa" w:w="90"/>
            </w:tcMar>
            <w:vAlign w:val="top"/>
          </w:tcPr>
          <w:p>
            <w:r>
              <w:rPr>
                <w:b w:val="false"/>
                <w:bCs w:val="false"/>
                <w:color w:val="000000"/>
                <w:sz w:val="16"/>
                <w:szCs w:val="16"/>
              </w:rPr>
              <w:t xml:space="preserve">CKR Core Platform</w:t>
            </w:r>
          </w:p>
        </w:tc>
        <w:tc>
          <w:tcPr>
            <w:tcW w:type="dxa" w:w="2253"/>
            <w:tcMar>
              <w:top w:type="dxa" w:w="70"/>
              <w:left w:type="dxa" w:w="90"/>
              <w:bottom w:type="dxa" w:w="70"/>
              <w:right w:type="dxa" w:w="90"/>
            </w:tcMar>
            <w:vAlign w:val="top"/>
          </w:tcPr>
          <w:p>
            <w:r>
              <w:rPr>
                <w:b w:val="false"/>
                <w:bCs w:val="false"/>
                <w:color w:val="000000"/>
                <w:sz w:val="16"/>
                <w:szCs w:val="16"/>
              </w:rPr>
              <w:t xml:space="preserve">Knowledge Management</w:t>
            </w:r>
          </w:p>
        </w:tc>
        <w:tc>
          <w:tcPr>
            <w:tcW w:type="dxa" w:w="1331"/>
            <w:tcMar>
              <w:top w:type="dxa" w:w="70"/>
              <w:left w:type="dxa" w:w="90"/>
              <w:bottom w:type="dxa" w:w="70"/>
              <w:right w:type="dxa" w:w="90"/>
            </w:tcMar>
            <w:vAlign w:val="top"/>
          </w:tcPr>
          <w:p>
            <w:r>
              <w:rPr>
                <w:b w:val="false"/>
                <w:bCs w:val="false"/>
                <w:color w:val="000000"/>
                <w:sz w:val="16"/>
                <w:szCs w:val="16"/>
              </w:rPr>
              <w:t xml:space="preserve">CKR (external)</w:t>
            </w:r>
          </w:p>
        </w:tc>
        <w:tc>
          <w:tcPr>
            <w:tcW w:type="dxa" w:w="2458"/>
            <w:tcMar>
              <w:top w:type="dxa" w:w="70"/>
              <w:left w:type="dxa" w:w="90"/>
              <w:bottom w:type="dxa" w:w="70"/>
              <w:right w:type="dxa" w:w="90"/>
            </w:tcMar>
            <w:vAlign w:val="top"/>
          </w:tcPr>
          <w:p>
            <w:r>
              <w:rPr>
                <w:b w:val="false"/>
                <w:bCs w:val="false"/>
                <w:color w:val="000000"/>
                <w:sz w:val="16"/>
                <w:szCs w:val="16"/>
              </w:rPr>
              <w:t xml:space="preserve">Configure CMS platform class (WordPress or equivalent, per TOR)</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3</w:t>
            </w:r>
          </w:p>
        </w:tc>
        <w:tc>
          <w:tcPr>
            <w:tcW w:type="dxa" w:w="2458"/>
            <w:tcMar>
              <w:top w:type="dxa" w:w="70"/>
              <w:left w:type="dxa" w:w="90"/>
              <w:bottom w:type="dxa" w:w="70"/>
              <w:right w:type="dxa" w:w="90"/>
            </w:tcMar>
            <w:vAlign w:val="top"/>
          </w:tcPr>
          <w:p>
            <w:r>
              <w:rPr>
                <w:b w:val="false"/>
                <w:bCs w:val="false"/>
                <w:color w:val="000000"/>
                <w:sz w:val="16"/>
                <w:szCs w:val="16"/>
              </w:rPr>
              <w:t xml:space="preserve">Identity &amp; Access Management Service</w:t>
            </w:r>
          </w:p>
        </w:tc>
        <w:tc>
          <w:tcPr>
            <w:tcW w:type="dxa" w:w="2253"/>
            <w:tcMar>
              <w:top w:type="dxa" w:w="70"/>
              <w:left w:type="dxa" w:w="90"/>
              <w:bottom w:type="dxa" w:w="70"/>
              <w:right w:type="dxa" w:w="90"/>
            </w:tcMar>
            <w:vAlign w:val="top"/>
          </w:tcPr>
          <w:p>
            <w:r>
              <w:rPr>
                <w:b w:val="false"/>
                <w:bCs w:val="false"/>
                <w:color w:val="000000"/>
                <w:sz w:val="16"/>
                <w:szCs w:val="16"/>
              </w:rPr>
              <w:t xml:space="preserve">Governance, Risk &amp; Compliance</w:t>
            </w:r>
          </w:p>
        </w:tc>
        <w:tc>
          <w:tcPr>
            <w:tcW w:type="dxa" w:w="1331"/>
            <w:tcMar>
              <w:top w:type="dxa" w:w="70"/>
              <w:left w:type="dxa" w:w="90"/>
              <w:bottom w:type="dxa" w:w="70"/>
              <w:right w:type="dxa" w:w="90"/>
            </w:tcMar>
            <w:vAlign w:val="top"/>
          </w:tcPr>
          <w:p>
            <w:r>
              <w:rPr>
                <w:b w:val="false"/>
                <w:bCs w:val="false"/>
                <w:color w:val="000000"/>
                <w:sz w:val="16"/>
                <w:szCs w:val="16"/>
              </w:rPr>
              <w:t xml:space="preserve">Shared</w:t>
            </w:r>
          </w:p>
        </w:tc>
        <w:tc>
          <w:tcPr>
            <w:tcW w:type="dxa" w:w="2458"/>
            <w:tcMar>
              <w:top w:type="dxa" w:w="70"/>
              <w:left w:type="dxa" w:w="90"/>
              <w:bottom w:type="dxa" w:w="70"/>
              <w:right w:type="dxa" w:w="90"/>
            </w:tcMar>
            <w:vAlign w:val="top"/>
          </w:tcPr>
          <w:p>
            <w:r>
              <w:rPr>
                <w:b w:val="false"/>
                <w:bCs w:val="false"/>
                <w:color w:val="000000"/>
                <w:sz w:val="16"/>
                <w:szCs w:val="16"/>
              </w:rPr>
              <w:t xml:space="preserve">Configure IAM platform</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4</w:t>
            </w:r>
          </w:p>
        </w:tc>
        <w:tc>
          <w:tcPr>
            <w:tcW w:type="dxa" w:w="2458"/>
            <w:tcMar>
              <w:top w:type="dxa" w:w="70"/>
              <w:left w:type="dxa" w:w="90"/>
              <w:bottom w:type="dxa" w:w="70"/>
              <w:right w:type="dxa" w:w="90"/>
            </w:tcMar>
            <w:vAlign w:val="top"/>
          </w:tcPr>
          <w:p>
            <w:r>
              <w:rPr>
                <w:b w:val="false"/>
                <w:bCs w:val="false"/>
                <w:color w:val="000000"/>
                <w:sz w:val="16"/>
                <w:szCs w:val="16"/>
              </w:rPr>
              <w:t xml:space="preserve">Enterprise Search Service</w:t>
            </w:r>
          </w:p>
        </w:tc>
        <w:tc>
          <w:tcPr>
            <w:tcW w:type="dxa" w:w="2253"/>
            <w:tcMar>
              <w:top w:type="dxa" w:w="70"/>
              <w:left w:type="dxa" w:w="90"/>
              <w:bottom w:type="dxa" w:w="70"/>
              <w:right w:type="dxa" w:w="90"/>
            </w:tcMar>
            <w:vAlign w:val="top"/>
          </w:tcPr>
          <w:p>
            <w:r>
              <w:rPr>
                <w:b w:val="false"/>
                <w:bCs w:val="false"/>
                <w:color w:val="000000"/>
                <w:sz w:val="16"/>
                <w:szCs w:val="16"/>
              </w:rPr>
              <w:t xml:space="preserve">Cross-cutting (Search &amp; Discovery)</w:t>
            </w:r>
          </w:p>
        </w:tc>
        <w:tc>
          <w:tcPr>
            <w:tcW w:type="dxa" w:w="1331"/>
            <w:tcMar>
              <w:top w:type="dxa" w:w="70"/>
              <w:left w:type="dxa" w:w="90"/>
              <w:bottom w:type="dxa" w:w="70"/>
              <w:right w:type="dxa" w:w="90"/>
            </w:tcMar>
            <w:vAlign w:val="top"/>
          </w:tcPr>
          <w:p>
            <w:r>
              <w:rPr>
                <w:b w:val="false"/>
                <w:bCs w:val="false"/>
                <w:color w:val="000000"/>
                <w:sz w:val="16"/>
                <w:szCs w:val="16"/>
              </w:rPr>
              <w:t xml:space="preserve">Shared (federated)</w:t>
            </w:r>
          </w:p>
        </w:tc>
        <w:tc>
          <w:tcPr>
            <w:tcW w:type="dxa" w:w="2458"/>
            <w:tcMar>
              <w:top w:type="dxa" w:w="70"/>
              <w:left w:type="dxa" w:w="90"/>
              <w:bottom w:type="dxa" w:w="70"/>
              <w:right w:type="dxa" w:w="90"/>
            </w:tcMar>
            <w:vAlign w:val="top"/>
          </w:tcPr>
          <w:p>
            <w:r>
              <w:rPr>
                <w:b w:val="false"/>
                <w:bCs w:val="false"/>
                <w:color w:val="000000"/>
                <w:sz w:val="16"/>
                <w:szCs w:val="16"/>
              </w:rPr>
              <w:t xml:space="preserve">Configure search platform</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5</w:t>
            </w:r>
          </w:p>
        </w:tc>
        <w:tc>
          <w:tcPr>
            <w:tcW w:type="dxa" w:w="2458"/>
            <w:tcMar>
              <w:top w:type="dxa" w:w="70"/>
              <w:left w:type="dxa" w:w="90"/>
              <w:bottom w:type="dxa" w:w="70"/>
              <w:right w:type="dxa" w:w="90"/>
            </w:tcMar>
            <w:vAlign w:val="top"/>
          </w:tcPr>
          <w:p>
            <w:r>
              <w:rPr>
                <w:b w:val="false"/>
                <w:bCs w:val="false"/>
                <w:color w:val="000000"/>
                <w:sz w:val="16"/>
                <w:szCs w:val="16"/>
              </w:rPr>
              <w:t xml:space="preserve">Reporting &amp; Business Intelligence Application</w:t>
            </w:r>
          </w:p>
        </w:tc>
        <w:tc>
          <w:tcPr>
            <w:tcW w:type="dxa" w:w="2253"/>
            <w:tcMar>
              <w:top w:type="dxa" w:w="70"/>
              <w:left w:type="dxa" w:w="90"/>
              <w:bottom w:type="dxa" w:w="70"/>
              <w:right w:type="dxa" w:w="90"/>
            </w:tcMar>
            <w:vAlign w:val="top"/>
          </w:tcPr>
          <w:p>
            <w:r>
              <w:rPr>
                <w:b w:val="false"/>
                <w:bCs w:val="false"/>
                <w:color w:val="000000"/>
                <w:sz w:val="16"/>
                <w:szCs w:val="16"/>
              </w:rPr>
              <w:t xml:space="preserve">Monitoring, Evaluation &amp; Reporting</w:t>
            </w:r>
          </w:p>
        </w:tc>
        <w:tc>
          <w:tcPr>
            <w:tcW w:type="dxa" w:w="1331"/>
            <w:tcMar>
              <w:top w:type="dxa" w:w="70"/>
              <w:left w:type="dxa" w:w="90"/>
              <w:bottom w:type="dxa" w:w="70"/>
              <w:right w:type="dxa" w:w="90"/>
            </w:tcMar>
            <w:vAlign w:val="top"/>
          </w:tcPr>
          <w:p>
            <w:r>
              <w:rPr>
                <w:b w:val="false"/>
                <w:bCs w:val="false"/>
                <w:color w:val="000000"/>
                <w:sz w:val="16"/>
                <w:szCs w:val="16"/>
              </w:rPr>
              <w:t xml:space="preserve">Shared</w:t>
            </w:r>
          </w:p>
        </w:tc>
        <w:tc>
          <w:tcPr>
            <w:tcW w:type="dxa" w:w="2458"/>
            <w:tcMar>
              <w:top w:type="dxa" w:w="70"/>
              <w:left w:type="dxa" w:w="90"/>
              <w:bottom w:type="dxa" w:w="70"/>
              <w:right w:type="dxa" w:w="90"/>
            </w:tcMar>
            <w:vAlign w:val="top"/>
          </w:tcPr>
          <w:p>
            <w:r>
              <w:rPr>
                <w:b w:val="false"/>
                <w:bCs w:val="false"/>
                <w:color w:val="000000"/>
                <w:sz w:val="16"/>
                <w:szCs w:val="16"/>
              </w:rPr>
              <w:t xml:space="preserve">Configure BI/reporting platform</w:t>
            </w:r>
          </w:p>
        </w:tc>
        <w:tc>
          <w:tcPr>
            <w:tcW w:type="dxa" w:w="1229"/>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6</w:t>
            </w:r>
          </w:p>
        </w:tc>
        <w:tc>
          <w:tcPr>
            <w:tcW w:type="dxa" w:w="2458"/>
            <w:tcMar>
              <w:top w:type="dxa" w:w="70"/>
              <w:left w:type="dxa" w:w="90"/>
              <w:bottom w:type="dxa" w:w="70"/>
              <w:right w:type="dxa" w:w="90"/>
            </w:tcMar>
            <w:vAlign w:val="top"/>
          </w:tcPr>
          <w:p>
            <w:r>
              <w:rPr>
                <w:b w:val="false"/>
                <w:bCs w:val="false"/>
                <w:color w:val="000000"/>
                <w:sz w:val="16"/>
                <w:szCs w:val="16"/>
              </w:rPr>
              <w:t xml:space="preserve">Notification &amp; Messaging Service</w:t>
            </w:r>
          </w:p>
        </w:tc>
        <w:tc>
          <w:tcPr>
            <w:tcW w:type="dxa" w:w="2253"/>
            <w:tcMar>
              <w:top w:type="dxa" w:w="70"/>
              <w:left w:type="dxa" w:w="90"/>
              <w:bottom w:type="dxa" w:w="70"/>
              <w:right w:type="dxa" w:w="90"/>
            </w:tcMar>
            <w:vAlign w:val="top"/>
          </w:tcPr>
          <w:p>
            <w:r>
              <w:rPr>
                <w:b w:val="false"/>
                <w:bCs w:val="false"/>
                <w:color w:val="000000"/>
                <w:sz w:val="16"/>
                <w:szCs w:val="16"/>
              </w:rPr>
              <w:t xml:space="preserve">Cross-cutting</w:t>
            </w:r>
          </w:p>
        </w:tc>
        <w:tc>
          <w:tcPr>
            <w:tcW w:type="dxa" w:w="1331"/>
            <w:tcMar>
              <w:top w:type="dxa" w:w="70"/>
              <w:left w:type="dxa" w:w="90"/>
              <w:bottom w:type="dxa" w:w="70"/>
              <w:right w:type="dxa" w:w="90"/>
            </w:tcMar>
            <w:vAlign w:val="top"/>
          </w:tcPr>
          <w:p>
            <w:r>
              <w:rPr>
                <w:b w:val="false"/>
                <w:bCs w:val="false"/>
                <w:color w:val="000000"/>
                <w:sz w:val="16"/>
                <w:szCs w:val="16"/>
              </w:rPr>
              <w:t xml:space="preserve">Shared</w:t>
            </w:r>
          </w:p>
        </w:tc>
        <w:tc>
          <w:tcPr>
            <w:tcW w:type="dxa" w:w="2458"/>
            <w:tcMar>
              <w:top w:type="dxa" w:w="70"/>
              <w:left w:type="dxa" w:w="90"/>
              <w:bottom w:type="dxa" w:w="70"/>
              <w:right w:type="dxa" w:w="90"/>
            </w:tcMar>
            <w:vAlign w:val="top"/>
          </w:tcPr>
          <w:p>
            <w:r>
              <w:rPr>
                <w:b w:val="false"/>
                <w:bCs w:val="false"/>
                <w:color w:val="000000"/>
                <w:sz w:val="16"/>
                <w:szCs w:val="16"/>
              </w:rPr>
              <w:t xml:space="preserve">Configure workflow-native notification module</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7</w:t>
            </w:r>
          </w:p>
        </w:tc>
        <w:tc>
          <w:tcPr>
            <w:tcW w:type="dxa" w:w="2458"/>
            <w:tcMar>
              <w:top w:type="dxa" w:w="70"/>
              <w:left w:type="dxa" w:w="90"/>
              <w:bottom w:type="dxa" w:w="70"/>
              <w:right w:type="dxa" w:w="90"/>
            </w:tcMar>
            <w:vAlign w:val="top"/>
          </w:tcPr>
          <w:p>
            <w:r>
              <w:rPr>
                <w:b w:val="false"/>
                <w:bCs w:val="false"/>
                <w:color w:val="000000"/>
                <w:sz w:val="16"/>
                <w:szCs w:val="16"/>
              </w:rPr>
              <w:t xml:space="preserve">Integration &amp; API Gateway</w:t>
            </w:r>
          </w:p>
        </w:tc>
        <w:tc>
          <w:tcPr>
            <w:tcW w:type="dxa" w:w="2253"/>
            <w:tcMar>
              <w:top w:type="dxa" w:w="70"/>
              <w:left w:type="dxa" w:w="90"/>
              <w:bottom w:type="dxa" w:w="70"/>
              <w:right w:type="dxa" w:w="90"/>
            </w:tcMar>
            <w:vAlign w:val="top"/>
          </w:tcPr>
          <w:p>
            <w:r>
              <w:rPr>
                <w:b w:val="false"/>
                <w:bCs w:val="false"/>
                <w:color w:val="000000"/>
                <w:sz w:val="16"/>
                <w:szCs w:val="16"/>
              </w:rPr>
              <w:t xml:space="preserve">Technology &amp; Platform Operations</w:t>
            </w:r>
          </w:p>
        </w:tc>
        <w:tc>
          <w:tcPr>
            <w:tcW w:type="dxa" w:w="1331"/>
            <w:tcMar>
              <w:top w:type="dxa" w:w="70"/>
              <w:left w:type="dxa" w:w="90"/>
              <w:bottom w:type="dxa" w:w="70"/>
              <w:right w:type="dxa" w:w="90"/>
            </w:tcMar>
            <w:vAlign w:val="top"/>
          </w:tcPr>
          <w:p>
            <w:r>
              <w:rPr>
                <w:b w:val="false"/>
                <w:bCs w:val="false"/>
                <w:color w:val="000000"/>
                <w:sz w:val="16"/>
                <w:szCs w:val="16"/>
              </w:rPr>
              <w:t xml:space="preserve">Shared</w:t>
            </w:r>
          </w:p>
        </w:tc>
        <w:tc>
          <w:tcPr>
            <w:tcW w:type="dxa" w:w="2458"/>
            <w:tcMar>
              <w:top w:type="dxa" w:w="70"/>
              <w:left w:type="dxa" w:w="90"/>
              <w:bottom w:type="dxa" w:w="70"/>
              <w:right w:type="dxa" w:w="90"/>
            </w:tcMar>
            <w:vAlign w:val="top"/>
          </w:tcPr>
          <w:p>
            <w:r>
              <w:rPr>
                <w:b w:val="false"/>
                <w:bCs w:val="false"/>
                <w:color w:val="000000"/>
                <w:sz w:val="16"/>
                <w:szCs w:val="16"/>
              </w:rPr>
              <w:t xml:space="preserve">Custom integration glue over configured platforms</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8</w:t>
            </w:r>
          </w:p>
        </w:tc>
        <w:tc>
          <w:tcPr>
            <w:tcW w:type="dxa" w:w="2458"/>
            <w:tcMar>
              <w:top w:type="dxa" w:w="70"/>
              <w:left w:type="dxa" w:w="90"/>
              <w:bottom w:type="dxa" w:w="70"/>
              <w:right w:type="dxa" w:w="90"/>
            </w:tcMar>
            <w:vAlign w:val="top"/>
          </w:tcPr>
          <w:p>
            <w:r>
              <w:rPr>
                <w:b w:val="false"/>
                <w:bCs w:val="false"/>
                <w:color w:val="000000"/>
                <w:sz w:val="16"/>
                <w:szCs w:val="16"/>
              </w:rPr>
              <w:t xml:space="preserve">Governance &amp; Administration Console</w:t>
            </w:r>
          </w:p>
        </w:tc>
        <w:tc>
          <w:tcPr>
            <w:tcW w:type="dxa" w:w="2253"/>
            <w:tcMar>
              <w:top w:type="dxa" w:w="70"/>
              <w:left w:type="dxa" w:w="90"/>
              <w:bottom w:type="dxa" w:w="70"/>
              <w:right w:type="dxa" w:w="90"/>
            </w:tcMar>
            <w:vAlign w:val="top"/>
          </w:tcPr>
          <w:p>
            <w:r>
              <w:rPr>
                <w:b w:val="false"/>
                <w:bCs w:val="false"/>
                <w:color w:val="000000"/>
                <w:sz w:val="16"/>
                <w:szCs w:val="16"/>
              </w:rPr>
              <w:t xml:space="preserve">Governance, Risk &amp; Compliance</w:t>
            </w:r>
          </w:p>
        </w:tc>
        <w:tc>
          <w:tcPr>
            <w:tcW w:type="dxa" w:w="1331"/>
            <w:tcMar>
              <w:top w:type="dxa" w:w="70"/>
              <w:left w:type="dxa" w:w="90"/>
              <w:bottom w:type="dxa" w:w="70"/>
              <w:right w:type="dxa" w:w="90"/>
            </w:tcMar>
            <w:vAlign w:val="top"/>
          </w:tcPr>
          <w:p>
            <w:r>
              <w:rPr>
                <w:b w:val="false"/>
                <w:bCs w:val="false"/>
                <w:color w:val="000000"/>
                <w:sz w:val="16"/>
                <w:szCs w:val="16"/>
              </w:rPr>
              <w:t xml:space="preserve">Shared</w:t>
            </w:r>
          </w:p>
        </w:tc>
        <w:tc>
          <w:tcPr>
            <w:tcW w:type="dxa" w:w="2458"/>
            <w:tcMar>
              <w:top w:type="dxa" w:w="70"/>
              <w:left w:type="dxa" w:w="90"/>
              <w:bottom w:type="dxa" w:w="70"/>
              <w:right w:type="dxa" w:w="90"/>
            </w:tcMar>
            <w:vAlign w:val="top"/>
          </w:tcPr>
          <w:p>
            <w:r>
              <w:rPr>
                <w:b w:val="false"/>
                <w:bCs w:val="false"/>
                <w:color w:val="000000"/>
                <w:sz w:val="16"/>
                <w:szCs w:val="16"/>
              </w:rPr>
              <w:t xml:space="preserve">Configure within ECM/CMS admin capability</w:t>
            </w:r>
          </w:p>
        </w:tc>
        <w:tc>
          <w:tcPr>
            <w:tcW w:type="dxa" w:w="1229"/>
            <w:tcMar>
              <w:top w:type="dxa" w:w="70"/>
              <w:left w:type="dxa" w:w="90"/>
              <w:bottom w:type="dxa" w:w="70"/>
              <w:right w:type="dxa" w:w="90"/>
            </w:tcMar>
            <w:vAlign w:val="top"/>
          </w:tcPr>
          <w:p>
            <w:r>
              <w:rPr>
                <w:b w:val="false"/>
                <w:bCs w:val="false"/>
                <w:color w:val="000000"/>
                <w:sz w:val="16"/>
                <w:szCs w:val="16"/>
              </w:rPr>
              <w:t xml:space="preserve">Must Have</w:t>
            </w:r>
          </w:p>
        </w:tc>
      </w:tr>
      <w:tr>
        <w:tc>
          <w:tcPr>
            <w:tcW w:type="dxa" w:w="512"/>
            <w:tcMar>
              <w:top w:type="dxa" w:w="70"/>
              <w:left w:type="dxa" w:w="90"/>
              <w:bottom w:type="dxa" w:w="70"/>
              <w:right w:type="dxa" w:w="90"/>
            </w:tcMar>
            <w:vAlign w:val="top"/>
          </w:tcPr>
          <w:p>
            <w:r>
              <w:rPr>
                <w:b/>
                <w:bCs/>
                <w:color w:val="000000"/>
                <w:sz w:val="16"/>
                <w:szCs w:val="16"/>
              </w:rPr>
              <w:t xml:space="preserve">9</w:t>
            </w:r>
          </w:p>
        </w:tc>
        <w:tc>
          <w:tcPr>
            <w:tcW w:type="dxa" w:w="2458"/>
            <w:tcMar>
              <w:top w:type="dxa" w:w="70"/>
              <w:left w:type="dxa" w:w="90"/>
              <w:bottom w:type="dxa" w:w="70"/>
              <w:right w:type="dxa" w:w="90"/>
            </w:tcMar>
            <w:vAlign w:val="top"/>
          </w:tcPr>
          <w:p>
            <w:r>
              <w:rPr>
                <w:b w:val="false"/>
                <w:bCs w:val="false"/>
                <w:color w:val="000000"/>
                <w:sz w:val="16"/>
                <w:szCs w:val="16"/>
              </w:rPr>
              <w:t xml:space="preserve">Collaboration &amp; Training Workspace</w:t>
            </w:r>
          </w:p>
        </w:tc>
        <w:tc>
          <w:tcPr>
            <w:tcW w:type="dxa" w:w="2253"/>
            <w:tcMar>
              <w:top w:type="dxa" w:w="70"/>
              <w:left w:type="dxa" w:w="90"/>
              <w:bottom w:type="dxa" w:w="70"/>
              <w:right w:type="dxa" w:w="90"/>
            </w:tcMar>
            <w:vAlign w:val="top"/>
          </w:tcPr>
          <w:p>
            <w:r>
              <w:rPr>
                <w:b w:val="false"/>
                <w:bCs w:val="false"/>
                <w:color w:val="000000"/>
                <w:sz w:val="16"/>
                <w:szCs w:val="16"/>
              </w:rPr>
              <w:t xml:space="preserve">Stakeholder Engagement &amp; Collaboration</w:t>
            </w:r>
          </w:p>
        </w:tc>
        <w:tc>
          <w:tcPr>
            <w:tcW w:type="dxa" w:w="1331"/>
            <w:tcMar>
              <w:top w:type="dxa" w:w="70"/>
              <w:left w:type="dxa" w:w="90"/>
              <w:bottom w:type="dxa" w:w="70"/>
              <w:right w:type="dxa" w:w="90"/>
            </w:tcMar>
            <w:vAlign w:val="top"/>
          </w:tcPr>
          <w:p>
            <w:r>
              <w:rPr>
                <w:b w:val="false"/>
                <w:bCs w:val="false"/>
                <w:color w:val="000000"/>
                <w:sz w:val="16"/>
                <w:szCs w:val="16"/>
              </w:rPr>
              <w:t xml:space="preserve">Shared (embedded in ESM/CKR)</w:t>
            </w:r>
          </w:p>
        </w:tc>
        <w:tc>
          <w:tcPr>
            <w:tcW w:type="dxa" w:w="2458"/>
            <w:tcMar>
              <w:top w:type="dxa" w:w="70"/>
              <w:left w:type="dxa" w:w="90"/>
              <w:bottom w:type="dxa" w:w="70"/>
              <w:right w:type="dxa" w:w="90"/>
            </w:tcMar>
            <w:vAlign w:val="top"/>
          </w:tcPr>
          <w:p>
            <w:r>
              <w:rPr>
                <w:b w:val="false"/>
                <w:bCs w:val="false"/>
                <w:color w:val="000000"/>
                <w:sz w:val="16"/>
                <w:szCs w:val="16"/>
              </w:rPr>
              <w:t xml:space="preserve">Configure within ECM/CMS platform</w:t>
            </w:r>
          </w:p>
        </w:tc>
        <w:tc>
          <w:tcPr>
            <w:tcW w:type="dxa" w:w="1229"/>
            <w:tcMar>
              <w:top w:type="dxa" w:w="70"/>
              <w:left w:type="dxa" w:w="90"/>
              <w:bottom w:type="dxa" w:w="70"/>
              <w:right w:type="dxa" w:w="90"/>
            </w:tcMar>
            <w:vAlign w:val="top"/>
          </w:tcPr>
          <w:p>
            <w:r>
              <w:rPr>
                <w:b w:val="false"/>
                <w:bCs w:val="false"/>
                <w:color w:val="000000"/>
                <w:sz w:val="16"/>
                <w:szCs w:val="16"/>
              </w:rPr>
              <w:t xml:space="preserve">Should Have</w:t>
            </w:r>
          </w:p>
        </w:tc>
      </w:tr>
      <w:tr>
        <w:tc>
          <w:tcPr>
            <w:tcW w:type="dxa" w:w="512"/>
            <w:tcMar>
              <w:top w:type="dxa" w:w="70"/>
              <w:left w:type="dxa" w:w="90"/>
              <w:bottom w:type="dxa" w:w="70"/>
              <w:right w:type="dxa" w:w="90"/>
            </w:tcMar>
            <w:vAlign w:val="top"/>
          </w:tcPr>
          <w:p>
            <w:r>
              <w:rPr>
                <w:b/>
                <w:bCs/>
                <w:color w:val="000000"/>
                <w:sz w:val="16"/>
                <w:szCs w:val="16"/>
              </w:rPr>
              <w:t xml:space="preserve">10</w:t>
            </w:r>
          </w:p>
        </w:tc>
        <w:tc>
          <w:tcPr>
            <w:tcW w:type="dxa" w:w="2458"/>
            <w:tcMar>
              <w:top w:type="dxa" w:w="70"/>
              <w:left w:type="dxa" w:w="90"/>
              <w:bottom w:type="dxa" w:w="70"/>
              <w:right w:type="dxa" w:w="90"/>
            </w:tcMar>
            <w:vAlign w:val="top"/>
          </w:tcPr>
          <w:p>
            <w:r>
              <w:rPr>
                <w:b w:val="false"/>
                <w:bCs w:val="false"/>
                <w:color w:val="000000"/>
                <w:sz w:val="16"/>
                <w:szCs w:val="16"/>
              </w:rPr>
              <w:t xml:space="preserve">SAPZ Public Website</w:t>
            </w:r>
          </w:p>
        </w:tc>
        <w:tc>
          <w:tcPr>
            <w:tcW w:type="dxa" w:w="2253"/>
            <w:tcMar>
              <w:top w:type="dxa" w:w="70"/>
              <w:left w:type="dxa" w:w="90"/>
              <w:bottom w:type="dxa" w:w="70"/>
              <w:right w:type="dxa" w:w="90"/>
            </w:tcMar>
            <w:vAlign w:val="top"/>
          </w:tcPr>
          <w:p>
            <w:r>
              <w:rPr>
                <w:b w:val="false"/>
                <w:bCs w:val="false"/>
                <w:color w:val="000000"/>
                <w:sz w:val="16"/>
                <w:szCs w:val="16"/>
              </w:rPr>
              <w:t xml:space="preserve">External system (integration only)</w:t>
            </w:r>
          </w:p>
        </w:tc>
        <w:tc>
          <w:tcPr>
            <w:tcW w:type="dxa" w:w="1331"/>
            <w:tcMar>
              <w:top w:type="dxa" w:w="70"/>
              <w:left w:type="dxa" w:w="90"/>
              <w:bottom w:type="dxa" w:w="70"/>
              <w:right w:type="dxa" w:w="90"/>
            </w:tcMar>
            <w:vAlign w:val="top"/>
          </w:tcPr>
          <w:p>
            <w:r>
              <w:rPr>
                <w:b w:val="false"/>
                <w:bCs w:val="false"/>
                <w:color w:val="000000"/>
                <w:sz w:val="16"/>
                <w:szCs w:val="16"/>
              </w:rPr>
              <w:t xml:space="preserve">External</w:t>
            </w:r>
          </w:p>
        </w:tc>
        <w:tc>
          <w:tcPr>
            <w:tcW w:type="dxa" w:w="2458"/>
            <w:tcMar>
              <w:top w:type="dxa" w:w="70"/>
              <w:left w:type="dxa" w:w="90"/>
              <w:bottom w:type="dxa" w:w="70"/>
              <w:right w:type="dxa" w:w="90"/>
            </w:tcMar>
            <w:vAlign w:val="top"/>
          </w:tcPr>
          <w:p>
            <w:r>
              <w:rPr>
                <w:b w:val="false"/>
                <w:bCs w:val="false"/>
                <w:color w:val="000000"/>
                <w:sz w:val="16"/>
                <w:szCs w:val="16"/>
              </w:rPr>
              <w:t xml:space="preserve">Existing — integrate, do not rebuild</w:t>
            </w:r>
          </w:p>
        </w:tc>
        <w:tc>
          <w:tcPr>
            <w:tcW w:type="dxa" w:w="1229"/>
            <w:tcMar>
              <w:top w:type="dxa" w:w="70"/>
              <w:left w:type="dxa" w:w="90"/>
              <w:bottom w:type="dxa" w:w="70"/>
              <w:right w:type="dxa" w:w="90"/>
            </w:tcMar>
            <w:vAlign w:val="top"/>
          </w:tcPr>
          <w:p>
            <w:r>
              <w:rPr>
                <w:b w:val="false"/>
                <w:bCs w:val="false"/>
                <w:color w:val="000000"/>
                <w:sz w:val="16"/>
                <w:szCs w:val="16"/>
              </w:rPr>
              <w:t xml:space="preserve">Must Have (integration only)</w:t>
            </w:r>
          </w:p>
        </w:tc>
      </w:tr>
    </w:tbl>
    <w:p>
      <w:pPr>
        <w:spacing w:after="160"/>
      </w:pPr>
    </w:p>
    <w:p>
      <w:pPr>
        <w:pStyle w:val="Heading1"/>
        <w:pBdr>
          <w:bottom w:val="single" w:color="1F3864" w:sz="6" w:space="4"/>
        </w:pBdr>
        <w:spacing w:after="130" w:before="320"/>
      </w:pPr>
      <w:r>
        <w:t xml:space="preserve">3.4 Application Profiles</w:t>
      </w:r>
    </w:p>
    <w:p>
      <w:pPr>
        <w:spacing w:after="150" w:line="276"/>
        <w:jc w:val="both"/>
      </w:pPr>
      <w:r>
        <w:t xml:space="preserve">Each application is profiled against ten attributes. Profiles 1 and 2 are the two TOR-mandated core systems; the remainder are the shared and supporting applications that make ESM and CKR operate as one governed architecture rather than two disconnected builds.</w:t>
      </w:r>
    </w:p>
    <w:p>
      <w:pPr>
        <w:pStyle w:val="Heading2"/>
        <w:spacing w:after="80" w:before="240"/>
      </w:pPr>
      <w:r>
        <w:t xml:space="preserve">1. ESM Core Platform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Single internal system of record for programme documentation and workflow, replacing the fragmented, decentralized storage named in the TOR's Problem Statement.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Seven state implementation teams and the FCT; KM and ICT Units; National Programme Coordinator; KMC.</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Content capture, classification, versioning, and retention; configurable multi-tier workflow engine; system-enforced audit trail; role-based access control.</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Shared taxonomy and metadata service (Section 2.10 Governance Model); Identity &amp; Access Management Service; Notification &amp; Messaging Service.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Enterprise Search Service; Reporting &amp; Business Intelligence Application; Governance &amp; Administration Console; Integration &amp; API Gateway (for any future ERP/MIS connection).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Role-based access control and multi-factor authentication as baseline; encryption at rest and in transit; strict internal/restricted access boundary per TOR Section 4.</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Sized for seven states and the FCT at launch; designed to scale to additional states or co-financiers without re-architecture, per the Technology Principles in Section 1.7.</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High-availability cloud hosting; target service levels formalized in Section 13 (Implementation Blueprint).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 (platform operation, post-handover); Consultant (design, configuration, and migration during the twelve-week build).</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Phase 2 layering of Business Intelligence and AI-assisted classification (Section 9); potential future integration with an ERP or MIS system not in scope for this engagement.</w:t>
            </w:r>
          </w:p>
        </w:tc>
      </w:tr>
    </w:tbl>
    <w:p>
      <w:pPr>
        <w:spacing w:after="140"/>
      </w:pPr>
    </w:p>
    <w:p>
      <w:pPr>
        <w:pStyle w:val="Heading2"/>
        <w:spacing w:after="80" w:before="240"/>
      </w:pPr>
      <w:r>
        <w:t xml:space="preserve">2. CKR Core Platform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External, public system for institutional knowledge and learning content, positioned as the programme's institutional memory rather than a document library.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General public; private-sector actors and community organizations; state knowledge stewards (content submission); KMC (editorial review and publication).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Full knowledge-management lifecycle — capture, curate, publish, disseminate, reuse; content classification against the shared taxonomy; public search.</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Shared taxonomy and metadata service; a mainstream, well-documented CMS platform class consistent with the TOR's own 'WordPress or equivalent' naming.</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SAPZ Public Website (via Integration &amp; API Gateway); Enterprise Search Service; Identity &amp; Access Management Service (for internal steward accounts only).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Public read access with a governed, reviewed publish workflow; NDPR-aware handling of any personal data appearing in published content.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Must absorb variable public traffic; cloud-first, managed-services posture protects against both under- and over-provisioning.</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High availability expected given its public-facing role; near-real-time content publication.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KMC (editorial and content-decision authority); Client KM and ICT Units (platform operation).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Knowledge Graph and AI-assisted search/summarisation, both explicitly held as Phase 2 roadmap items per Section 1.3 and the Solution Strategy.</w:t>
            </w:r>
          </w:p>
        </w:tc>
      </w:tr>
    </w:tbl>
    <w:p>
      <w:pPr>
        <w:spacing w:after="140"/>
      </w:pPr>
    </w:p>
    <w:p>
      <w:pPr>
        <w:pStyle w:val="Heading2"/>
        <w:spacing w:after="80" w:before="240"/>
      </w:pPr>
      <w:r>
        <w:t xml:space="preserve">3. Identity &amp; Access Management (IAM) Service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Centralized authentication and authorization shared by both ESM and CKR, so access control is defined once and enforced consistently rather than per system.</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All internal ESM users; CKR editorial and steward accounts specifically (not the public).</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Single sign-on; role-based access control with attribute-based rules where warranted; multi-factor authentication; user lifecycle management.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A directory or user-store service; government-provided identity source, if one becomes available during Weeks 1–2 requirements analysis.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(steward accounts); Reporting &amp; Business Intelligence Application; Governance &amp; Administration Console.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Mandatory multi-factor authentication for privileged and administrative roles; encrypted credential storage; session and token management aligned to OWASP guidance (elaborated in Section 8).</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Scales with the user base as adoption grows across states and, potentially, additional co-financiers.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High availability required, since both ESM and CKR steward access depend on it functioning continuously.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Federation with a government-wide identity provider, if and when one becomes available beyond this engagement's scope.</w:t>
            </w:r>
          </w:p>
        </w:tc>
      </w:tr>
    </w:tbl>
    <w:p>
      <w:pPr>
        <w:spacing w:after="140"/>
      </w:pPr>
    </w:p>
    <w:p>
      <w:pPr>
        <w:pStyle w:val="Heading2"/>
        <w:spacing w:after="80" w:before="240"/>
      </w:pPr>
      <w:r>
        <w:t xml:space="preserve">4. Enterprise Search Service (Federated)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Unified, access-aware search across ESM and CKR, planned as a consequence of good information architecture rather than a bolt-on feature compensating for poor tagging.</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All ESM and CKR users, internal and public, each within their own access boundary.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Indexing, federated query across two separately governed indexes, relevance ranking, taxonomy-aware filtering.</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The shared taxonomy and metadata standard (Section 2.10); content APIs exposed by ESM and CKR.</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Identity &amp; Access Management Service, so results are filtered to what each user is authorized to see.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Strictly respects the ESM/CKR access boundary — separate indexes honouring each system's access rules, never a single index that could leak restricted ESM content into the public CKR.</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Index scales with content volume as migration and ongoing capture proceed across seven states and the FCT.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High availability with near-real-time indexing of newly published or approved content.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 (platform administration).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AI-assisted semantic and natural-language search, held as a Phase 2 roadmap item consistent with Section 9 (AI Strategy).</w:t>
            </w:r>
          </w:p>
        </w:tc>
      </w:tr>
    </w:tbl>
    <w:p>
      <w:pPr>
        <w:spacing w:after="140"/>
      </w:pPr>
    </w:p>
    <w:p>
      <w:pPr>
        <w:pStyle w:val="Heading2"/>
        <w:spacing w:after="80" w:before="240"/>
      </w:pPr>
      <w:r>
        <w:t xml:space="preserve">5. Reporting &amp; Business Intelligence Application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Shift from manually compiled reporting to templated, automated report generation and a tiered dashboard strategy.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National Programme Coordinator and donors (executive tier); state and component managers (management tier); operational officers (operational tier).</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KPI aggregation; templated report generation aligned to AfDB/IFAD/IsDB conventions; tiered dashboards; trend visualization (baseline); deeper analytics as a Should-Have extension.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ESM workflow and document data; CKR usage data; the M&amp;E data feeding the programme's own reporting cycle.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Integration &amp; API Gateway (for donor-format export).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Role-based dashboard access matching each tier; no operational-detail access for donor-facing summary views, consistent with the Stakeholder Model in Section 2.11.</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Scales with the KPI dataset as it grows across states and reporting cycles.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Real-time refresh where infrastructure supports it; a clearly flagged near-real-time fallback elsewhere, per the Digital Government Principles in Section 1.7.</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M&amp;E Focal Point (content); Client KM and ICT Units (platform).</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The full analytics/Business Intelligence layer — trend analysis, comparative component performance, early-warning flags — is a Should-Have extension beyond the reporting baseline, elaborated in Section 9.</w:t>
            </w:r>
          </w:p>
        </w:tc>
      </w:tr>
    </w:tbl>
    <w:p>
      <w:pPr>
        <w:spacing w:after="140"/>
      </w:pPr>
    </w:p>
    <w:p>
      <w:pPr>
        <w:pStyle w:val="Heading2"/>
        <w:spacing w:after="80" w:before="240"/>
      </w:pPr>
      <w:r>
        <w:t xml:space="preserve">6. Notification &amp; Messaging Service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Event-driven notification for workflow, approvals, and SLA escalation, replacing the informal, ad hoc communication the current environment relies 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All ESM workflow participants; CKR editorial reviewers; state focal points.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Configurable notification rules; multi-channel delivery (email, SMS, in-app); SLA-based escalation alerts.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ESM's workflow engine as the primary event source; Identity &amp; Access Management Service for recipient resolution.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(publication notices); external email/SMS gateway.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Notification payloads carry only necessary references, not sensitive content, limiting exposure if a channel (such as SMS) is intercepted.</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Scales with workflow event volume as adoption grows across states.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Near-real-time delivery expected, since it underpins the SLA-escalation mechanism that converts audit trails into genuine accountability.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 (platform administration).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Push notifications for a future mobile application, if one is scoped beyond this engagement.</w:t>
            </w:r>
          </w:p>
        </w:tc>
      </w:tr>
    </w:tbl>
    <w:p>
      <w:pPr>
        <w:spacing w:after="140"/>
      </w:pPr>
    </w:p>
    <w:p>
      <w:pPr>
        <w:pStyle w:val="Heading2"/>
        <w:spacing w:after="80" w:before="240"/>
      </w:pPr>
      <w:r>
        <w:t xml:space="preserve">7. Integration &amp; API Gateway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The governed integration layer connecting ESM, CKR, and external systems at clearly defined edges — the architecture's 'connect at the edges, not the core' principle from the Solution Strategy.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System integrators and developers; no direct end-user interaction.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REST/API management, webhook support, documented interface contracts, request logging.</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The Data &amp; Content Governance Charter, which governs what may integrate and under what conditions; Identity &amp; Access Management Service for API authentication.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SAPZ Public Website; Reporting &amp; Business Intelligence Application (donor-format export); any future ERP, MIS, or M&amp;E system named in the Section 11 Digital Transformation Roadmap.</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Token- or key-based API authentication, rate limiting, and full request logging as part of the audit trail.</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Scales to additional integration points as the programme's technology footprint grows, without requiring re-architecture of ESM or CKR themselves.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High availability required, since multiple applications depend on it for their integration paths.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 operating against interface contracts the consultant defines during the build.</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Expansion to additional integration points as the Section 11 roadmap materializes, governed throughout by the same Charter.</w:t>
            </w:r>
          </w:p>
        </w:tc>
      </w:tr>
    </w:tbl>
    <w:p>
      <w:pPr>
        <w:spacing w:after="140"/>
      </w:pPr>
    </w:p>
    <w:p>
      <w:pPr>
        <w:pStyle w:val="Heading2"/>
        <w:spacing w:after="80" w:before="240"/>
      </w:pPr>
      <w:r>
        <w:t xml:space="preserve">8. Governance &amp; Administration Console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Operationalizes the Data &amp; Content Governance Charter — the mechanism that keeps taxonomy, retention, and stewardship decisions enforceable rather than aspirational.</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KMC (taxonomy authority); Governance and Compliance function; KM and ICT Units administrators.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Taxonomy management; retention-policy configuration; stewardship assignment; audit-log review; NDPR compliance checklist.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Audit and access data generated by ESM and CKR.</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Identity &amp; Access Management Service.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Highly restricted, administrator-only access; every administrative action itself generates an audit-trail entry.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Low-volume, administrator-facing; scales with governance complexity rather than end-user count.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Standard business-hours availability is acceptable for administrative use, though the underlying platform remains always-on.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KMC (governance content); Client KM and ICT Units (console administration).</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Automated taxonomy-compliance checks at the point of content submission, using AI-assisted classification as a Phase 2 capability.</w:t>
            </w:r>
          </w:p>
        </w:tc>
      </w:tr>
    </w:tbl>
    <w:p>
      <w:pPr>
        <w:spacing w:after="140"/>
      </w:pPr>
    </w:p>
    <w:p>
      <w:pPr>
        <w:pStyle w:val="Heading2"/>
        <w:spacing w:after="80" w:before="240"/>
      </w:pPr>
      <w:r>
        <w:t xml:space="preserve">9. Collaboration &amp; Training Workspace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Embeds collaboration — comments, co-authoring, structured review — and progressive training-content delivery inside the document and workflow lifecycle users are already in, directly reducing the TOR's own named adoption-resistance risk.</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State implementation teams (cross-state collaboration); KM and ICT Units (training delivery, training-of-trainers model).</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Comments and structured review cycles; co-authoring; dedicated cross-state collaboration spaces; progressive training-of-trainers content released alongside each build phase.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ESM and CKR content and workflow capability, since this workspace is embedded rather than standalone.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ESM Core Platform; CKR Core Platform; Notification &amp; Messaging Service.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Inherits the role-based access control of whichever system (ESM or CKR) hosts the specific collaboration space.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Scales with the active user base across all seven states and the FCT.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Matches the availability of its hosting system (ESM or CKR).</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Client KM and ICT Units.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A dedicated Learning Management System, if the training need grows materially beyond what embedded content can reasonably support — not scoped for this engagement.</w:t>
            </w:r>
          </w:p>
        </w:tc>
      </w:tr>
    </w:tbl>
    <w:p>
      <w:pPr>
        <w:spacing w:after="140"/>
      </w:pPr>
    </w:p>
    <w:p>
      <w:pPr>
        <w:pStyle w:val="Heading2"/>
        <w:spacing w:after="80" w:before="240"/>
      </w:pPr>
      <w:r>
        <w:t xml:space="preserve">10. SAPZ Public Website (External System)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70"/>
              <w:left w:type="dxa" w:w="90"/>
              <w:bottom w:type="dxa" w:w="70"/>
              <w:right w:type="dxa" w:w="90"/>
            </w:tcMar>
            <w:vAlign w:val="top"/>
          </w:tcPr>
          <w:p>
            <w:r>
              <w:rPr>
                <w:b/>
                <w:bCs/>
                <w:color w:val="000000"/>
                <w:sz w:val="17"/>
                <w:szCs w:val="17"/>
              </w:rPr>
              <w:t xml:space="preserve">Purpose</w:t>
            </w:r>
          </w:p>
        </w:tc>
        <w:tc>
          <w:tcPr>
            <w:tcW w:type="dxa" w:w="8397"/>
            <w:tcMar>
              <w:top w:type="dxa" w:w="70"/>
              <w:left w:type="dxa" w:w="90"/>
              <w:bottom w:type="dxa" w:w="70"/>
              <w:right w:type="dxa" w:w="90"/>
            </w:tcMar>
            <w:vAlign w:val="top"/>
          </w:tcPr>
          <w:p>
            <w:r>
              <w:rPr>
                <w:b w:val="false"/>
                <w:bCs w:val="false"/>
                <w:color w:val="000000"/>
                <w:sz w:val="17"/>
                <w:szCs w:val="17"/>
              </w:rPr>
              <w:t xml:space="preserve">The programme's existing public website. This engagement integrates with it, per the REOI's own summary of scope; it does not rebuild it.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Users</w:t>
            </w:r>
          </w:p>
        </w:tc>
        <w:tc>
          <w:tcPr>
            <w:tcW w:type="dxa" w:w="8397"/>
            <w:tcMar>
              <w:top w:type="dxa" w:w="70"/>
              <w:left w:type="dxa" w:w="90"/>
              <w:bottom w:type="dxa" w:w="70"/>
              <w:right w:type="dxa" w:w="90"/>
            </w:tcMar>
            <w:vAlign w:val="top"/>
          </w:tcPr>
          <w:p>
            <w:r>
              <w:rPr>
                <w:b w:val="false"/>
                <w:bCs w:val="false"/>
                <w:color w:val="000000"/>
                <w:sz w:val="17"/>
                <w:szCs w:val="17"/>
              </w:rPr>
              <w:t xml:space="preserve">General public.</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Capabilities</w:t>
            </w:r>
          </w:p>
        </w:tc>
        <w:tc>
          <w:tcPr>
            <w:tcW w:type="dxa" w:w="8397"/>
            <w:tcMar>
              <w:top w:type="dxa" w:w="70"/>
              <w:left w:type="dxa" w:w="90"/>
              <w:bottom w:type="dxa" w:w="70"/>
              <w:right w:type="dxa" w:w="90"/>
            </w:tcMar>
            <w:vAlign w:val="top"/>
          </w:tcPr>
          <w:p>
            <w:r>
              <w:rPr>
                <w:b w:val="false"/>
                <w:bCs w:val="false"/>
                <w:color w:val="000000"/>
                <w:sz w:val="17"/>
                <w:szCs w:val="17"/>
              </w:rPr>
              <w:t xml:space="preserve">Outside this engagement's build scope; treated as a fixed external system.</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397"/>
            <w:tcMar>
              <w:top w:type="dxa" w:w="70"/>
              <w:left w:type="dxa" w:w="90"/>
              <w:bottom w:type="dxa" w:w="70"/>
              <w:right w:type="dxa" w:w="90"/>
            </w:tcMar>
            <w:vAlign w:val="top"/>
          </w:tcPr>
          <w:p>
            <w:r>
              <w:rPr>
                <w:b w:val="false"/>
                <w:bCs w:val="false"/>
                <w:color w:val="000000"/>
                <w:sz w:val="17"/>
                <w:szCs w:val="17"/>
              </w:rPr>
              <w:t xml:space="preserve">None within this architecture; the website is the dependent party for any published CKR content it surfaces.</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Integrations</w:t>
            </w:r>
          </w:p>
        </w:tc>
        <w:tc>
          <w:tcPr>
            <w:tcW w:type="dxa" w:w="8397"/>
            <w:tcMar>
              <w:top w:type="dxa" w:w="70"/>
              <w:left w:type="dxa" w:w="90"/>
              <w:bottom w:type="dxa" w:w="70"/>
              <w:right w:type="dxa" w:w="90"/>
            </w:tcMar>
            <w:vAlign w:val="top"/>
          </w:tcPr>
          <w:p>
            <w:r>
              <w:rPr>
                <w:b w:val="false"/>
                <w:bCs w:val="false"/>
                <w:color w:val="000000"/>
                <w:sz w:val="17"/>
                <w:szCs w:val="17"/>
              </w:rPr>
              <w:t xml:space="preserve">CKR Core Platform, via the Integration &amp; API Gateway, for publishing or linking knowledge content.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Security</w:t>
            </w:r>
          </w:p>
        </w:tc>
        <w:tc>
          <w:tcPr>
            <w:tcW w:type="dxa" w:w="8397"/>
            <w:tcMar>
              <w:top w:type="dxa" w:w="70"/>
              <w:left w:type="dxa" w:w="90"/>
              <w:bottom w:type="dxa" w:w="70"/>
              <w:right w:type="dxa" w:w="90"/>
            </w:tcMar>
            <w:vAlign w:val="top"/>
          </w:tcPr>
          <w:p>
            <w:r>
              <w:rPr>
                <w:b w:val="false"/>
                <w:bCs w:val="false"/>
                <w:color w:val="000000"/>
                <w:sz w:val="17"/>
                <w:szCs w:val="17"/>
              </w:rPr>
              <w:t xml:space="preserve">Governed, one-directional or clearly bounded integration only; no direct write access to CKR beyond the defined interface contract.</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Scalability</w:t>
            </w:r>
          </w:p>
        </w:tc>
        <w:tc>
          <w:tcPr>
            <w:tcW w:type="dxa" w:w="8397"/>
            <w:tcMar>
              <w:top w:type="dxa" w:w="70"/>
              <w:left w:type="dxa" w:w="90"/>
              <w:bottom w:type="dxa" w:w="70"/>
              <w:right w:type="dxa" w:w="90"/>
            </w:tcMar>
            <w:vAlign w:val="top"/>
          </w:tcPr>
          <w:p>
            <w:r>
              <w:rPr>
                <w:b w:val="false"/>
                <w:bCs w:val="false"/>
                <w:color w:val="000000"/>
                <w:sz w:val="17"/>
                <w:szCs w:val="17"/>
              </w:rPr>
              <w:t xml:space="preserve">Not this engagement's responsibility.</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Availability</w:t>
            </w:r>
          </w:p>
        </w:tc>
        <w:tc>
          <w:tcPr>
            <w:tcW w:type="dxa" w:w="8397"/>
            <w:tcMar>
              <w:top w:type="dxa" w:w="70"/>
              <w:left w:type="dxa" w:w="90"/>
              <w:bottom w:type="dxa" w:w="70"/>
              <w:right w:type="dxa" w:w="90"/>
            </w:tcMar>
            <w:vAlign w:val="top"/>
          </w:tcPr>
          <w:p>
            <w:r>
              <w:rPr>
                <w:b w:val="false"/>
                <w:bCs w:val="false"/>
                <w:color w:val="000000"/>
                <w:sz w:val="17"/>
                <w:szCs w:val="17"/>
              </w:rPr>
              <w:t xml:space="preserve">Not this engagement's responsibility; integration is designed to degrade gracefully if the website is unavailable.</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Ownership</w:t>
            </w:r>
          </w:p>
        </w:tc>
        <w:tc>
          <w:tcPr>
            <w:tcW w:type="dxa" w:w="8397"/>
            <w:tcMar>
              <w:top w:type="dxa" w:w="70"/>
              <w:left w:type="dxa" w:w="90"/>
              <w:bottom w:type="dxa" w:w="70"/>
              <w:right w:type="dxa" w:w="90"/>
            </w:tcMar>
            <w:vAlign w:val="top"/>
          </w:tcPr>
          <w:p>
            <w:r>
              <w:rPr>
                <w:b w:val="false"/>
                <w:bCs w:val="false"/>
                <w:color w:val="000000"/>
                <w:sz w:val="17"/>
                <w:szCs w:val="17"/>
              </w:rPr>
              <w:t xml:space="preserve">Existing SAPZ website owner, outside this engagement's organisation model.</w:t>
            </w:r>
          </w:p>
        </w:tc>
      </w:tr>
      <w:tr>
        <w:tc>
          <w:tcPr>
            <w:tcW w:type="dxa" w:w="1843"/>
            <w:shd w:fill="EDEFF4" w:val="clear"/>
            <w:tcMar>
              <w:top w:type="dxa" w:w="70"/>
              <w:left w:type="dxa" w:w="90"/>
              <w:bottom w:type="dxa" w:w="70"/>
              <w:right w:type="dxa" w:w="90"/>
            </w:tcMar>
            <w:vAlign w:val="top"/>
          </w:tcPr>
          <w:p>
            <w:r>
              <w:rPr>
                <w:b/>
                <w:bCs/>
                <w:color w:val="000000"/>
                <w:sz w:val="17"/>
                <w:szCs w:val="17"/>
              </w:rPr>
              <w:t xml:space="preserve">Future Evolution</w:t>
            </w:r>
          </w:p>
        </w:tc>
        <w:tc>
          <w:tcPr>
            <w:tcW w:type="dxa" w:w="8397"/>
            <w:tcMar>
              <w:top w:type="dxa" w:w="70"/>
              <w:left w:type="dxa" w:w="90"/>
              <w:bottom w:type="dxa" w:w="70"/>
              <w:right w:type="dxa" w:w="90"/>
            </w:tcMar>
            <w:vAlign w:val="top"/>
          </w:tcPr>
          <w:p>
            <w:r>
              <w:rPr>
                <w:b w:val="false"/>
                <w:bCs w:val="false"/>
                <w:color w:val="000000"/>
                <w:sz w:val="17"/>
                <w:szCs w:val="17"/>
              </w:rPr>
              <w:t xml:space="preserve">Deeper integration is possible in a future phase but is explicitly out of scope for the twelve-week baseline.</w:t>
            </w:r>
          </w:p>
        </w:tc>
      </w:tr>
    </w:tbl>
    <w:p>
      <w:pPr>
        <w:spacing w:after="140"/>
      </w:pPr>
    </w:p>
    <w:p>
      <w:pPr>
        <w:pStyle w:val="Heading1"/>
        <w:pBdr>
          <w:bottom w:val="single" w:color="1F3864" w:sz="6" w:space="4"/>
        </w:pBdr>
        <w:spacing w:after="130" w:before="320"/>
      </w:pPr>
      <w:r>
        <w:t xml:space="preserve">3.5 Application Dependency Overview</w:t>
      </w:r>
    </w:p>
    <w:p>
      <w:pPr>
        <w:spacing w:after="150" w:line="276"/>
        <w:jc w:val="both"/>
      </w:pPr>
      <w:r>
        <w:t xml:space="preserve">Two applications carry the TOR's explicit mandate and sit at the centre of the portfolio: the ESM Core Platform and the CKR Core Platform, kept independently hosted and access-controlled per TOR Section 4. Every other application in the portfolio is a shared service that both core platforms depend on — Identity &amp; Access Management, Enterprise Search, Reporting and Business Intelligence, Notification and Messaging, the Governance and Administration Console, and the Collaboration and Training Workspace — so that ESM and CKR remain architecturally independent at the content layer while sharing one consistent operational foundation beneath them. The Integration and API Gateway is the only application that reaches outside this architecture entirely, connecting to the external SAPZ Public Website under a governed, documented interface contract.</w:t>
      </w:r>
    </w:p>
    <w:p>
      <w:pPr>
        <w:spacing w:after="150" w:line="276"/>
        <w:jc w:val="both"/>
      </w:pPr>
      <w:r>
        <w:t xml:space="preserve">This dependency structure is the direct application-layer expression of the Enterprise Principle fixed in Section 1.7 — 'Two Systems, One Governance' — and of the Architecture Principle 'Interoperability at Governed Edges': shared services are common-use applications serving both systems, not duplicated per system, and the only genuinely custom development in the entire portfolio is the integration glue connecting to the one external system the TOR requires. The full Application Architecture Diagram expressing these dependencies visually is specified for production in Section 16 (Antigravity Handoff Package).</w:t>
      </w:r>
    </w:p>
    <w:p>
      <w:pPr>
        <w:pStyle w:val="Heading1"/>
        <w:pBdr>
          <w:bottom w:val="single" w:color="1F3864" w:sz="6" w:space="4"/>
        </w:pBdr>
        <w:spacing w:after="130" w:before="320"/>
      </w:pPr>
      <w:r>
        <w:t xml:space="preserve">3.6 Transition to Section 4</w:t>
      </w:r>
    </w:p>
    <w:p>
      <w:pPr>
        <w:spacing w:after="150" w:line="276"/>
        <w:jc w:val="both"/>
      </w:pPr>
      <w:r>
        <w:t xml:space="preserve">Section 4 (Functional Architecture) decomposes the applications identified here into the functional modules users actually interact with — Executive Dashboard, Programme Management, Document Management, Knowledge Repository, and the remaining modules named in the governing prompt — each mapped back to the application that hosts it and the business capability it realizes.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7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2026-07-18T07:28:36.821Z</dcterms:created>
  <dcterms:modified xsi:type="dcterms:W3CDTF">2026-07-18T07:28:36.822Z</dcterms:modified>
</cp:coreProperties>
</file>

<file path=docProps/custom.xml><?xml version="1.0" encoding="utf-8"?>
<Properties xmlns="http://schemas.openxmlformats.org/officeDocument/2006/custom-properties" xmlns:vt="http://schemas.openxmlformats.org/officeDocument/2006/docPropsVTypes"/>
</file>