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4 of 16 — Functional Architecture</w:t>
      </w:r>
    </w:p>
    <w:p>
      <w:pPr>
        <w:spacing w:after="260"/>
        <w:jc w:val="center"/>
      </w:pPr>
      <w:r>
        <w:rPr>
          <w:i/>
          <w:iCs/>
          <w:color w:val="555555"/>
          <w:sz w:val="19"/>
          <w:szCs w:val="19"/>
        </w:rPr>
        <w:t xml:space="preserve">Prepared for the SAPZ National Programme Coordination Office — Consultant: Ahmed Babajide Olanrewaju</w:t>
      </w:r>
    </w:p>
    <w:p>
      <w:pPr>
        <w:spacing w:after="150" w:line="276"/>
        <w:jc w:val="both"/>
      </w:pPr>
      <w:r>
        <w:t xml:space="preserve">This section decomposes the applications identified in Section 3 into the twenty-eight functional modules users actually interact with. Each module is profiled against thirteen attributes — Purpose, Features, Business Value, Priority, Dependencies, Inputs, Outputs, Users, Workflows, Reports, KPIs, Notifications, and Administration — so that the functional specification is complete enough to hand to a design and build team without further interpretation of the procurement documents.</w:t>
      </w:r>
    </w:p>
    <w:p>
      <w:pPr>
        <w:spacing w:after="150" w:line="276"/>
        <w:jc w:val="both"/>
      </w:pPr>
      <w:r>
        <w:t xml:space="preserve">Module priority uses the same MoSCoW scale applied to the Application Portfolio in Section 3.2, kept consistent rather than re-derived per module: Must Have modules realize a TOR-explicit requirement or are infrastructure that a Must Have module cannot function without; Should Have modules deliver real value the TOR does not explicitly mandate, consistent with the Architecture Principle of stating explicitly what is added where the TOR is silent, and why; Could Have marks specific features, not whole modules, that are held for the Phase 2 roadmap fixed in Section 1.3.</w:t>
      </w:r>
    </w:p>
    <w:p>
      <w:pPr>
        <w:pStyle w:val="Heading1"/>
        <w:pBdr>
          <w:bottom w:val="single" w:color="1F3864" w:sz="6" w:space="4"/>
        </w:pBdr>
        <w:spacing w:after="130" w:before="320"/>
      </w:pPr>
      <w:r>
        <w:t xml:space="preserve">4.1 Module Inventory Overview</w:t>
      </w:r>
    </w:p>
    <w:p>
      <w:pPr>
        <w:spacing w:after="150" w:line="276"/>
        <w:jc w:val="both"/>
      </w:pPr>
      <w:r>
        <w:t xml:space="preserve">Twenty-eight modules span the four functional groups below, each mapped to the business domain it primarily serves (Section 2.1) and the application that hosts it (Section 3.3).</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
        <w:gridCol w:w="2458"/>
        <w:gridCol w:w="2458"/>
        <w:gridCol w:w="2867"/>
        <w:gridCol w:w="1946"/>
      </w:tblGrid>
      <w:tr>
        <w:trPr>
          <w:tblHeader/>
        </w:trPr>
        <w:tc>
          <w:tcPr>
            <w:tcW w:type="dxa" w:w="512"/>
            <w:shd w:fill="1F3864" w:val="clear"/>
            <w:tcMar>
              <w:top w:type="dxa" w:w="70"/>
              <w:left w:type="dxa" w:w="90"/>
              <w:bottom w:type="dxa" w:w="70"/>
              <w:right w:type="dxa" w:w="90"/>
            </w:tcMar>
            <w:vAlign w:val="top"/>
          </w:tcPr>
          <w:p>
            <w:r>
              <w:rPr>
                <w:b/>
                <w:bCs/>
                <w:color w:val="FFFFFF"/>
                <w:sz w:val="17"/>
                <w:szCs w:val="17"/>
              </w:rPr>
              <w:t xml:space="preserve">#</w:t>
            </w:r>
          </w:p>
        </w:tc>
        <w:tc>
          <w:tcPr>
            <w:tcW w:type="dxa" w:w="2458"/>
            <w:shd w:fill="1F3864" w:val="clear"/>
            <w:tcMar>
              <w:top w:type="dxa" w:w="70"/>
              <w:left w:type="dxa" w:w="90"/>
              <w:bottom w:type="dxa" w:w="70"/>
              <w:right w:type="dxa" w:w="90"/>
            </w:tcMar>
            <w:vAlign w:val="top"/>
          </w:tcPr>
          <w:p>
            <w:r>
              <w:rPr>
                <w:b/>
                <w:bCs/>
                <w:color w:val="FFFFFF"/>
                <w:sz w:val="17"/>
                <w:szCs w:val="17"/>
              </w:rPr>
              <w:t xml:space="preserve">Module</w:t>
            </w:r>
          </w:p>
        </w:tc>
        <w:tc>
          <w:tcPr>
            <w:tcW w:type="dxa" w:w="2458"/>
            <w:shd w:fill="1F3864" w:val="clear"/>
            <w:tcMar>
              <w:top w:type="dxa" w:w="70"/>
              <w:left w:type="dxa" w:w="90"/>
              <w:bottom w:type="dxa" w:w="70"/>
              <w:right w:type="dxa" w:w="90"/>
            </w:tcMar>
            <w:vAlign w:val="top"/>
          </w:tcPr>
          <w:p>
            <w:r>
              <w:rPr>
                <w:b/>
                <w:bCs/>
                <w:color w:val="FFFFFF"/>
                <w:sz w:val="17"/>
                <w:szCs w:val="17"/>
              </w:rPr>
              <w:t xml:space="preserve">Primary Domain</w:t>
            </w:r>
          </w:p>
        </w:tc>
        <w:tc>
          <w:tcPr>
            <w:tcW w:type="dxa" w:w="2867"/>
            <w:shd w:fill="1F3864" w:val="clear"/>
            <w:tcMar>
              <w:top w:type="dxa" w:w="70"/>
              <w:left w:type="dxa" w:w="90"/>
              <w:bottom w:type="dxa" w:w="70"/>
              <w:right w:type="dxa" w:w="90"/>
            </w:tcMar>
            <w:vAlign w:val="top"/>
          </w:tcPr>
          <w:p>
            <w:r>
              <w:rPr>
                <w:b/>
                <w:bCs/>
                <w:color w:val="FFFFFF"/>
                <w:sz w:val="17"/>
                <w:szCs w:val="17"/>
              </w:rPr>
              <w:t xml:space="preserve">Hosting Application</w:t>
            </w:r>
          </w:p>
        </w:tc>
        <w:tc>
          <w:tcPr>
            <w:tcW w:type="dxa" w:w="1946"/>
            <w:shd w:fill="1F3864" w:val="clear"/>
            <w:tcMar>
              <w:top w:type="dxa" w:w="70"/>
              <w:left w:type="dxa" w:w="90"/>
              <w:bottom w:type="dxa" w:w="70"/>
              <w:right w:type="dxa" w:w="90"/>
            </w:tcMar>
            <w:vAlign w:val="top"/>
          </w:tcPr>
          <w:p>
            <w:r>
              <w:rPr>
                <w:b/>
                <w:bCs/>
                <w:color w:val="FFFFFF"/>
                <w:sz w:val="17"/>
                <w:szCs w:val="17"/>
              </w:rPr>
              <w:t xml:space="preserve">Priority</w:t>
            </w:r>
          </w:p>
        </w:tc>
      </w:tr>
      <w:tr>
        <w:tc>
          <w:tcPr>
            <w:tcW w:type="dxa" w:w="512"/>
            <w:tcMar>
              <w:top w:type="dxa" w:w="70"/>
              <w:left w:type="dxa" w:w="90"/>
              <w:bottom w:type="dxa" w:w="70"/>
              <w:right w:type="dxa" w:w="90"/>
            </w:tcMar>
            <w:vAlign w:val="top"/>
          </w:tcPr>
          <w:p>
            <w:r>
              <w:rPr>
                <w:b/>
                <w:bCs/>
                <w:color w:val="000000"/>
                <w:sz w:val="15"/>
                <w:szCs w:val="15"/>
              </w:rPr>
              <w:t xml:space="preserve">1</w:t>
            </w:r>
          </w:p>
        </w:tc>
        <w:tc>
          <w:tcPr>
            <w:tcW w:type="dxa" w:w="2458"/>
            <w:tcMar>
              <w:top w:type="dxa" w:w="70"/>
              <w:left w:type="dxa" w:w="90"/>
              <w:bottom w:type="dxa" w:w="70"/>
              <w:right w:type="dxa" w:w="90"/>
            </w:tcMar>
            <w:vAlign w:val="top"/>
          </w:tcPr>
          <w:p>
            <w:r>
              <w:rPr>
                <w:b w:val="false"/>
                <w:bCs w:val="false"/>
                <w:color w:val="000000"/>
                <w:sz w:val="15"/>
                <w:szCs w:val="15"/>
              </w:rPr>
              <w:t xml:space="preserve">Executive Dashboard</w:t>
            </w:r>
          </w:p>
        </w:tc>
        <w:tc>
          <w:tcPr>
            <w:tcW w:type="dxa" w:w="2458"/>
            <w:tcMar>
              <w:top w:type="dxa" w:w="70"/>
              <w:left w:type="dxa" w:w="90"/>
              <w:bottom w:type="dxa" w:w="70"/>
              <w:right w:type="dxa" w:w="90"/>
            </w:tcMar>
            <w:vAlign w:val="top"/>
          </w:tcPr>
          <w:p>
            <w:r>
              <w:rPr>
                <w:b w:val="false"/>
                <w:bCs w:val="false"/>
                <w:color w:val="000000"/>
                <w:sz w:val="15"/>
                <w:szCs w:val="15"/>
              </w:rPr>
              <w:t xml:space="preserve">Monitoring, Evaluation &amp; Reporting</w:t>
            </w:r>
          </w:p>
        </w:tc>
        <w:tc>
          <w:tcPr>
            <w:tcW w:type="dxa" w:w="2867"/>
            <w:tcMar>
              <w:top w:type="dxa" w:w="70"/>
              <w:left w:type="dxa" w:w="90"/>
              <w:bottom w:type="dxa" w:w="70"/>
              <w:right w:type="dxa" w:w="90"/>
            </w:tcMar>
            <w:vAlign w:val="top"/>
          </w:tcPr>
          <w:p>
            <w:r>
              <w:rPr>
                <w:b w:val="false"/>
                <w:bCs w:val="false"/>
                <w:color w:val="000000"/>
                <w:sz w:val="15"/>
                <w:szCs w:val="15"/>
              </w:rPr>
              <w:t xml:space="preserve">Reporting &amp; BI Application</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w:t>
            </w:r>
          </w:p>
        </w:tc>
        <w:tc>
          <w:tcPr>
            <w:tcW w:type="dxa" w:w="2458"/>
            <w:tcMar>
              <w:top w:type="dxa" w:w="70"/>
              <w:left w:type="dxa" w:w="90"/>
              <w:bottom w:type="dxa" w:w="70"/>
              <w:right w:type="dxa" w:w="90"/>
            </w:tcMar>
            <w:vAlign w:val="top"/>
          </w:tcPr>
          <w:p>
            <w:r>
              <w:rPr>
                <w:b w:val="false"/>
                <w:bCs w:val="false"/>
                <w:color w:val="000000"/>
                <w:sz w:val="15"/>
                <w:szCs w:val="15"/>
              </w:rPr>
              <w:t xml:space="preserve">Programme Management</w:t>
            </w:r>
          </w:p>
        </w:tc>
        <w:tc>
          <w:tcPr>
            <w:tcW w:type="dxa" w:w="2458"/>
            <w:tcMar>
              <w:top w:type="dxa" w:w="70"/>
              <w:left w:type="dxa" w:w="90"/>
              <w:bottom w:type="dxa" w:w="70"/>
              <w:right w:type="dxa" w:w="90"/>
            </w:tcMar>
            <w:vAlign w:val="top"/>
          </w:tcPr>
          <w:p>
            <w:r>
              <w:rPr>
                <w:b w:val="false"/>
                <w:bCs w:val="false"/>
                <w:color w:val="000000"/>
                <w:sz w:val="15"/>
                <w:szCs w:val="15"/>
              </w:rPr>
              <w:t xml:space="preserve">Programme &amp; Portfolio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3</w:t>
            </w:r>
          </w:p>
        </w:tc>
        <w:tc>
          <w:tcPr>
            <w:tcW w:type="dxa" w:w="2458"/>
            <w:tcMar>
              <w:top w:type="dxa" w:w="70"/>
              <w:left w:type="dxa" w:w="90"/>
              <w:bottom w:type="dxa" w:w="70"/>
              <w:right w:type="dxa" w:w="90"/>
            </w:tcMar>
            <w:vAlign w:val="top"/>
          </w:tcPr>
          <w:p>
            <w:r>
              <w:rPr>
                <w:b w:val="false"/>
                <w:bCs w:val="false"/>
                <w:color w:val="000000"/>
                <w:sz w:val="15"/>
                <w:szCs w:val="15"/>
              </w:rPr>
              <w:t xml:space="preserve">Projects</w:t>
            </w:r>
          </w:p>
        </w:tc>
        <w:tc>
          <w:tcPr>
            <w:tcW w:type="dxa" w:w="2458"/>
            <w:tcMar>
              <w:top w:type="dxa" w:w="70"/>
              <w:left w:type="dxa" w:w="90"/>
              <w:bottom w:type="dxa" w:w="70"/>
              <w:right w:type="dxa" w:w="90"/>
            </w:tcMar>
            <w:vAlign w:val="top"/>
          </w:tcPr>
          <w:p>
            <w:r>
              <w:rPr>
                <w:b w:val="false"/>
                <w:bCs w:val="false"/>
                <w:color w:val="000000"/>
                <w:sz w:val="15"/>
                <w:szCs w:val="15"/>
              </w:rPr>
              <w:t xml:space="preserve">Programme &amp; Portfolio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4</w:t>
            </w:r>
          </w:p>
        </w:tc>
        <w:tc>
          <w:tcPr>
            <w:tcW w:type="dxa" w:w="2458"/>
            <w:tcMar>
              <w:top w:type="dxa" w:w="70"/>
              <w:left w:type="dxa" w:w="90"/>
              <w:bottom w:type="dxa" w:w="70"/>
              <w:right w:type="dxa" w:w="90"/>
            </w:tcMar>
            <w:vAlign w:val="top"/>
          </w:tcPr>
          <w:p>
            <w:r>
              <w:rPr>
                <w:b w:val="false"/>
                <w:bCs w:val="false"/>
                <w:color w:val="000000"/>
                <w:sz w:val="15"/>
                <w:szCs w:val="15"/>
              </w:rPr>
              <w:t xml:space="preserve">Tasks</w:t>
            </w:r>
          </w:p>
        </w:tc>
        <w:tc>
          <w:tcPr>
            <w:tcW w:type="dxa" w:w="2458"/>
            <w:tcMar>
              <w:top w:type="dxa" w:w="70"/>
              <w:left w:type="dxa" w:w="90"/>
              <w:bottom w:type="dxa" w:w="70"/>
              <w:right w:type="dxa" w:w="90"/>
            </w:tcMar>
            <w:vAlign w:val="top"/>
          </w:tcPr>
          <w:p>
            <w:r>
              <w:rPr>
                <w:b w:val="false"/>
                <w:bCs w:val="false"/>
                <w:color w:val="000000"/>
                <w:sz w:val="15"/>
                <w:szCs w:val="15"/>
              </w:rPr>
              <w:t xml:space="preserve">Programme &amp; Portfolio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5</w:t>
            </w:r>
          </w:p>
        </w:tc>
        <w:tc>
          <w:tcPr>
            <w:tcW w:type="dxa" w:w="2458"/>
            <w:tcMar>
              <w:top w:type="dxa" w:w="70"/>
              <w:left w:type="dxa" w:w="90"/>
              <w:bottom w:type="dxa" w:w="70"/>
              <w:right w:type="dxa" w:w="90"/>
            </w:tcMar>
            <w:vAlign w:val="top"/>
          </w:tcPr>
          <w:p>
            <w:r>
              <w:rPr>
                <w:b w:val="false"/>
                <w:bCs w:val="false"/>
                <w:color w:val="000000"/>
                <w:sz w:val="15"/>
                <w:szCs w:val="15"/>
              </w:rPr>
              <w:t xml:space="preserve">Meetings</w:t>
            </w:r>
          </w:p>
        </w:tc>
        <w:tc>
          <w:tcPr>
            <w:tcW w:type="dxa" w:w="2458"/>
            <w:tcMar>
              <w:top w:type="dxa" w:w="70"/>
              <w:left w:type="dxa" w:w="90"/>
              <w:bottom w:type="dxa" w:w="70"/>
              <w:right w:type="dxa" w:w="90"/>
            </w:tcMar>
            <w:vAlign w:val="top"/>
          </w:tcPr>
          <w:p>
            <w:r>
              <w:rPr>
                <w:b w:val="false"/>
                <w:bCs w:val="false"/>
                <w:color w:val="000000"/>
                <w:sz w:val="15"/>
                <w:szCs w:val="15"/>
              </w:rPr>
              <w:t xml:space="preserve">Programme &amp; Portfolio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 / Collaboration Workspace</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6</w:t>
            </w:r>
          </w:p>
        </w:tc>
        <w:tc>
          <w:tcPr>
            <w:tcW w:type="dxa" w:w="2458"/>
            <w:tcMar>
              <w:top w:type="dxa" w:w="70"/>
              <w:left w:type="dxa" w:w="90"/>
              <w:bottom w:type="dxa" w:w="70"/>
              <w:right w:type="dxa" w:w="90"/>
            </w:tcMar>
            <w:vAlign w:val="top"/>
          </w:tcPr>
          <w:p>
            <w:r>
              <w:rPr>
                <w:b w:val="false"/>
                <w:bCs w:val="false"/>
                <w:color w:val="000000"/>
                <w:sz w:val="15"/>
                <w:szCs w:val="15"/>
              </w:rPr>
              <w:t xml:space="preserve">Calendar</w:t>
            </w:r>
          </w:p>
        </w:tc>
        <w:tc>
          <w:tcPr>
            <w:tcW w:type="dxa" w:w="2458"/>
            <w:tcMar>
              <w:top w:type="dxa" w:w="70"/>
              <w:left w:type="dxa" w:w="90"/>
              <w:bottom w:type="dxa" w:w="70"/>
              <w:right w:type="dxa" w:w="90"/>
            </w:tcMar>
            <w:vAlign w:val="top"/>
          </w:tcPr>
          <w:p>
            <w:r>
              <w:rPr>
                <w:b w:val="false"/>
                <w:bCs w:val="false"/>
                <w:color w:val="000000"/>
                <w:sz w:val="15"/>
                <w:szCs w:val="15"/>
              </w:rPr>
              <w:t xml:space="preserve">Programme &amp; Portfolio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7</w:t>
            </w:r>
          </w:p>
        </w:tc>
        <w:tc>
          <w:tcPr>
            <w:tcW w:type="dxa" w:w="2458"/>
            <w:tcMar>
              <w:top w:type="dxa" w:w="70"/>
              <w:left w:type="dxa" w:w="90"/>
              <w:bottom w:type="dxa" w:w="70"/>
              <w:right w:type="dxa" w:w="90"/>
            </w:tcMar>
            <w:vAlign w:val="top"/>
          </w:tcPr>
          <w:p>
            <w:r>
              <w:rPr>
                <w:b w:val="false"/>
                <w:bCs w:val="false"/>
                <w:color w:val="000000"/>
                <w:sz w:val="15"/>
                <w:szCs w:val="15"/>
              </w:rPr>
              <w:t xml:space="preserve">Workflow</w:t>
            </w:r>
          </w:p>
        </w:tc>
        <w:tc>
          <w:tcPr>
            <w:tcW w:type="dxa" w:w="2458"/>
            <w:tcMar>
              <w:top w:type="dxa" w:w="70"/>
              <w:left w:type="dxa" w:w="90"/>
              <w:bottom w:type="dxa" w:w="70"/>
              <w:right w:type="dxa" w:w="90"/>
            </w:tcMar>
            <w:vAlign w:val="top"/>
          </w:tcPr>
          <w:p>
            <w:r>
              <w:rPr>
                <w:b w:val="false"/>
                <w:bCs w:val="false"/>
                <w:color w:val="000000"/>
                <w:sz w:val="15"/>
                <w:szCs w:val="15"/>
              </w:rPr>
              <w:t xml:space="preserve">Workflow &amp; Approvals</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8</w:t>
            </w:r>
          </w:p>
        </w:tc>
        <w:tc>
          <w:tcPr>
            <w:tcW w:type="dxa" w:w="2458"/>
            <w:tcMar>
              <w:top w:type="dxa" w:w="70"/>
              <w:left w:type="dxa" w:w="90"/>
              <w:bottom w:type="dxa" w:w="70"/>
              <w:right w:type="dxa" w:w="90"/>
            </w:tcMar>
            <w:vAlign w:val="top"/>
          </w:tcPr>
          <w:p>
            <w:r>
              <w:rPr>
                <w:b w:val="false"/>
                <w:bCs w:val="false"/>
                <w:color w:val="000000"/>
                <w:sz w:val="15"/>
                <w:szCs w:val="15"/>
              </w:rPr>
              <w:t xml:space="preserve">Approvals</w:t>
            </w:r>
          </w:p>
        </w:tc>
        <w:tc>
          <w:tcPr>
            <w:tcW w:type="dxa" w:w="2458"/>
            <w:tcMar>
              <w:top w:type="dxa" w:w="70"/>
              <w:left w:type="dxa" w:w="90"/>
              <w:bottom w:type="dxa" w:w="70"/>
              <w:right w:type="dxa" w:w="90"/>
            </w:tcMar>
            <w:vAlign w:val="top"/>
          </w:tcPr>
          <w:p>
            <w:r>
              <w:rPr>
                <w:b w:val="false"/>
                <w:bCs w:val="false"/>
                <w:color w:val="000000"/>
                <w:sz w:val="15"/>
                <w:szCs w:val="15"/>
              </w:rPr>
              <w:t xml:space="preserve">Workflow &amp; Approvals</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9</w:t>
            </w:r>
          </w:p>
        </w:tc>
        <w:tc>
          <w:tcPr>
            <w:tcW w:type="dxa" w:w="2458"/>
            <w:tcMar>
              <w:top w:type="dxa" w:w="70"/>
              <w:left w:type="dxa" w:w="90"/>
              <w:bottom w:type="dxa" w:w="70"/>
              <w:right w:type="dxa" w:w="90"/>
            </w:tcMar>
            <w:vAlign w:val="top"/>
          </w:tcPr>
          <w:p>
            <w:r>
              <w:rPr>
                <w:b w:val="false"/>
                <w:bCs w:val="false"/>
                <w:color w:val="000000"/>
                <w:sz w:val="15"/>
                <w:szCs w:val="15"/>
              </w:rPr>
              <w:t xml:space="preserve">Document Management</w:t>
            </w:r>
          </w:p>
        </w:tc>
        <w:tc>
          <w:tcPr>
            <w:tcW w:type="dxa" w:w="2458"/>
            <w:tcMar>
              <w:top w:type="dxa" w:w="70"/>
              <w:left w:type="dxa" w:w="90"/>
              <w:bottom w:type="dxa" w:w="70"/>
              <w:right w:type="dxa" w:w="90"/>
            </w:tcMar>
            <w:vAlign w:val="top"/>
          </w:tcPr>
          <w:p>
            <w:r>
              <w:rPr>
                <w:b w:val="false"/>
                <w:bCs w:val="false"/>
                <w:color w:val="000000"/>
                <w:sz w:val="15"/>
                <w:szCs w:val="15"/>
              </w:rPr>
              <w:t xml:space="preserve">Document &amp; Content Management</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10</w:t>
            </w:r>
          </w:p>
        </w:tc>
        <w:tc>
          <w:tcPr>
            <w:tcW w:type="dxa" w:w="2458"/>
            <w:tcMar>
              <w:top w:type="dxa" w:w="70"/>
              <w:left w:type="dxa" w:w="90"/>
              <w:bottom w:type="dxa" w:w="70"/>
              <w:right w:type="dxa" w:w="90"/>
            </w:tcMar>
            <w:vAlign w:val="top"/>
          </w:tcPr>
          <w:p>
            <w:r>
              <w:rPr>
                <w:b w:val="false"/>
                <w:bCs w:val="false"/>
                <w:color w:val="000000"/>
                <w:sz w:val="15"/>
                <w:szCs w:val="15"/>
              </w:rPr>
              <w:t xml:space="preserve">Knowledge Repository</w:t>
            </w:r>
          </w:p>
        </w:tc>
        <w:tc>
          <w:tcPr>
            <w:tcW w:type="dxa" w:w="2458"/>
            <w:tcMar>
              <w:top w:type="dxa" w:w="70"/>
              <w:left w:type="dxa" w:w="90"/>
              <w:bottom w:type="dxa" w:w="70"/>
              <w:right w:type="dxa" w:w="90"/>
            </w:tcMar>
            <w:vAlign w:val="top"/>
          </w:tcPr>
          <w:p>
            <w:r>
              <w:rPr>
                <w:b w:val="false"/>
                <w:bCs w:val="false"/>
                <w:color w:val="000000"/>
                <w:sz w:val="15"/>
                <w:szCs w:val="15"/>
              </w:rPr>
              <w:t xml:space="preserve">Knowledge Management</w:t>
            </w:r>
          </w:p>
        </w:tc>
        <w:tc>
          <w:tcPr>
            <w:tcW w:type="dxa" w:w="2867"/>
            <w:tcMar>
              <w:top w:type="dxa" w:w="70"/>
              <w:left w:type="dxa" w:w="90"/>
              <w:bottom w:type="dxa" w:w="70"/>
              <w:right w:type="dxa" w:w="90"/>
            </w:tcMar>
            <w:vAlign w:val="top"/>
          </w:tcPr>
          <w:p>
            <w:r>
              <w:rPr>
                <w:b w:val="false"/>
                <w:bCs w:val="false"/>
                <w:color w:val="000000"/>
                <w:sz w:val="15"/>
                <w:szCs w:val="15"/>
              </w:rPr>
              <w:t xml:space="preserve">CKR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11</w:t>
            </w:r>
          </w:p>
        </w:tc>
        <w:tc>
          <w:tcPr>
            <w:tcW w:type="dxa" w:w="2458"/>
            <w:tcMar>
              <w:top w:type="dxa" w:w="70"/>
              <w:left w:type="dxa" w:w="90"/>
              <w:bottom w:type="dxa" w:w="70"/>
              <w:right w:type="dxa" w:w="90"/>
            </w:tcMar>
            <w:vAlign w:val="top"/>
          </w:tcPr>
          <w:p>
            <w:r>
              <w:rPr>
                <w:b w:val="false"/>
                <w:bCs w:val="false"/>
                <w:color w:val="000000"/>
                <w:sz w:val="15"/>
                <w:szCs w:val="15"/>
              </w:rPr>
              <w:t xml:space="preserve">Media Library</w:t>
            </w:r>
          </w:p>
        </w:tc>
        <w:tc>
          <w:tcPr>
            <w:tcW w:type="dxa" w:w="2458"/>
            <w:tcMar>
              <w:top w:type="dxa" w:w="70"/>
              <w:left w:type="dxa" w:w="90"/>
              <w:bottom w:type="dxa" w:w="70"/>
              <w:right w:type="dxa" w:w="90"/>
            </w:tcMar>
            <w:vAlign w:val="top"/>
          </w:tcPr>
          <w:p>
            <w:r>
              <w:rPr>
                <w:b w:val="false"/>
                <w:bCs w:val="false"/>
                <w:color w:val="000000"/>
                <w:sz w:val="15"/>
                <w:szCs w:val="15"/>
              </w:rPr>
              <w:t xml:space="preserve">Knowledge Management</w:t>
            </w:r>
          </w:p>
        </w:tc>
        <w:tc>
          <w:tcPr>
            <w:tcW w:type="dxa" w:w="2867"/>
            <w:tcMar>
              <w:top w:type="dxa" w:w="70"/>
              <w:left w:type="dxa" w:w="90"/>
              <w:bottom w:type="dxa" w:w="70"/>
              <w:right w:type="dxa" w:w="90"/>
            </w:tcMar>
            <w:vAlign w:val="top"/>
          </w:tcPr>
          <w:p>
            <w:r>
              <w:rPr>
                <w:b w:val="false"/>
                <w:bCs w:val="false"/>
                <w:color w:val="000000"/>
                <w:sz w:val="15"/>
                <w:szCs w:val="15"/>
              </w:rPr>
              <w:t xml:space="preserve">CKR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12</w:t>
            </w:r>
          </w:p>
        </w:tc>
        <w:tc>
          <w:tcPr>
            <w:tcW w:type="dxa" w:w="2458"/>
            <w:tcMar>
              <w:top w:type="dxa" w:w="70"/>
              <w:left w:type="dxa" w:w="90"/>
              <w:bottom w:type="dxa" w:w="70"/>
              <w:right w:type="dxa" w:w="90"/>
            </w:tcMar>
            <w:vAlign w:val="top"/>
          </w:tcPr>
          <w:p>
            <w:r>
              <w:rPr>
                <w:b w:val="false"/>
                <w:bCs w:val="false"/>
                <w:color w:val="000000"/>
                <w:sz w:val="15"/>
                <w:szCs w:val="15"/>
              </w:rPr>
              <w:t xml:space="preserve">Reports</w:t>
            </w:r>
          </w:p>
        </w:tc>
        <w:tc>
          <w:tcPr>
            <w:tcW w:type="dxa" w:w="2458"/>
            <w:tcMar>
              <w:top w:type="dxa" w:w="70"/>
              <w:left w:type="dxa" w:w="90"/>
              <w:bottom w:type="dxa" w:w="70"/>
              <w:right w:type="dxa" w:w="90"/>
            </w:tcMar>
            <w:vAlign w:val="top"/>
          </w:tcPr>
          <w:p>
            <w:r>
              <w:rPr>
                <w:b w:val="false"/>
                <w:bCs w:val="false"/>
                <w:color w:val="000000"/>
                <w:sz w:val="15"/>
                <w:szCs w:val="15"/>
              </w:rPr>
              <w:t xml:space="preserve">Monitoring, Evaluation &amp; Reporting</w:t>
            </w:r>
          </w:p>
        </w:tc>
        <w:tc>
          <w:tcPr>
            <w:tcW w:type="dxa" w:w="2867"/>
            <w:tcMar>
              <w:top w:type="dxa" w:w="70"/>
              <w:left w:type="dxa" w:w="90"/>
              <w:bottom w:type="dxa" w:w="70"/>
              <w:right w:type="dxa" w:w="90"/>
            </w:tcMar>
            <w:vAlign w:val="top"/>
          </w:tcPr>
          <w:p>
            <w:r>
              <w:rPr>
                <w:b w:val="false"/>
                <w:bCs w:val="false"/>
                <w:color w:val="000000"/>
                <w:sz w:val="15"/>
                <w:szCs w:val="15"/>
              </w:rPr>
              <w:t xml:space="preserve">Reporting &amp; BI Application</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13</w:t>
            </w:r>
          </w:p>
        </w:tc>
        <w:tc>
          <w:tcPr>
            <w:tcW w:type="dxa" w:w="2458"/>
            <w:tcMar>
              <w:top w:type="dxa" w:w="70"/>
              <w:left w:type="dxa" w:w="90"/>
              <w:bottom w:type="dxa" w:w="70"/>
              <w:right w:type="dxa" w:w="90"/>
            </w:tcMar>
            <w:vAlign w:val="top"/>
          </w:tcPr>
          <w:p>
            <w:r>
              <w:rPr>
                <w:b w:val="false"/>
                <w:bCs w:val="false"/>
                <w:color w:val="000000"/>
                <w:sz w:val="15"/>
                <w:szCs w:val="15"/>
              </w:rPr>
              <w:t xml:space="preserve">Analytics</w:t>
            </w:r>
          </w:p>
        </w:tc>
        <w:tc>
          <w:tcPr>
            <w:tcW w:type="dxa" w:w="2458"/>
            <w:tcMar>
              <w:top w:type="dxa" w:w="70"/>
              <w:left w:type="dxa" w:w="90"/>
              <w:bottom w:type="dxa" w:w="70"/>
              <w:right w:type="dxa" w:w="90"/>
            </w:tcMar>
            <w:vAlign w:val="top"/>
          </w:tcPr>
          <w:p>
            <w:r>
              <w:rPr>
                <w:b w:val="false"/>
                <w:bCs w:val="false"/>
                <w:color w:val="000000"/>
                <w:sz w:val="15"/>
                <w:szCs w:val="15"/>
              </w:rPr>
              <w:t xml:space="preserve">Monitoring, Evaluation &amp; Reporting</w:t>
            </w:r>
          </w:p>
        </w:tc>
        <w:tc>
          <w:tcPr>
            <w:tcW w:type="dxa" w:w="2867"/>
            <w:tcMar>
              <w:top w:type="dxa" w:w="70"/>
              <w:left w:type="dxa" w:w="90"/>
              <w:bottom w:type="dxa" w:w="70"/>
              <w:right w:type="dxa" w:w="90"/>
            </w:tcMar>
            <w:vAlign w:val="top"/>
          </w:tcPr>
          <w:p>
            <w:r>
              <w:rPr>
                <w:b w:val="false"/>
                <w:bCs w:val="false"/>
                <w:color w:val="000000"/>
                <w:sz w:val="15"/>
                <w:szCs w:val="15"/>
              </w:rPr>
              <w:t xml:space="preserve">Reporting &amp; BI Application</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14</w:t>
            </w:r>
          </w:p>
        </w:tc>
        <w:tc>
          <w:tcPr>
            <w:tcW w:type="dxa" w:w="2458"/>
            <w:tcMar>
              <w:top w:type="dxa" w:w="70"/>
              <w:left w:type="dxa" w:w="90"/>
              <w:bottom w:type="dxa" w:w="70"/>
              <w:right w:type="dxa" w:w="90"/>
            </w:tcMar>
            <w:vAlign w:val="top"/>
          </w:tcPr>
          <w:p>
            <w:r>
              <w:rPr>
                <w:b w:val="false"/>
                <w:bCs w:val="false"/>
                <w:color w:val="000000"/>
                <w:sz w:val="15"/>
                <w:szCs w:val="15"/>
              </w:rPr>
              <w:t xml:space="preserve">Business Intelligence</w:t>
            </w:r>
          </w:p>
        </w:tc>
        <w:tc>
          <w:tcPr>
            <w:tcW w:type="dxa" w:w="2458"/>
            <w:tcMar>
              <w:top w:type="dxa" w:w="70"/>
              <w:left w:type="dxa" w:w="90"/>
              <w:bottom w:type="dxa" w:w="70"/>
              <w:right w:type="dxa" w:w="90"/>
            </w:tcMar>
            <w:vAlign w:val="top"/>
          </w:tcPr>
          <w:p>
            <w:r>
              <w:rPr>
                <w:b w:val="false"/>
                <w:bCs w:val="false"/>
                <w:color w:val="000000"/>
                <w:sz w:val="15"/>
                <w:szCs w:val="15"/>
              </w:rPr>
              <w:t xml:space="preserve">Monitoring, Evaluation &amp; Reporting</w:t>
            </w:r>
          </w:p>
        </w:tc>
        <w:tc>
          <w:tcPr>
            <w:tcW w:type="dxa" w:w="2867"/>
            <w:tcMar>
              <w:top w:type="dxa" w:w="70"/>
              <w:left w:type="dxa" w:w="90"/>
              <w:bottom w:type="dxa" w:w="70"/>
              <w:right w:type="dxa" w:w="90"/>
            </w:tcMar>
            <w:vAlign w:val="top"/>
          </w:tcPr>
          <w:p>
            <w:r>
              <w:rPr>
                <w:b w:val="false"/>
                <w:bCs w:val="false"/>
                <w:color w:val="000000"/>
                <w:sz w:val="15"/>
                <w:szCs w:val="15"/>
              </w:rPr>
              <w:t xml:space="preserve">Reporting &amp; BI Application</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15</w:t>
            </w:r>
          </w:p>
        </w:tc>
        <w:tc>
          <w:tcPr>
            <w:tcW w:type="dxa" w:w="2458"/>
            <w:tcMar>
              <w:top w:type="dxa" w:w="70"/>
              <w:left w:type="dxa" w:w="90"/>
              <w:bottom w:type="dxa" w:w="70"/>
              <w:right w:type="dxa" w:w="90"/>
            </w:tcMar>
            <w:vAlign w:val="top"/>
          </w:tcPr>
          <w:p>
            <w:r>
              <w:rPr>
                <w:b w:val="false"/>
                <w:bCs w:val="false"/>
                <w:color w:val="000000"/>
                <w:sz w:val="15"/>
                <w:szCs w:val="15"/>
              </w:rPr>
              <w:t xml:space="preserve">Search</w:t>
            </w:r>
          </w:p>
        </w:tc>
        <w:tc>
          <w:tcPr>
            <w:tcW w:type="dxa" w:w="2458"/>
            <w:tcMar>
              <w:top w:type="dxa" w:w="70"/>
              <w:left w:type="dxa" w:w="90"/>
              <w:bottom w:type="dxa" w:w="70"/>
              <w:right w:type="dxa" w:w="90"/>
            </w:tcMar>
            <w:vAlign w:val="top"/>
          </w:tcPr>
          <w:p>
            <w:r>
              <w:rPr>
                <w:b w:val="false"/>
                <w:bCs w:val="false"/>
                <w:color w:val="000000"/>
                <w:sz w:val="15"/>
                <w:szCs w:val="15"/>
              </w:rPr>
              <w:t xml:space="preserve">Cross-cutting</w:t>
            </w:r>
          </w:p>
        </w:tc>
        <w:tc>
          <w:tcPr>
            <w:tcW w:type="dxa" w:w="2867"/>
            <w:tcMar>
              <w:top w:type="dxa" w:w="70"/>
              <w:left w:type="dxa" w:w="90"/>
              <w:bottom w:type="dxa" w:w="70"/>
              <w:right w:type="dxa" w:w="90"/>
            </w:tcMar>
            <w:vAlign w:val="top"/>
          </w:tcPr>
          <w:p>
            <w:r>
              <w:rPr>
                <w:b w:val="false"/>
                <w:bCs w:val="false"/>
                <w:color w:val="000000"/>
                <w:sz w:val="15"/>
                <w:szCs w:val="15"/>
              </w:rPr>
              <w:t xml:space="preserve">Enterprise Search Service</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16</w:t>
            </w:r>
          </w:p>
        </w:tc>
        <w:tc>
          <w:tcPr>
            <w:tcW w:type="dxa" w:w="2458"/>
            <w:tcMar>
              <w:top w:type="dxa" w:w="70"/>
              <w:left w:type="dxa" w:w="90"/>
              <w:bottom w:type="dxa" w:w="70"/>
              <w:right w:type="dxa" w:w="90"/>
            </w:tcMar>
            <w:vAlign w:val="top"/>
          </w:tcPr>
          <w:p>
            <w:r>
              <w:rPr>
                <w:b w:val="false"/>
                <w:bCs w:val="false"/>
                <w:color w:val="000000"/>
                <w:sz w:val="15"/>
                <w:szCs w:val="15"/>
              </w:rPr>
              <w:t xml:space="preserve">Administration</w:t>
            </w:r>
          </w:p>
        </w:tc>
        <w:tc>
          <w:tcPr>
            <w:tcW w:type="dxa" w:w="2458"/>
            <w:tcMar>
              <w:top w:type="dxa" w:w="70"/>
              <w:left w:type="dxa" w:w="90"/>
              <w:bottom w:type="dxa" w:w="70"/>
              <w:right w:type="dxa" w:w="90"/>
            </w:tcMar>
            <w:vAlign w:val="top"/>
          </w:tcPr>
          <w:p>
            <w:r>
              <w:rPr>
                <w:b w:val="false"/>
                <w:bCs w:val="false"/>
                <w:color w:val="000000"/>
                <w:sz w:val="15"/>
                <w:szCs w:val="15"/>
              </w:rPr>
              <w:t xml:space="preserve">Technology &amp; Platform Operations</w:t>
            </w:r>
          </w:p>
        </w:tc>
        <w:tc>
          <w:tcPr>
            <w:tcW w:type="dxa" w:w="2867"/>
            <w:tcMar>
              <w:top w:type="dxa" w:w="70"/>
              <w:left w:type="dxa" w:w="90"/>
              <w:bottom w:type="dxa" w:w="70"/>
              <w:right w:type="dxa" w:w="90"/>
            </w:tcMar>
            <w:vAlign w:val="top"/>
          </w:tcPr>
          <w:p>
            <w:r>
              <w:rPr>
                <w:b w:val="false"/>
                <w:bCs w:val="false"/>
                <w:color w:val="000000"/>
                <w:sz w:val="15"/>
                <w:szCs w:val="15"/>
              </w:rPr>
              <w:t xml:space="preserve">Governance &amp; Administration Console</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17</w:t>
            </w:r>
          </w:p>
        </w:tc>
        <w:tc>
          <w:tcPr>
            <w:tcW w:type="dxa" w:w="2458"/>
            <w:tcMar>
              <w:top w:type="dxa" w:w="70"/>
              <w:left w:type="dxa" w:w="90"/>
              <w:bottom w:type="dxa" w:w="70"/>
              <w:right w:type="dxa" w:w="90"/>
            </w:tcMar>
            <w:vAlign w:val="top"/>
          </w:tcPr>
          <w:p>
            <w:r>
              <w:rPr>
                <w:b w:val="false"/>
                <w:bCs w:val="false"/>
                <w:color w:val="000000"/>
                <w:sz w:val="15"/>
                <w:szCs w:val="15"/>
              </w:rPr>
              <w:t xml:space="preserve">Identity Management</w:t>
            </w:r>
          </w:p>
        </w:tc>
        <w:tc>
          <w:tcPr>
            <w:tcW w:type="dxa" w:w="2458"/>
            <w:tcMar>
              <w:top w:type="dxa" w:w="70"/>
              <w:left w:type="dxa" w:w="90"/>
              <w:bottom w:type="dxa" w:w="70"/>
              <w:right w:type="dxa" w:w="90"/>
            </w:tcMar>
            <w:vAlign w:val="top"/>
          </w:tcPr>
          <w:p>
            <w:r>
              <w:rPr>
                <w:b w:val="false"/>
                <w:bCs w:val="false"/>
                <w:color w:val="000000"/>
                <w:sz w:val="15"/>
                <w:szCs w:val="15"/>
              </w:rPr>
              <w:t xml:space="preserve">Governance, Risk &amp; Compliance</w:t>
            </w:r>
          </w:p>
        </w:tc>
        <w:tc>
          <w:tcPr>
            <w:tcW w:type="dxa" w:w="2867"/>
            <w:tcMar>
              <w:top w:type="dxa" w:w="70"/>
              <w:left w:type="dxa" w:w="90"/>
              <w:bottom w:type="dxa" w:w="70"/>
              <w:right w:type="dxa" w:w="90"/>
            </w:tcMar>
            <w:vAlign w:val="top"/>
          </w:tcPr>
          <w:p>
            <w:r>
              <w:rPr>
                <w:b w:val="false"/>
                <w:bCs w:val="false"/>
                <w:color w:val="000000"/>
                <w:sz w:val="15"/>
                <w:szCs w:val="15"/>
              </w:rPr>
              <w:t xml:space="preserve">IAM Service</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18</w:t>
            </w:r>
          </w:p>
        </w:tc>
        <w:tc>
          <w:tcPr>
            <w:tcW w:type="dxa" w:w="2458"/>
            <w:tcMar>
              <w:top w:type="dxa" w:w="70"/>
              <w:left w:type="dxa" w:w="90"/>
              <w:bottom w:type="dxa" w:w="70"/>
              <w:right w:type="dxa" w:w="90"/>
            </w:tcMar>
            <w:vAlign w:val="top"/>
          </w:tcPr>
          <w:p>
            <w:r>
              <w:rPr>
                <w:b w:val="false"/>
                <w:bCs w:val="false"/>
                <w:color w:val="000000"/>
                <w:sz w:val="15"/>
                <w:szCs w:val="15"/>
              </w:rPr>
              <w:t xml:space="preserve">Notifications</w:t>
            </w:r>
          </w:p>
        </w:tc>
        <w:tc>
          <w:tcPr>
            <w:tcW w:type="dxa" w:w="2458"/>
            <w:tcMar>
              <w:top w:type="dxa" w:w="70"/>
              <w:left w:type="dxa" w:w="90"/>
              <w:bottom w:type="dxa" w:w="70"/>
              <w:right w:type="dxa" w:w="90"/>
            </w:tcMar>
            <w:vAlign w:val="top"/>
          </w:tcPr>
          <w:p>
            <w:r>
              <w:rPr>
                <w:b w:val="false"/>
                <w:bCs w:val="false"/>
                <w:color w:val="000000"/>
                <w:sz w:val="15"/>
                <w:szCs w:val="15"/>
              </w:rPr>
              <w:t xml:space="preserve">Cross-cutting</w:t>
            </w:r>
          </w:p>
        </w:tc>
        <w:tc>
          <w:tcPr>
            <w:tcW w:type="dxa" w:w="2867"/>
            <w:tcMar>
              <w:top w:type="dxa" w:w="70"/>
              <w:left w:type="dxa" w:w="90"/>
              <w:bottom w:type="dxa" w:w="70"/>
              <w:right w:type="dxa" w:w="90"/>
            </w:tcMar>
            <w:vAlign w:val="top"/>
          </w:tcPr>
          <w:p>
            <w:r>
              <w:rPr>
                <w:b w:val="false"/>
                <w:bCs w:val="false"/>
                <w:color w:val="000000"/>
                <w:sz w:val="15"/>
                <w:szCs w:val="15"/>
              </w:rPr>
              <w:t xml:space="preserve">Notification &amp; Messaging Service</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19</w:t>
            </w:r>
          </w:p>
        </w:tc>
        <w:tc>
          <w:tcPr>
            <w:tcW w:type="dxa" w:w="2458"/>
            <w:tcMar>
              <w:top w:type="dxa" w:w="70"/>
              <w:left w:type="dxa" w:w="90"/>
              <w:bottom w:type="dxa" w:w="70"/>
              <w:right w:type="dxa" w:w="90"/>
            </w:tcMar>
            <w:vAlign w:val="top"/>
          </w:tcPr>
          <w:p>
            <w:r>
              <w:rPr>
                <w:b w:val="false"/>
                <w:bCs w:val="false"/>
                <w:color w:val="000000"/>
                <w:sz w:val="15"/>
                <w:szCs w:val="15"/>
              </w:rPr>
              <w:t xml:space="preserve">Settings</w:t>
            </w:r>
          </w:p>
        </w:tc>
        <w:tc>
          <w:tcPr>
            <w:tcW w:type="dxa" w:w="2458"/>
            <w:tcMar>
              <w:top w:type="dxa" w:w="70"/>
              <w:left w:type="dxa" w:w="90"/>
              <w:bottom w:type="dxa" w:w="70"/>
              <w:right w:type="dxa" w:w="90"/>
            </w:tcMar>
            <w:vAlign w:val="top"/>
          </w:tcPr>
          <w:p>
            <w:r>
              <w:rPr>
                <w:b w:val="false"/>
                <w:bCs w:val="false"/>
                <w:color w:val="000000"/>
                <w:sz w:val="15"/>
                <w:szCs w:val="15"/>
              </w:rPr>
              <w:t xml:space="preserve">Technology &amp; Platform Operations</w:t>
            </w:r>
          </w:p>
        </w:tc>
        <w:tc>
          <w:tcPr>
            <w:tcW w:type="dxa" w:w="2867"/>
            <w:tcMar>
              <w:top w:type="dxa" w:w="70"/>
              <w:left w:type="dxa" w:w="90"/>
              <w:bottom w:type="dxa" w:w="70"/>
              <w:right w:type="dxa" w:w="90"/>
            </w:tcMar>
            <w:vAlign w:val="top"/>
          </w:tcPr>
          <w:p>
            <w:r>
              <w:rPr>
                <w:b w:val="false"/>
                <w:bCs w:val="false"/>
                <w:color w:val="000000"/>
                <w:sz w:val="15"/>
                <w:szCs w:val="15"/>
              </w:rPr>
              <w:t xml:space="preserve">Governance &amp; Administration Console</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20</w:t>
            </w:r>
          </w:p>
        </w:tc>
        <w:tc>
          <w:tcPr>
            <w:tcW w:type="dxa" w:w="2458"/>
            <w:tcMar>
              <w:top w:type="dxa" w:w="70"/>
              <w:left w:type="dxa" w:w="90"/>
              <w:bottom w:type="dxa" w:w="70"/>
              <w:right w:type="dxa" w:w="90"/>
            </w:tcMar>
            <w:vAlign w:val="top"/>
          </w:tcPr>
          <w:p>
            <w:r>
              <w:rPr>
                <w:b w:val="false"/>
                <w:bCs w:val="false"/>
                <w:color w:val="000000"/>
                <w:sz w:val="15"/>
                <w:szCs w:val="15"/>
              </w:rPr>
              <w:t xml:space="preserve">Audit</w:t>
            </w:r>
          </w:p>
        </w:tc>
        <w:tc>
          <w:tcPr>
            <w:tcW w:type="dxa" w:w="2458"/>
            <w:tcMar>
              <w:top w:type="dxa" w:w="70"/>
              <w:left w:type="dxa" w:w="90"/>
              <w:bottom w:type="dxa" w:w="70"/>
              <w:right w:type="dxa" w:w="90"/>
            </w:tcMar>
            <w:vAlign w:val="top"/>
          </w:tcPr>
          <w:p>
            <w:r>
              <w:rPr>
                <w:b w:val="false"/>
                <w:bCs w:val="false"/>
                <w:color w:val="000000"/>
                <w:sz w:val="15"/>
                <w:szCs w:val="15"/>
              </w:rPr>
              <w:t xml:space="preserve">Governance, Risk &amp; Compliance</w:t>
            </w:r>
          </w:p>
        </w:tc>
        <w:tc>
          <w:tcPr>
            <w:tcW w:type="dxa" w:w="2867"/>
            <w:tcMar>
              <w:top w:type="dxa" w:w="70"/>
              <w:left w:type="dxa" w:w="90"/>
              <w:bottom w:type="dxa" w:w="70"/>
              <w:right w:type="dxa" w:w="90"/>
            </w:tcMar>
            <w:vAlign w:val="top"/>
          </w:tcPr>
          <w:p>
            <w:r>
              <w:rPr>
                <w:b w:val="false"/>
                <w:bCs w:val="false"/>
                <w:color w:val="000000"/>
                <w:sz w:val="15"/>
                <w:szCs w:val="15"/>
              </w:rPr>
              <w:t xml:space="preserve">Governance &amp; Administration Console</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r>
        <w:tc>
          <w:tcPr>
            <w:tcW w:type="dxa" w:w="512"/>
            <w:tcMar>
              <w:top w:type="dxa" w:w="70"/>
              <w:left w:type="dxa" w:w="90"/>
              <w:bottom w:type="dxa" w:w="70"/>
              <w:right w:type="dxa" w:w="90"/>
            </w:tcMar>
            <w:vAlign w:val="top"/>
          </w:tcPr>
          <w:p>
            <w:r>
              <w:rPr>
                <w:b/>
                <w:bCs/>
                <w:color w:val="000000"/>
                <w:sz w:val="15"/>
                <w:szCs w:val="15"/>
              </w:rPr>
              <w:t xml:space="preserve">21</w:t>
            </w:r>
          </w:p>
        </w:tc>
        <w:tc>
          <w:tcPr>
            <w:tcW w:type="dxa" w:w="2458"/>
            <w:tcMar>
              <w:top w:type="dxa" w:w="70"/>
              <w:left w:type="dxa" w:w="90"/>
              <w:bottom w:type="dxa" w:w="70"/>
              <w:right w:type="dxa" w:w="90"/>
            </w:tcMar>
            <w:vAlign w:val="top"/>
          </w:tcPr>
          <w:p>
            <w:r>
              <w:rPr>
                <w:b w:val="false"/>
                <w:bCs w:val="false"/>
                <w:color w:val="000000"/>
                <w:sz w:val="15"/>
                <w:szCs w:val="15"/>
              </w:rPr>
              <w:t xml:space="preserve">Risk Register</w:t>
            </w:r>
          </w:p>
        </w:tc>
        <w:tc>
          <w:tcPr>
            <w:tcW w:type="dxa" w:w="2458"/>
            <w:tcMar>
              <w:top w:type="dxa" w:w="70"/>
              <w:left w:type="dxa" w:w="90"/>
              <w:bottom w:type="dxa" w:w="70"/>
              <w:right w:type="dxa" w:w="90"/>
            </w:tcMar>
            <w:vAlign w:val="top"/>
          </w:tcPr>
          <w:p>
            <w:r>
              <w:rPr>
                <w:b w:val="false"/>
                <w:bCs w:val="false"/>
                <w:color w:val="000000"/>
                <w:sz w:val="15"/>
                <w:szCs w:val="15"/>
              </w:rPr>
              <w:t xml:space="preserve">Governance, Risk &amp; Compliance</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22</w:t>
            </w:r>
          </w:p>
        </w:tc>
        <w:tc>
          <w:tcPr>
            <w:tcW w:type="dxa" w:w="2458"/>
            <w:tcMar>
              <w:top w:type="dxa" w:w="70"/>
              <w:left w:type="dxa" w:w="90"/>
              <w:bottom w:type="dxa" w:w="70"/>
              <w:right w:type="dxa" w:w="90"/>
            </w:tcMar>
            <w:vAlign w:val="top"/>
          </w:tcPr>
          <w:p>
            <w:r>
              <w:rPr>
                <w:b w:val="false"/>
                <w:bCs w:val="false"/>
                <w:color w:val="000000"/>
                <w:sz w:val="15"/>
                <w:szCs w:val="15"/>
              </w:rPr>
              <w:t xml:space="preserve">Issue Register</w:t>
            </w:r>
          </w:p>
        </w:tc>
        <w:tc>
          <w:tcPr>
            <w:tcW w:type="dxa" w:w="2458"/>
            <w:tcMar>
              <w:top w:type="dxa" w:w="70"/>
              <w:left w:type="dxa" w:w="90"/>
              <w:bottom w:type="dxa" w:w="70"/>
              <w:right w:type="dxa" w:w="90"/>
            </w:tcMar>
            <w:vAlign w:val="top"/>
          </w:tcPr>
          <w:p>
            <w:r>
              <w:rPr>
                <w:b w:val="false"/>
                <w:bCs w:val="false"/>
                <w:color w:val="000000"/>
                <w:sz w:val="15"/>
                <w:szCs w:val="15"/>
              </w:rPr>
              <w:t xml:space="preserve">Governance, Risk &amp; Compliance</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23</w:t>
            </w:r>
          </w:p>
        </w:tc>
        <w:tc>
          <w:tcPr>
            <w:tcW w:type="dxa" w:w="2458"/>
            <w:tcMar>
              <w:top w:type="dxa" w:w="70"/>
              <w:left w:type="dxa" w:w="90"/>
              <w:bottom w:type="dxa" w:w="70"/>
              <w:right w:type="dxa" w:w="90"/>
            </w:tcMar>
            <w:vAlign w:val="top"/>
          </w:tcPr>
          <w:p>
            <w:r>
              <w:rPr>
                <w:b w:val="false"/>
                <w:bCs w:val="false"/>
                <w:color w:val="000000"/>
                <w:sz w:val="15"/>
                <w:szCs w:val="15"/>
              </w:rPr>
              <w:t xml:space="preserve">Decision Register</w:t>
            </w:r>
          </w:p>
        </w:tc>
        <w:tc>
          <w:tcPr>
            <w:tcW w:type="dxa" w:w="2458"/>
            <w:tcMar>
              <w:top w:type="dxa" w:w="70"/>
              <w:left w:type="dxa" w:w="90"/>
              <w:bottom w:type="dxa" w:w="70"/>
              <w:right w:type="dxa" w:w="90"/>
            </w:tcMar>
            <w:vAlign w:val="top"/>
          </w:tcPr>
          <w:p>
            <w:r>
              <w:rPr>
                <w:b w:val="false"/>
                <w:bCs w:val="false"/>
                <w:color w:val="000000"/>
                <w:sz w:val="15"/>
                <w:szCs w:val="15"/>
              </w:rPr>
              <w:t xml:space="preserve">Governance, Risk &amp; Compliance</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24</w:t>
            </w:r>
          </w:p>
        </w:tc>
        <w:tc>
          <w:tcPr>
            <w:tcW w:type="dxa" w:w="2458"/>
            <w:tcMar>
              <w:top w:type="dxa" w:w="70"/>
              <w:left w:type="dxa" w:w="90"/>
              <w:bottom w:type="dxa" w:w="70"/>
              <w:right w:type="dxa" w:w="90"/>
            </w:tcMar>
            <w:vAlign w:val="top"/>
          </w:tcPr>
          <w:p>
            <w:r>
              <w:rPr>
                <w:b w:val="false"/>
                <w:bCs w:val="false"/>
                <w:color w:val="000000"/>
                <w:sz w:val="15"/>
                <w:szCs w:val="15"/>
              </w:rPr>
              <w:t xml:space="preserve">Training</w:t>
            </w:r>
          </w:p>
        </w:tc>
        <w:tc>
          <w:tcPr>
            <w:tcW w:type="dxa" w:w="2458"/>
            <w:tcMar>
              <w:top w:type="dxa" w:w="70"/>
              <w:left w:type="dxa" w:w="90"/>
              <w:bottom w:type="dxa" w:w="70"/>
              <w:right w:type="dxa" w:w="90"/>
            </w:tcMar>
            <w:vAlign w:val="top"/>
          </w:tcPr>
          <w:p>
            <w:r>
              <w:rPr>
                <w:b w:val="false"/>
                <w:bCs w:val="false"/>
                <w:color w:val="000000"/>
                <w:sz w:val="15"/>
                <w:szCs w:val="15"/>
              </w:rPr>
              <w:t xml:space="preserve">Stakeholder Engagement &amp; Collaboration</w:t>
            </w:r>
          </w:p>
        </w:tc>
        <w:tc>
          <w:tcPr>
            <w:tcW w:type="dxa" w:w="2867"/>
            <w:tcMar>
              <w:top w:type="dxa" w:w="70"/>
              <w:left w:type="dxa" w:w="90"/>
              <w:bottom w:type="dxa" w:w="70"/>
              <w:right w:type="dxa" w:w="90"/>
            </w:tcMar>
            <w:vAlign w:val="top"/>
          </w:tcPr>
          <w:p>
            <w:r>
              <w:rPr>
                <w:b w:val="false"/>
                <w:bCs w:val="false"/>
                <w:color w:val="000000"/>
                <w:sz w:val="15"/>
                <w:szCs w:val="15"/>
              </w:rPr>
              <w:t xml:space="preserve">Collaboration &amp; Training Workspace</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25</w:t>
            </w:r>
          </w:p>
        </w:tc>
        <w:tc>
          <w:tcPr>
            <w:tcW w:type="dxa" w:w="2458"/>
            <w:tcMar>
              <w:top w:type="dxa" w:w="70"/>
              <w:left w:type="dxa" w:w="90"/>
              <w:bottom w:type="dxa" w:w="70"/>
              <w:right w:type="dxa" w:w="90"/>
            </w:tcMar>
            <w:vAlign w:val="top"/>
          </w:tcPr>
          <w:p>
            <w:r>
              <w:rPr>
                <w:b w:val="false"/>
                <w:bCs w:val="false"/>
                <w:color w:val="000000"/>
                <w:sz w:val="15"/>
                <w:szCs w:val="15"/>
              </w:rPr>
              <w:t xml:space="preserve">Help Desk</w:t>
            </w:r>
          </w:p>
        </w:tc>
        <w:tc>
          <w:tcPr>
            <w:tcW w:type="dxa" w:w="2458"/>
            <w:tcMar>
              <w:top w:type="dxa" w:w="70"/>
              <w:left w:type="dxa" w:w="90"/>
              <w:bottom w:type="dxa" w:w="70"/>
              <w:right w:type="dxa" w:w="90"/>
            </w:tcMar>
            <w:vAlign w:val="top"/>
          </w:tcPr>
          <w:p>
            <w:r>
              <w:rPr>
                <w:b w:val="false"/>
                <w:bCs w:val="false"/>
                <w:color w:val="000000"/>
                <w:sz w:val="15"/>
                <w:szCs w:val="15"/>
              </w:rPr>
              <w:t xml:space="preserve">Stakeholder Engagement &amp; Collaboration</w:t>
            </w:r>
          </w:p>
        </w:tc>
        <w:tc>
          <w:tcPr>
            <w:tcW w:type="dxa" w:w="2867"/>
            <w:tcMar>
              <w:top w:type="dxa" w:w="70"/>
              <w:left w:type="dxa" w:w="90"/>
              <w:bottom w:type="dxa" w:w="70"/>
              <w:right w:type="dxa" w:w="90"/>
            </w:tcMar>
            <w:vAlign w:val="top"/>
          </w:tcPr>
          <w:p>
            <w:r>
              <w:rPr>
                <w:b w:val="false"/>
                <w:bCs w:val="false"/>
                <w:color w:val="000000"/>
                <w:sz w:val="15"/>
                <w:szCs w:val="15"/>
              </w:rPr>
              <w:t xml:space="preserve">Collaboration &amp; Training Workspace</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26</w:t>
            </w:r>
          </w:p>
        </w:tc>
        <w:tc>
          <w:tcPr>
            <w:tcW w:type="dxa" w:w="2458"/>
            <w:tcMar>
              <w:top w:type="dxa" w:w="70"/>
              <w:left w:type="dxa" w:w="90"/>
              <w:bottom w:type="dxa" w:w="70"/>
              <w:right w:type="dxa" w:w="90"/>
            </w:tcMar>
            <w:vAlign w:val="top"/>
          </w:tcPr>
          <w:p>
            <w:r>
              <w:rPr>
                <w:b w:val="false"/>
                <w:bCs w:val="false"/>
                <w:color w:val="000000"/>
                <w:sz w:val="15"/>
                <w:szCs w:val="15"/>
              </w:rPr>
              <w:t xml:space="preserve">Support</w:t>
            </w:r>
          </w:p>
        </w:tc>
        <w:tc>
          <w:tcPr>
            <w:tcW w:type="dxa" w:w="2458"/>
            <w:tcMar>
              <w:top w:type="dxa" w:w="70"/>
              <w:left w:type="dxa" w:w="90"/>
              <w:bottom w:type="dxa" w:w="70"/>
              <w:right w:type="dxa" w:w="90"/>
            </w:tcMar>
            <w:vAlign w:val="top"/>
          </w:tcPr>
          <w:p>
            <w:r>
              <w:rPr>
                <w:b w:val="false"/>
                <w:bCs w:val="false"/>
                <w:color w:val="000000"/>
                <w:sz w:val="15"/>
                <w:szCs w:val="15"/>
              </w:rPr>
              <w:t xml:space="preserve">Stakeholder Engagement &amp; Collaboration</w:t>
            </w:r>
          </w:p>
        </w:tc>
        <w:tc>
          <w:tcPr>
            <w:tcW w:type="dxa" w:w="2867"/>
            <w:tcMar>
              <w:top w:type="dxa" w:w="70"/>
              <w:left w:type="dxa" w:w="90"/>
              <w:bottom w:type="dxa" w:w="70"/>
              <w:right w:type="dxa" w:w="90"/>
            </w:tcMar>
            <w:vAlign w:val="top"/>
          </w:tcPr>
          <w:p>
            <w:r>
              <w:rPr>
                <w:b w:val="false"/>
                <w:bCs w:val="false"/>
                <w:color w:val="000000"/>
                <w:sz w:val="15"/>
                <w:szCs w:val="15"/>
              </w:rPr>
              <w:t xml:space="preserve">Collaboration &amp; Training Workspace</w:t>
            </w:r>
          </w:p>
        </w:tc>
        <w:tc>
          <w:tcPr>
            <w:tcW w:type="dxa" w:w="1946"/>
            <w:tcMar>
              <w:top w:type="dxa" w:w="70"/>
              <w:left w:type="dxa" w:w="90"/>
              <w:bottom w:type="dxa" w:w="70"/>
              <w:right w:type="dxa" w:w="90"/>
            </w:tcMar>
            <w:vAlign w:val="top"/>
          </w:tcPr>
          <w:p>
            <w:r>
              <w:rPr>
                <w:b w:val="false"/>
                <w:bCs w:val="false"/>
                <w:color w:val="000000"/>
                <w:sz w:val="15"/>
                <w:szCs w:val="15"/>
              </w:rPr>
              <w:t xml:space="preserve">Should Have</w:t>
            </w:r>
          </w:p>
        </w:tc>
      </w:tr>
      <w:tr>
        <w:tc>
          <w:tcPr>
            <w:tcW w:type="dxa" w:w="512"/>
            <w:tcMar>
              <w:top w:type="dxa" w:w="70"/>
              <w:left w:type="dxa" w:w="90"/>
              <w:bottom w:type="dxa" w:w="70"/>
              <w:right w:type="dxa" w:w="90"/>
            </w:tcMar>
            <w:vAlign w:val="top"/>
          </w:tcPr>
          <w:p>
            <w:r>
              <w:rPr>
                <w:b/>
                <w:bCs/>
                <w:color w:val="000000"/>
                <w:sz w:val="15"/>
                <w:szCs w:val="15"/>
              </w:rPr>
              <w:t xml:space="preserve">27</w:t>
            </w:r>
          </w:p>
        </w:tc>
        <w:tc>
          <w:tcPr>
            <w:tcW w:type="dxa" w:w="2458"/>
            <w:tcMar>
              <w:top w:type="dxa" w:w="70"/>
              <w:left w:type="dxa" w:w="90"/>
              <w:bottom w:type="dxa" w:w="70"/>
              <w:right w:type="dxa" w:w="90"/>
            </w:tcMar>
            <w:vAlign w:val="top"/>
          </w:tcPr>
          <w:p>
            <w:r>
              <w:rPr>
                <w:b w:val="false"/>
                <w:bCs w:val="false"/>
                <w:color w:val="000000"/>
                <w:sz w:val="15"/>
                <w:szCs w:val="15"/>
              </w:rPr>
              <w:t xml:space="preserve">Mobile</w:t>
            </w:r>
          </w:p>
        </w:tc>
        <w:tc>
          <w:tcPr>
            <w:tcW w:type="dxa" w:w="2458"/>
            <w:tcMar>
              <w:top w:type="dxa" w:w="70"/>
              <w:left w:type="dxa" w:w="90"/>
              <w:bottom w:type="dxa" w:w="70"/>
              <w:right w:type="dxa" w:w="90"/>
            </w:tcMar>
            <w:vAlign w:val="top"/>
          </w:tcPr>
          <w:p>
            <w:r>
              <w:rPr>
                <w:b w:val="false"/>
                <w:bCs w:val="false"/>
                <w:color w:val="000000"/>
                <w:sz w:val="15"/>
                <w:szCs w:val="15"/>
              </w:rPr>
              <w:t xml:space="preserve">Cross-cutting</w:t>
            </w:r>
          </w:p>
        </w:tc>
        <w:tc>
          <w:tcPr>
            <w:tcW w:type="dxa" w:w="2867"/>
            <w:tcMar>
              <w:top w:type="dxa" w:w="70"/>
              <w:left w:type="dxa" w:w="90"/>
              <w:bottom w:type="dxa" w:w="70"/>
              <w:right w:type="dxa" w:w="90"/>
            </w:tcMar>
            <w:vAlign w:val="top"/>
          </w:tcPr>
          <w:p>
            <w:r>
              <w:rPr>
                <w:b w:val="false"/>
                <w:bCs w:val="false"/>
                <w:color w:val="000000"/>
                <w:sz w:val="15"/>
                <w:szCs w:val="15"/>
              </w:rPr>
              <w:t xml:space="preserve">ESM Core Platform / CKR Core Platform (responsive)</w:t>
            </w:r>
          </w:p>
        </w:tc>
        <w:tc>
          <w:tcPr>
            <w:tcW w:type="dxa" w:w="1946"/>
            <w:tcMar>
              <w:top w:type="dxa" w:w="70"/>
              <w:left w:type="dxa" w:w="90"/>
              <w:bottom w:type="dxa" w:w="70"/>
              <w:right w:type="dxa" w:w="90"/>
            </w:tcMar>
            <w:vAlign w:val="top"/>
          </w:tcPr>
          <w:p>
            <w:r>
              <w:rPr>
                <w:b w:val="false"/>
                <w:bCs w:val="false"/>
                <w:color w:val="000000"/>
                <w:sz w:val="15"/>
                <w:szCs w:val="15"/>
              </w:rPr>
              <w:t xml:space="preserve">Should Have (responsive); Could Have (native app)</w:t>
            </w:r>
          </w:p>
        </w:tc>
      </w:tr>
      <w:tr>
        <w:tc>
          <w:tcPr>
            <w:tcW w:type="dxa" w:w="512"/>
            <w:tcMar>
              <w:top w:type="dxa" w:w="70"/>
              <w:left w:type="dxa" w:w="90"/>
              <w:bottom w:type="dxa" w:w="70"/>
              <w:right w:type="dxa" w:w="90"/>
            </w:tcMar>
            <w:vAlign w:val="top"/>
          </w:tcPr>
          <w:p>
            <w:r>
              <w:rPr>
                <w:b/>
                <w:bCs/>
                <w:color w:val="000000"/>
                <w:sz w:val="15"/>
                <w:szCs w:val="15"/>
              </w:rPr>
              <w:t xml:space="preserve">28</w:t>
            </w:r>
          </w:p>
        </w:tc>
        <w:tc>
          <w:tcPr>
            <w:tcW w:type="dxa" w:w="2458"/>
            <w:tcMar>
              <w:top w:type="dxa" w:w="70"/>
              <w:left w:type="dxa" w:w="90"/>
              <w:bottom w:type="dxa" w:w="70"/>
              <w:right w:type="dxa" w:w="90"/>
            </w:tcMar>
            <w:vAlign w:val="top"/>
          </w:tcPr>
          <w:p>
            <w:r>
              <w:rPr>
                <w:b w:val="false"/>
                <w:bCs w:val="false"/>
                <w:color w:val="000000"/>
                <w:sz w:val="15"/>
                <w:szCs w:val="15"/>
              </w:rPr>
              <w:t xml:space="preserve">Public Portal</w:t>
            </w:r>
          </w:p>
        </w:tc>
        <w:tc>
          <w:tcPr>
            <w:tcW w:type="dxa" w:w="2458"/>
            <w:tcMar>
              <w:top w:type="dxa" w:w="70"/>
              <w:left w:type="dxa" w:w="90"/>
              <w:bottom w:type="dxa" w:w="70"/>
              <w:right w:type="dxa" w:w="90"/>
            </w:tcMar>
            <w:vAlign w:val="top"/>
          </w:tcPr>
          <w:p>
            <w:r>
              <w:rPr>
                <w:b w:val="false"/>
                <w:bCs w:val="false"/>
                <w:color w:val="000000"/>
                <w:sz w:val="15"/>
                <w:szCs w:val="15"/>
              </w:rPr>
              <w:t xml:space="preserve">Knowledge Management</w:t>
            </w:r>
          </w:p>
        </w:tc>
        <w:tc>
          <w:tcPr>
            <w:tcW w:type="dxa" w:w="2867"/>
            <w:tcMar>
              <w:top w:type="dxa" w:w="70"/>
              <w:left w:type="dxa" w:w="90"/>
              <w:bottom w:type="dxa" w:w="70"/>
              <w:right w:type="dxa" w:w="90"/>
            </w:tcMar>
            <w:vAlign w:val="top"/>
          </w:tcPr>
          <w:p>
            <w:r>
              <w:rPr>
                <w:b w:val="false"/>
                <w:bCs w:val="false"/>
                <w:color w:val="000000"/>
                <w:sz w:val="15"/>
                <w:szCs w:val="15"/>
              </w:rPr>
              <w:t xml:space="preserve">CKR Core Platform</w:t>
            </w:r>
          </w:p>
        </w:tc>
        <w:tc>
          <w:tcPr>
            <w:tcW w:type="dxa" w:w="1946"/>
            <w:tcMar>
              <w:top w:type="dxa" w:w="70"/>
              <w:left w:type="dxa" w:w="90"/>
              <w:bottom w:type="dxa" w:w="70"/>
              <w:right w:type="dxa" w:w="90"/>
            </w:tcMar>
            <w:vAlign w:val="top"/>
          </w:tcPr>
          <w:p>
            <w:r>
              <w:rPr>
                <w:b w:val="false"/>
                <w:bCs w:val="false"/>
                <w:color w:val="000000"/>
                <w:sz w:val="15"/>
                <w:szCs w:val="15"/>
              </w:rPr>
              <w:t xml:space="preserve">Must Have</w:t>
            </w:r>
          </w:p>
        </w:tc>
      </w:tr>
    </w:tbl>
    <w:p>
      <w:pPr>
        <w:spacing w:after="160"/>
      </w:pPr>
    </w:p>
    <w:p>
      <w:pPr>
        <w:pStyle w:val="Heading1"/>
        <w:pBdr>
          <w:bottom w:val="single" w:color="1F3864" w:sz="6" w:space="4"/>
        </w:pBdr>
        <w:spacing w:after="130" w:before="320"/>
      </w:pPr>
      <w:r>
        <w:t xml:space="preserve">4.2 Functional Modules — Programme &amp; Portfolio Management</w:t>
      </w:r>
    </w:p>
    <w:p>
      <w:pPr>
        <w:spacing w:after="150" w:line="276"/>
        <w:jc w:val="both"/>
      </w:pPr>
      <w:r>
        <w:t xml:space="preserve">Six modules give the National Programme Coordinator, state teams, and the KMC a structured working environment for programme delivery, feeding both the Workflow modules and the Reporting modules described later in this section.</w:t>
      </w:r>
    </w:p>
    <w:p>
      <w:pPr>
        <w:pStyle w:val="Heading2"/>
        <w:spacing w:after="80" w:before="240"/>
      </w:pPr>
      <w:r>
        <w:t xml:space="preserve">1. Executive Dashboard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Single-screen, role-filtered view of programme status for the National Programme Coordinator and co-financing donors.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Tiered KPI summary; milestone-at-risk flags; drill-down to management-tier detail; donor-format export.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Replaces the ad hoc, siloed visibility described in the Current State Assessment (Section 1.2) with a coordinated, tiered 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part of the full analytics dashboard suite; a baseline KPI summary view is treated as an extension of the Must Have Reports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Reports and Analytics modules; the KPI dataset aggregated from ESM and CKR.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Workflow and document status events; KPI figures from the Monitoring process (Section 2.5).</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Executive-tier visual summary; exportable donor briefing 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co-financing institutions (summary level, per Section 2.11).</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of its own; consumes status from all governed workflows.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Programme status summary; milestone-at-risk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The TOR's own Section 10 KPI set, presented at executive-tier granularity.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Alert on any milestone crossing an at-risk threshold.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KMC defines which KPIs surface at executive tier; KM and ICT Units maintain the dashboard configuration.</w:t>
            </w:r>
          </w:p>
        </w:tc>
      </w:tr>
    </w:tbl>
    <w:p>
      <w:pPr>
        <w:spacing w:after="140"/>
      </w:pPr>
    </w:p>
    <w:p>
      <w:pPr>
        <w:pStyle w:val="Heading2"/>
        <w:spacing w:after="80" w:before="240"/>
      </w:pPr>
      <w:r>
        <w:t xml:space="preserve">2. Programme Management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Structured management of SAPZ programme components across seven states and the FCT.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Component and work-plan registry; milestone tracking; budget-oversight view; state-level roll-up.</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programme-level structure to the Programme Lifecycle process (Section 2.5), replacing informal tracking.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Document Management (for work-plan documents); Workflow (for milestone approvals).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State-level work plans; component budgets; milestone updates.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Programme status feeding the Executive Dashboard and Reports modules.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state implementation teams; KMC.</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Programme Lifecycle process: Plan → Mobilize → Deliver → Review →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Component-level progress report; budget-utilization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Milestone completion rate; budget utilization against plan.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Milestone due-date reminders; budget-variance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defines components and milestones; KM and ICT Units maintain configuration.</w:t>
            </w:r>
          </w:p>
        </w:tc>
      </w:tr>
    </w:tbl>
    <w:p>
      <w:pPr>
        <w:spacing w:after="140"/>
      </w:pPr>
    </w:p>
    <w:p>
      <w:pPr>
        <w:pStyle w:val="Heading2"/>
        <w:spacing w:after="80" w:before="240"/>
      </w:pPr>
      <w:r>
        <w:t xml:space="preserve">3. Projects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Manages individual projects nested within programme components.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Project registry; phase tracking; resource and timeline view; linkage to parent component.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Realizes the Project Lifecycle process (Section 2.5) as a working module rather than an informal spreadsheet exercise.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Programme Management module (parent-component linkage); Tasks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Project status rolling up into Programme Management and the Executive Dashboard.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Project initiation records; state-team progress updates.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implementation teams; Programme/Project Officers.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Project Lifecycle process: Initiate → Plan → Execute → Monitor → Close.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Project status report; project-to-component variance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Project on-time completion rate; project count per state.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Phase-transition alerts; overdue-project flags.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State teams manage their own projects; KMC retains taxonomy-classification oversight.</w:t>
            </w:r>
          </w:p>
        </w:tc>
      </w:tr>
    </w:tbl>
    <w:p>
      <w:pPr>
        <w:spacing w:after="140"/>
      </w:pPr>
    </w:p>
    <w:p>
      <w:pPr>
        <w:pStyle w:val="Heading2"/>
        <w:spacing w:after="80" w:before="240"/>
      </w:pPr>
      <w:r>
        <w:t xml:space="preserve">4. Tasks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Operational-level task tracking beneath the Projects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Task assignment; due-date tracking; status update; linkage to parent project.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operational-tier users (Section 2.11 Stakeholder Model) the granular view the Executive Dashboard deliberately does not show.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Projects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Task assignments from project leads.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Task-completion data rolling up into Projects and Programme Management.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implementation teams; operational officers.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Simple assign → in-progress → complete status flow; no multi-tier approval.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Task completion report by state and by project.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Task on-time completion rate.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Task assignment and due-date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Project leads manage tasks within their own projects.</w:t>
            </w:r>
          </w:p>
        </w:tc>
      </w:tr>
    </w:tbl>
    <w:p>
      <w:pPr>
        <w:spacing w:after="140"/>
      </w:pPr>
    </w:p>
    <w:p>
      <w:pPr>
        <w:pStyle w:val="Heading2"/>
        <w:spacing w:after="80" w:before="240"/>
      </w:pPr>
      <w:r>
        <w:t xml:space="preserve">5. Meetings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Structured scheduling, minuting, and action-tracking for programme meetings.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Agenda builder; minute capture; action-item extraction and linkage to Tasks.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Realizes the Meeting Management process (Section 2.5), converting meetings into traceable records rather than undocumented conversations.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Calendar module; Tasks module (for extracted action items).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Meeting agendas; attendee lists.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Signed-off minutes stored in Document Management; action items pushed to Tasks.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programme staff at state, regional, and national tiers.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Schedule → Agenda → Conduct → Minute → Action-track.</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Meeting frequency report; action-item closure rate.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Action-item closure rate within agreed timeframe.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Meeting reminders; action-item due-date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Meeting convenors manage their own meetings; KM and ICT Units maintain the module configuration.</w:t>
            </w:r>
          </w:p>
        </w:tc>
      </w:tr>
    </w:tbl>
    <w:p>
      <w:pPr>
        <w:spacing w:after="140"/>
      </w:pPr>
    </w:p>
    <w:p>
      <w:pPr>
        <w:pStyle w:val="Heading2"/>
        <w:spacing w:after="80" w:before="240"/>
      </w:pPr>
      <w:r>
        <w:t xml:space="preserve">6. Calendar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Shared programme calendar spanning meetings, milestones, and reporting deadlines.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Unified calendar view; filter by state, component, or event type; deadline highlighting.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the seven state teams and the FCT one shared view of programme timing, reducing the scheduling friction implicit in a fragmented, decentralized environment.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Meetings, Programme Management, and Workflow modules as event sources.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Scheduled meetings; milestone and reporting due-dates.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Consolidated calendar feed available to all users within their access boundary.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ESM users.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an aggregation view over other modules' events.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Upcoming-deadlines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Not separately measured; supports on-time performance measured elsewhere.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Upcoming-event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maintain calendar configuration and event-source integration.</w:t>
            </w:r>
          </w:p>
        </w:tc>
      </w:tr>
    </w:tbl>
    <w:p>
      <w:pPr>
        <w:spacing w:after="140"/>
      </w:pPr>
    </w:p>
    <w:p>
      <w:pPr>
        <w:pStyle w:val="Heading1"/>
        <w:pBdr>
          <w:bottom w:val="single" w:color="1F3864" w:sz="6" w:space="4"/>
        </w:pBdr>
        <w:spacing w:after="130" w:before="320"/>
      </w:pPr>
      <w:r>
        <w:t xml:space="preserve">4.3 Functional Modules — Workflow, Documents &amp; Knowledge</w:t>
      </w:r>
    </w:p>
    <w:p>
      <w:pPr>
        <w:spacing w:after="150" w:line="276"/>
        <w:jc w:val="both"/>
      </w:pPr>
      <w:r>
        <w:t xml:space="preserve">Seven modules carry the TOR's most explicit requirements: multi-level workflow approval, the centralized document repository, and the standalone CKR platform with search.</w:t>
      </w:r>
    </w:p>
    <w:p>
      <w:pPr>
        <w:pStyle w:val="Heading2"/>
        <w:spacing w:after="80" w:before="240"/>
      </w:pPr>
      <w:r>
        <w:t xml:space="preserve">7. Workflow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single configurable workflow engine serving all four named document types — work plans, reports, memos, procurement — across state, regional, and national tiers.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Configurable routing rules; multi-tier escalation; SLA timers; full event logging.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Converts the TOR's audit-trail objective into a genuine accountability mechanism, per the Solution Strategy's own framing of workflow as a governance decision, not merely a technical toggle.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explicitly named in the 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Identity Management (for role-based routing); Notifications (for escalation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Documents or requests submitted for approval from Document Management, Programme Management, or Procurement Tracking.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Approved, time-stamped, audit-logged records; escalation events.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tiers of programme staff; approvers named at state, regional, and national levels.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Approval Workflow process (Section 2.5): Route → Review → Approve/Reject → Log.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Workflow throughput report; SLA-breach report by tier and document type.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Average approval cycle time; percentage of approvals within SLA.</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Routing alerts; SLA-escalation alerts to the next tier.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defines escalation rules; KM and ICT Units maintain routing configuration.</w:t>
            </w:r>
          </w:p>
        </w:tc>
      </w:tr>
    </w:tbl>
    <w:p>
      <w:pPr>
        <w:spacing w:after="140"/>
      </w:pPr>
    </w:p>
    <w:p>
      <w:pPr>
        <w:pStyle w:val="Heading2"/>
        <w:spacing w:after="80" w:before="240"/>
      </w:pPr>
      <w:r>
        <w:t xml:space="preserve">8. Approvals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approver-facing surface of the Workflow engine — the specific screen and action set an approver uses to review and decide.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Approval queue; side-by-side document/context view; approve/reject/return actions with mandatory comment on rejection.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approvers at every tier a consistent, low-friction interface, directly addressing the TOR's named adoption-resistance risk.</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Workflow module (routing engine); Document Management (content being approved).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Items routed to the approver by the Workflow engine.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Approval decisions, logged to the audit trail.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Named approvers at state, regional, and national tiers.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Shares the Approval Workflow process with the Workflow module; this is its user-facing component.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Pending-approvals-by-approver report; average decision time per approver.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Approval queue aging; approver responsiveness.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New-item-in-queue alerts; overdue-approval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Approver lists maintained by the National Programme Coordinator per tier.</w:t>
            </w:r>
          </w:p>
        </w:tc>
      </w:tr>
    </w:tbl>
    <w:p>
      <w:pPr>
        <w:spacing w:after="140"/>
      </w:pPr>
    </w:p>
    <w:p>
      <w:pPr>
        <w:pStyle w:val="Heading2"/>
        <w:spacing w:after="80" w:before="240"/>
      </w:pPr>
      <w:r>
        <w:t xml:space="preserve">9. Document Management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centralized document repository the TOR names explicitly — the single system of record for programme documentation.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Capture and upload; classification against the shared taxonomy; version control; check-in/check-out; retention and disposition rules.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Directly retires the fragmented, decentralized storage finding in the TOR's own Problem Statement.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explicitly named in the 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The shared taxonomy and metadata service (Section 2.10); Identity Management; Workflow (for approval-gated documents).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Newly created or migrated legacy documents from all seven states and the FCT.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Classified, versioned, retention-governed documents available to Search and Workflow.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content owners; all ESM users within their access boundary.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Document Lifecycle process (Section 2.5): Draft → Classify → Review → Approve → Publish/Store → Retain or Dispose.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Document volume by state and type; retention-compliance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Percentage of documents correctly classified at point of capture.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Version-conflict alerts; retention-deadline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KMC maintains the taxonomy; KM and ICT Units administer storage and retention configuration.</w:t>
            </w:r>
          </w:p>
        </w:tc>
      </w:tr>
    </w:tbl>
    <w:p>
      <w:pPr>
        <w:spacing w:after="140"/>
      </w:pPr>
    </w:p>
    <w:p>
      <w:pPr>
        <w:pStyle w:val="Heading2"/>
        <w:spacing w:after="80" w:before="240"/>
      </w:pPr>
      <w:r>
        <w:t xml:space="preserve">10. Knowledge Repository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standalone CKR platform the TOR names explicitly — the public system of institutional knowledge and learning content.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Guided capture templates; editorial review workflow; publication; content recommendation (baseline, non-AI).</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Positions CKR as the programme's institutional memory, directly answering the TOR's 'weak coordination' and 'inadequate knowledge capture' findings.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explicitly named in the 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The shared taxonomy; Media Library (for non-text knowledge assets); Search.</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Knowledge submissions from state stewards; curated lessons from the M&amp;E cycle.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Published, publicly discoverable knowledge content.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knowledge stewards; KMC editorial reviewers; the general public.</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Knowledge Capture and Knowledge Publishing processes (Section 2.5).</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Publication-volume report by state and component; content-freshness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The TOR's own knowledge-usage-metrics KPI: searched, downloaded, and read counts.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New-submission alerts to reviewers; publication-confirmation alerts to submitters.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KMC holds editorial and taxonomy authority; KM and ICT Units administer the platform.</w:t>
            </w:r>
          </w:p>
        </w:tc>
      </w:tr>
    </w:tbl>
    <w:p>
      <w:pPr>
        <w:spacing w:after="140"/>
      </w:pPr>
    </w:p>
    <w:p>
      <w:pPr>
        <w:pStyle w:val="Heading2"/>
        <w:spacing w:after="80" w:before="240"/>
      </w:pPr>
      <w:r>
        <w:t xml:space="preserve">11. Media Library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Manages non-text knowledge assets — images, video, audio, and datasets — supporting CKR's publication capability.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Media upload and format handling; metadata tagging against the shared taxonomy; embedding into published knowledge items.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Supports the richer content types the TOR's own Section 3B.3 names (publications, case studies, tools, events) beyond plain text.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Knowledge Repository module; the shared taxonomy.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Media files submitted alongside knowledge content.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Tagged, searchable media assets embedded in CKR publications.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knowledge stewards; KMC editorial reviewers.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Shares the Knowledge Publishing process; media review occurs alongside text review.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Media asset inventory by type and state.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Media-asset usage counts, folded into the knowledge-usage-metrics KPI.</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Upload-confirmation and review-status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manage storage limits and format standards.</w:t>
            </w:r>
          </w:p>
        </w:tc>
      </w:tr>
    </w:tbl>
    <w:p>
      <w:pPr>
        <w:spacing w:after="140"/>
      </w:pPr>
    </w:p>
    <w:p>
      <w:pPr>
        <w:pStyle w:val="Heading2"/>
        <w:spacing w:after="80" w:before="240"/>
      </w:pPr>
      <w:r>
        <w:t xml:space="preserve">12. Search (Functional Module)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user-facing search experience over the Enterprise Search Service (Section 3.3, application #4).</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Keyword and filtered search; taxonomy-aware faceted navigation; access-aware result filtering across ESM and CKR.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Directly answers the TOR's requirement for a CKR platform 'with search,' extended architecturally across both systems where access rules allow.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Enterprise Search Service; Identity Management (result filtering).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User search queries and filter selections.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Ranked, access-filtered result sets.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ESM and CKR users, each within their own access boundary.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The Search process (Section 2.5): Query → Federate (ESM/CKR-aware) → Rank → Return.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Top-search-terms report, feeding CKR curation decisions.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Search success rate (queries resulting in a result click).</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None directly; search underpins other modules' notification-worthy events indirectly.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tune ranking and indexing configuration.</w:t>
            </w:r>
          </w:p>
        </w:tc>
      </w:tr>
    </w:tbl>
    <w:p>
      <w:pPr>
        <w:spacing w:after="140"/>
      </w:pPr>
    </w:p>
    <w:p>
      <w:pPr>
        <w:pStyle w:val="Heading2"/>
        <w:spacing w:after="80" w:before="240"/>
      </w:pPr>
      <w:r>
        <w:t xml:space="preserve">13. Public Portal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public-facing presentation layer of CKR — what a member of the public, a private-sector actor, or a community organization actually sees.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Public browse and search; publication listings by state, component, and topic; integration links to the SAPZ Public Website.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Delivers the TOR's public knowledge-sharing objective directly to the stakeholder groups named in its Background section — federal and state institutions, private sector, community organizations, women, and youth.</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the public-facing expression of the TOR-mandated CKR platform.</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Knowledge Repository; Search; the Integration &amp; API Gateway (SAPZ Public Website linkage).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Published CKR content.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Public web pages and, where linked, content surfaced on the SAPZ Public Website.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General public; private-sector actors; community organizations.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of its own; presents only content that has already passed Knowledge Publishing review.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Public visitor and engagement statistics.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Public knowledge-usage metrics, feeding the same TOR KPI as the Knowledge Repository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None to the public; internal alerts to KMC on traffic anomalies.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administer the public-facing configuration; KMC controls what is eligible for public display.</w:t>
            </w:r>
          </w:p>
        </w:tc>
      </w:tr>
    </w:tbl>
    <w:p>
      <w:pPr>
        <w:spacing w:after="140"/>
      </w:pPr>
    </w:p>
    <w:p>
      <w:pPr>
        <w:pStyle w:val="Heading1"/>
        <w:pBdr>
          <w:bottom w:val="single" w:color="1F3864" w:sz="6" w:space="4"/>
        </w:pBdr>
        <w:spacing w:after="130" w:before="320"/>
      </w:pPr>
      <w:r>
        <w:t xml:space="preserve">4.4 Functional Modules — Reporting, Analytics &amp; Governance Registers</w:t>
      </w:r>
    </w:p>
    <w:p>
      <w:pPr>
        <w:spacing w:after="150" w:line="276"/>
        <w:jc w:val="both"/>
      </w:pPr>
      <w:r>
        <w:t xml:space="preserve">Seven modules give the programme its decision-support and accountability backbone: three reporting-tier modules answering the TOR's KPI and reporting requirements, three governance registers that fill gaps the TOR leaves silent, and the Audit module that makes every other module's activity independently verifiable.</w:t>
      </w:r>
    </w:p>
    <w:p>
      <w:pPr>
        <w:pStyle w:val="Heading2"/>
        <w:spacing w:after="80" w:before="240"/>
      </w:pPr>
      <w:r>
        <w:t xml:space="preserve">14. Reports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Templated, automated report generation aligned to AfDB, IFAD, and IsDB conventions, replacing manual compilation.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Report templates by donor and audience; scheduled generation; one-click export in donor-expected formats.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Directly retires the TOR's own 'heavy reliance on manual...processes' finding for the reporting function specifically.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baseline reporting; the fuller dashboard suite around it is the Should Have extension named in Section 3.2.</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KPI data from Programme Management, Workflow, and Knowledge Repository modules.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Aggregated KPI and status data across all seven states and the FCT.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Formatted reports ready for donor submission or internal review.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M&amp;E Focal Point; state teams; National Programme Coordinator.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Reporting process (Section 2.5): Compile → Template → Review → Submit.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This module is itself the report-generation capability; its own meta-report is a report-timeliness log.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Reporting cycle time; report accuracy (rework rate after donor review).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Report-due reminders; submission-confirmation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M&amp;E Focal Point manages templates; KM and ICT Units maintain the generation engine.</w:t>
            </w:r>
          </w:p>
        </w:tc>
      </w:tr>
    </w:tbl>
    <w:p>
      <w:pPr>
        <w:spacing w:after="140"/>
      </w:pPr>
    </w:p>
    <w:p>
      <w:pPr>
        <w:pStyle w:val="Heading2"/>
        <w:spacing w:after="80" w:before="240"/>
      </w:pPr>
      <w:r>
        <w:t xml:space="preserve">15. Analytics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Trend analysis and comparative performance view across states and components, distinct from basic reporting.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Cross-state comparison views; trend charts over time; milestone-slippage early-warning flags.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Shifts programme decision-making from reactive to anticipatory, per the Solution Strategy's own framing of Business Intelligence as a deliberate strategic layer.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Reports module (underlying KPI dataset); Business Intelligence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Historical KPI and workflow data accumulated over the engagement.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Trend visualizations and early-warning flags feeding the Executive Dashboard.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state and component managers.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an analytical view over existing data.</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Trend report; comparative component-performance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Number of milestones flagged early enough to permit corrective action.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Early-warning alerts on milestones at risk of slipping.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maintain analytical model configuration, with KMC oversight of metric definitions.</w:t>
            </w:r>
          </w:p>
        </w:tc>
      </w:tr>
    </w:tbl>
    <w:p>
      <w:pPr>
        <w:spacing w:after="140"/>
      </w:pPr>
    </w:p>
    <w:p>
      <w:pPr>
        <w:pStyle w:val="Heading2"/>
        <w:spacing w:after="80" w:before="240"/>
      </w:pPr>
      <w:r>
        <w:t xml:space="preserve">16. Business Intelligence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deeper analytical layer built over the KPI dataset from the outset, per the Solution Strategy, rather than added later.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Interactive drill-down; cross-domain correlation (for example, workflow delay against reporting quality); donor-ready visual summaries.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Represents the 'better decision-making' outcome named in the TOR's Section 11, made concrete rather than aspirational.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the full analytics/BI suite named as a Should Have in Section 3.2's MoSCoW pass.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Analytics and Reports modules; the accumulated KPI dataset.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Aggregated data across all reporting and workflow modules.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Executive-ready analytical views and donor supervision-mission materials.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co-financing institutions (via donor-alignment review, Section 2.10).</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a presentation and analysis layer.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Donor supervision-mission briefing pack.</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Decision-cycle time from flagged issue to corrective action.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None directly; consumes alerts generated by Analytics.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administer the BI layer; predictive extensions are held as Phase 2 (Section 9).</w:t>
            </w:r>
          </w:p>
        </w:tc>
      </w:tr>
    </w:tbl>
    <w:p>
      <w:pPr>
        <w:spacing w:after="140"/>
      </w:pPr>
    </w:p>
    <w:p>
      <w:pPr>
        <w:pStyle w:val="Heading2"/>
        <w:spacing w:after="80" w:before="240"/>
      </w:pPr>
      <w:r>
        <w:t xml:space="preserve">17. Risk Register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Structured, programme-wide risk tracking, extending the TOR's own Section 12 risk treatment with an operational tool.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Risk logging with probability/impact scoring; mitigation-action tracking; automated review-date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The TOR is silent on a dedicated risk-tracking tool; this module is added because a risk register that meaningfully extends the TOR's own risk section, rather than repeating it, is explicitly one of the ways to impress the evaluation committee (Executive Advice Briefing, Recommendation 16).</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TOR-silent value addition.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Workflow module (for mitigation-action approval where required).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Risks identified during planning or delivery, by any programme role.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 live, auditable risk log feeding the Executive Dashboard's milestone-at-risk 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Risk owners per component; National Programme Coordinator.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Risk Management process (Section 2.5): Identify → Assess → Mitigate → Monitor → Close.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Open-risk report by severity and component.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Risk closure rate; average time-to-mitigation.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Review-date reminders; escalation on unmitigated high-severity risks.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Component-level risk owners maintain their own entries; National Programme Coordinator reviews programme-wide.</w:t>
            </w:r>
          </w:p>
        </w:tc>
      </w:tr>
    </w:tbl>
    <w:p>
      <w:pPr>
        <w:spacing w:after="140"/>
      </w:pPr>
    </w:p>
    <w:p>
      <w:pPr>
        <w:pStyle w:val="Heading2"/>
        <w:spacing w:after="80" w:before="240"/>
      </w:pPr>
      <w:r>
        <w:t xml:space="preserve">18. Issue Register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Tracks issues distinct from risks — problems that have already materialized rather than potential future events.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Issue logging and triage; assignment and SLA tracking; resolution confirmation.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delivery issues the same structured, auditable treatment the Workflow module gives approvals, closing a TOR-silent operational gap.</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Notifications module (for SLA escalation); Workflow (where resolution requires sign-off).</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Issues raised by any user during delivery.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 resolved-or-open issue log feeding programme status reporting.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programme staff; issue owners assigned per entry.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Issue Management process (Section 2.5): Log → Triage → Assign → Resolve → Close.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Open-issue report by state and severity; issue-to-resolution SLA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Average issue resolution time.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Assignment alerts; SLA-breach escalation.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Issue owners manage their own entries; KM and ICT Units maintain SLA configuration.</w:t>
            </w:r>
          </w:p>
        </w:tc>
      </w:tr>
    </w:tbl>
    <w:p>
      <w:pPr>
        <w:spacing w:after="140"/>
      </w:pPr>
    </w:p>
    <w:p>
      <w:pPr>
        <w:pStyle w:val="Heading2"/>
        <w:spacing w:after="80" w:before="240"/>
      </w:pPr>
      <w:r>
        <w:t xml:space="preserve">19. Decision Register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Records formal programme decisions and the authority behind them, operationalizing the Decision Model fixed in Section 2.9.</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Decision logging with named decision-owner, rationale, and linked evidence; searchable decision history.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Prevents the same institutional-authority question from being re-litigated informally — for example, who decided what legacy content was worth preserving — by making the answer a permanent, searchable record.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directly operationalizes a structure this Blueprint itself introduces in Section 2.9.</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Document Management (for linked evidence); the Decision Model's named decision owners.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Formal decisions taken at any governed decision point.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 permanent decision log available to Search and Audit.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National Programme Coordinator; KMC; Enterprise Architecture Review Board (for architecture-exception decisions).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separate approval workflow; a record-keeping module invoked at the point a Decision Model entry (Section 2.9) is exercised.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Decision log export by category (taxonomy, migration, security, architecture).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Decision-record completeness — percentage of Section 2.9 decision types with at least one logged instance.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None; a passive record store.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KMC and the National Programme Coordinator jointly maintain entries consistent with their Decision Model ownership.</w:t>
            </w:r>
          </w:p>
        </w:tc>
      </w:tr>
    </w:tbl>
    <w:p>
      <w:pPr>
        <w:spacing w:after="140"/>
      </w:pPr>
    </w:p>
    <w:p>
      <w:pPr>
        <w:pStyle w:val="Heading2"/>
        <w:spacing w:after="80" w:before="240"/>
      </w:pPr>
      <w:r>
        <w:t xml:space="preserve">20. Audit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System-generated audit trail across every workflow, access, and administrative event in both ESM and CKR.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Immutable event log; filter by user, module, date, and event type; export for external audit.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Directly delivers the TOR's own 'audit trails' objective as a genuine, system-enforced capability rather than a policy statement.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the operational expression of a named TOR objective.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Every other module, each of which emits audit events.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Event streams from Workflow, Document Management, Identity Management, Administration, and all governance registers.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 queryable, exportable audit log.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Governance and Compliance function; National Programme Coordinator; external auditors on request.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Audit process (Section 2.5): Scope → Collect Evidence → Assess → Report → Remediate.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Scheduled audit-cycle report; incident-triggered audit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Audit-log completeness; time-to-produce-evidence on request.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Alert on any attempt to access or modify the audit log itself.</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Governance and Compliance function owns audit scope; access to raw logs is restricted to named administrators.</w:t>
            </w:r>
          </w:p>
        </w:tc>
      </w:tr>
    </w:tbl>
    <w:p>
      <w:pPr>
        <w:spacing w:after="140"/>
      </w:pPr>
    </w:p>
    <w:p>
      <w:pPr>
        <w:pStyle w:val="Heading1"/>
        <w:pBdr>
          <w:bottom w:val="single" w:color="1F3864" w:sz="6" w:space="4"/>
        </w:pBdr>
        <w:spacing w:after="130" w:before="320"/>
      </w:pPr>
      <w:r>
        <w:t xml:space="preserve">4.5 Functional Modules — Platform Administration &amp; Access</w:t>
      </w:r>
    </w:p>
    <w:p>
      <w:pPr>
        <w:spacing w:after="150" w:line="276"/>
        <w:jc w:val="both"/>
      </w:pPr>
      <w:r>
        <w:t xml:space="preserve">Four modules give the client's own KM and ICT Units the operating capability the Section 2.4 Business Capability Heat Map targets — moving Platform Administration and Security &amp; Access Management from ad hoc toward systematized, self-sufficient operation.</w:t>
      </w:r>
    </w:p>
    <w:p>
      <w:pPr>
        <w:pStyle w:val="Heading2"/>
        <w:spacing w:after="80" w:before="240"/>
      </w:pPr>
      <w:r>
        <w:t xml:space="preserve">21. Administration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general platform-configuration surface for both ESM and CKR — the module the other administration-facing modules (Identity Management, Settings, Governance &amp; Administration Console) sit alongside.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User and role management; module enable/disable; system health monitoring; configuration change log.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The prerequisite capability for every other Must Have module to be configurable rather than fixed at build time.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infrastructure prerequisite.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Identity Management; the Governance &amp; Administration Console (Section 3.3, application #8).</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Configuration changes initiated by authorized administrators.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Applied configuration state across ESM and CKR.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administrators.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Configuration changes above a defined risk threshold route through the Change Management process (Section 2.5).</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Configuration-change log; system-health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System uptime; configuration-change error rate.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Alerts on failed configuration changes or system-health anomalies.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Self-referential — this module is administered by the KM and ICT Units themselves, per the capability-maturity roadmap in Section 2.4.</w:t>
            </w:r>
          </w:p>
        </w:tc>
      </w:tr>
    </w:tbl>
    <w:p>
      <w:pPr>
        <w:spacing w:after="140"/>
      </w:pPr>
    </w:p>
    <w:p>
      <w:pPr>
        <w:pStyle w:val="Heading2"/>
        <w:spacing w:after="80" w:before="240"/>
      </w:pPr>
      <w:r>
        <w:t xml:space="preserve">22. Identity Management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user-facing and administrative surface of the Identity &amp; Access Management Service (Section 3.3, application #3).</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User provisioning and de-provisioning; role assignment; MFA enrollment; access-review workflow.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Delivers the TOR's explicit RBAC and MFA requirement as a manageable, auditable capability rather than a one-time technical setting.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explicitly named in the TOR.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IAM Service; Administration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New-user requests; role-change requests; periodic access-review triggers.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Provisioned accounts with correctly scoped roles.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administrators; all users indirectly, as account holders.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User provisioning workflow: Request → Approve → Provision → Confirm.</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Active-user report by state and role; MFA-enrollment compliance report.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MFA enrollment rate; average time to de-provision a departed user.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Account-provisioning confirmations; MFA-enrollment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with periodic access-review sign-off from the National Programme Coordinator.</w:t>
            </w:r>
          </w:p>
        </w:tc>
      </w:tr>
    </w:tbl>
    <w:p>
      <w:pPr>
        <w:spacing w:after="140"/>
      </w:pPr>
    </w:p>
    <w:p>
      <w:pPr>
        <w:pStyle w:val="Heading2"/>
        <w:spacing w:after="80" w:before="240"/>
      </w:pPr>
      <w:r>
        <w:t xml:space="preserve">23. Notifications (Functional Module)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The user-facing preference and delivery-log surface of the Notification &amp; Messaging Service (Section 3.3, application #6).</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Per-user channel preference (email, SMS, in-app); notification history; digest-mode option to reduce alert fatigue.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Ensures the SLA-escalation mechanism underlying the Workflow module is something users can tune to their own context rather than a fixed, potentially ignored channel.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Must Have — infrastructure supporting the Must Have Workflow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Notification &amp; Messaging Service; Identity Management (recipient resolution).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Events emitted by Workflow, Approvals, and the governance registers.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Delivered notifications across the user's chosen channels.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ESM and CKR users.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 a delivery and preference-management layer.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Notification-delivery success rate by channel.</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Time from triggering event to delivered notification.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This module is itself the notification capability.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maintain channel integrations (email/SMS gateway).</w:t>
            </w:r>
          </w:p>
        </w:tc>
      </w:tr>
    </w:tbl>
    <w:p>
      <w:pPr>
        <w:spacing w:after="140"/>
      </w:pPr>
    </w:p>
    <w:p>
      <w:pPr>
        <w:pStyle w:val="Heading2"/>
        <w:spacing w:after="80" w:before="240"/>
      </w:pPr>
      <w:r>
        <w:t xml:space="preserve">24. Settings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User- and organization-level preference and configuration management distinct from the deeper Administration module.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Language and locale preference; notification defaults; personal dashboard layout.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Low-effort usability capability that supports adoption across a genuinely diverse user base spanning seven states and the FCT.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Administration module (for organization-level defaults).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User preference selections.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Applied personal and organizational preferences.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ESM and CKR users.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No approval workflow.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Not applicable — a preference store, not a reporting source.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Not separately measured.</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None.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Self-service for personal settings; KM and ICT Units manage organization-level defaults.</w:t>
            </w:r>
          </w:p>
        </w:tc>
      </w:tr>
    </w:tbl>
    <w:p>
      <w:pPr>
        <w:spacing w:after="140"/>
      </w:pPr>
    </w:p>
    <w:p>
      <w:pPr>
        <w:pStyle w:val="Heading1"/>
        <w:pBdr>
          <w:bottom w:val="single" w:color="1F3864" w:sz="6" w:space="4"/>
        </w:pBdr>
        <w:spacing w:after="130" w:before="320"/>
      </w:pPr>
      <w:r>
        <w:t xml:space="preserve">4.6 Functional Modules — Training, Support &amp; Mobile Access</w:t>
      </w:r>
    </w:p>
    <w:p>
      <w:pPr>
        <w:spacing w:after="150" w:line="276"/>
        <w:jc w:val="both"/>
      </w:pPr>
      <w:r>
        <w:t xml:space="preserve">Four modules address the TOR's own named adoption-resistance risk directly, and the practical reality that seven states and the FCT will not all access the platform under identical connectivity conditions.</w:t>
      </w:r>
    </w:p>
    <w:p>
      <w:pPr>
        <w:pStyle w:val="Heading2"/>
        <w:spacing w:after="80" w:before="240"/>
      </w:pPr>
      <w:r>
        <w:t xml:space="preserve">25. Training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Delivers the progressive, training-of-trainers model recommended throughout the governing Procurement Intelligence Report, rather than compressing all training into Week 12 alongside go-live.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Role-based training content; training-of-trainers modules; completion tracking and certification.</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Directly answers the Executive Advice Briefing's recommendation to commit to developing training materials progressively during the build phase.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 comprehensive training-manual coverage for every role is a named Should Have in Section 3.2's MoSCoW pass.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Collaboration &amp; Training Workspace (Section 3.3, application #9); content release aligned to each build phase.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Training content authored progressively as each module is built.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Trained, certified users per role and per state.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implementation teams; KM and ICT Units (training-of-trainers recipients).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Training process (Section 2.5): Identify Need → Design → Deliver → Assess → Certify.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Training-completion report by state and role.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Percentage of named user roles certified before go-live.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Training-availability announcements; certification reminders.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own ongoing training delivery post-handover, with consultant support during the build.</w:t>
            </w:r>
          </w:p>
        </w:tc>
      </w:tr>
    </w:tbl>
    <w:p>
      <w:pPr>
        <w:spacing w:after="140"/>
      </w:pPr>
    </w:p>
    <w:p>
      <w:pPr>
        <w:pStyle w:val="Heading2"/>
        <w:spacing w:after="80" w:before="240"/>
      </w:pPr>
      <w:r>
        <w:t xml:space="preserve">26. Help Desk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A structured channel for users to raise platform questions or problems, distinct from the programme-level Issue Register.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Ticket submission and tracking; knowledge-base of common questions linked to CKR content; response-time tracking.</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A further, TOR-silent adoption-support measure, consistent with the principle of naming what is added where the TOR is silent and why.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Knowledge Repository (for the linked knowledge base); Notifications.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User-submitted tickets.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Resolved tickets and an accumulating knowledge base of common issues.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All ESM and CKR users; KM and ICT Units as responders.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Ticket lifecycle: Submit → Triage → Respond → Resolve → Close.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Ticket-volume report by state and category; average resolution time.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First-response time; resolution-time-within-SLA.</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Ticket-status update alerts.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staff the help desk post-handover; consultant provides initial staffing model during the build.</w:t>
            </w:r>
          </w:p>
        </w:tc>
      </w:tr>
    </w:tbl>
    <w:p>
      <w:pPr>
        <w:spacing w:after="140"/>
      </w:pPr>
    </w:p>
    <w:p>
      <w:pPr>
        <w:pStyle w:val="Heading2"/>
        <w:spacing w:after="80" w:before="240"/>
      </w:pPr>
      <w:r>
        <w:t xml:space="preserve">27. Support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Technical platform support distinct from the user-facing Help Desk — covers system incidents, outages, and technical escalations.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Incident logging; severity classification; escalation to platform administrators or, where required, the consultant during the engagement window.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Gives the sustainability commitment running through this Blueprint an operational mechanism, consistent with the 'documented handover, not permanent operational support' boundary fixed in Section 3.2's MoSCoW Won't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Administration module; Audit module (incident evidence).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System incidents detected by monitoring or reported by users.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Resolved incidents and an incident history feeding future capacity-planning decisions.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consultant (during the twelve-week engagement only).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Incident lifecycle: Detect/Report → Classify → Escalate → Resolve → Review.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Incident report by severity and system component.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Mean time to resolution by severity tier.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Incident alerts to platform administrators.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own this module fully from handover onward.</w:t>
            </w:r>
          </w:p>
        </w:tc>
      </w:tr>
    </w:tbl>
    <w:p>
      <w:pPr>
        <w:spacing w:after="140"/>
      </w:pPr>
    </w:p>
    <w:p>
      <w:pPr>
        <w:pStyle w:val="Heading2"/>
        <w:spacing w:after="80" w:before="240"/>
      </w:pPr>
      <w:r>
        <w:t xml:space="preserve">28. Mobile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8602"/>
      </w:tblGrid>
      <w:tr>
        <w:tc>
          <w:tcPr>
            <w:tcW w:type="dxa" w:w="1638"/>
            <w:shd w:fill="EDEFF4" w:val="clear"/>
            <w:tcMar>
              <w:top w:type="dxa" w:w="70"/>
              <w:left w:type="dxa" w:w="90"/>
              <w:bottom w:type="dxa" w:w="70"/>
              <w:right w:type="dxa" w:w="90"/>
            </w:tcMar>
            <w:vAlign w:val="top"/>
          </w:tcPr>
          <w:p>
            <w:r>
              <w:rPr>
                <w:b/>
                <w:bCs/>
                <w:color w:val="000000"/>
                <w:sz w:val="17"/>
                <w:szCs w:val="17"/>
              </w:rPr>
              <w:t xml:space="preserve">Purpose</w:t>
            </w:r>
          </w:p>
        </w:tc>
        <w:tc>
          <w:tcPr>
            <w:tcW w:type="dxa" w:w="8602"/>
            <w:tcMar>
              <w:top w:type="dxa" w:w="70"/>
              <w:left w:type="dxa" w:w="90"/>
              <w:bottom w:type="dxa" w:w="70"/>
              <w:right w:type="dxa" w:w="90"/>
            </w:tcMar>
            <w:vAlign w:val="top"/>
          </w:tcPr>
          <w:p>
            <w:r>
              <w:rPr>
                <w:b w:val="false"/>
                <w:bCs w:val="false"/>
                <w:color w:val="000000"/>
                <w:sz w:val="17"/>
                <w:szCs w:val="17"/>
              </w:rPr>
              <w:t xml:space="preserve">Access to ESM and CKR functionality from mobile devices, reflecting the real network and device variability across seven states and the FCT.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Features</w:t>
            </w:r>
          </w:p>
        </w:tc>
        <w:tc>
          <w:tcPr>
            <w:tcW w:type="dxa" w:w="8602"/>
            <w:tcMar>
              <w:top w:type="dxa" w:w="70"/>
              <w:left w:type="dxa" w:w="90"/>
              <w:bottom w:type="dxa" w:w="70"/>
              <w:right w:type="dxa" w:w="90"/>
            </w:tcMar>
            <w:vAlign w:val="top"/>
          </w:tcPr>
          <w:p>
            <w:r>
              <w:rPr>
                <w:b w:val="false"/>
                <w:bCs w:val="false"/>
                <w:color w:val="000000"/>
                <w:sz w:val="17"/>
                <w:szCs w:val="17"/>
              </w:rPr>
              <w:t xml:space="preserve">Responsive web access to core modules (Should Have, Phase 1); a dedicated native application (Could Have, Phase 2 roadmap).</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Business Value</w:t>
            </w:r>
          </w:p>
        </w:tc>
        <w:tc>
          <w:tcPr>
            <w:tcW w:type="dxa" w:w="8602"/>
            <w:tcMar>
              <w:top w:type="dxa" w:w="70"/>
              <w:left w:type="dxa" w:w="90"/>
              <w:bottom w:type="dxa" w:w="70"/>
              <w:right w:type="dxa" w:w="90"/>
            </w:tcMar>
            <w:vAlign w:val="top"/>
          </w:tcPr>
          <w:p>
            <w:r>
              <w:rPr>
                <w:b w:val="false"/>
                <w:bCs w:val="false"/>
                <w:color w:val="000000"/>
                <w:sz w:val="17"/>
                <w:szCs w:val="17"/>
              </w:rPr>
              <w:t xml:space="preserve">Extends adoption to state-level staff without reliable desktop access, directly supporting the TOR's own adoption objective.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Priority</w:t>
            </w:r>
          </w:p>
        </w:tc>
        <w:tc>
          <w:tcPr>
            <w:tcW w:type="dxa" w:w="8602"/>
            <w:tcMar>
              <w:top w:type="dxa" w:w="70"/>
              <w:left w:type="dxa" w:w="90"/>
              <w:bottom w:type="dxa" w:w="70"/>
              <w:right w:type="dxa" w:w="90"/>
            </w:tcMar>
            <w:vAlign w:val="top"/>
          </w:tcPr>
          <w:p>
            <w:r>
              <w:rPr>
                <w:b w:val="false"/>
                <w:bCs w:val="false"/>
                <w:color w:val="000000"/>
                <w:sz w:val="17"/>
                <w:szCs w:val="17"/>
              </w:rPr>
              <w:t xml:space="preserve">Should Have (responsive web); Could Have (native app) — consistent with the MoSCoW pass in Section 3.2, which commits only to what the fixed twelve-week schedule can credibly deliver.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Dependencies</w:t>
            </w:r>
          </w:p>
        </w:tc>
        <w:tc>
          <w:tcPr>
            <w:tcW w:type="dxa" w:w="8602"/>
            <w:tcMar>
              <w:top w:type="dxa" w:w="70"/>
              <w:left w:type="dxa" w:w="90"/>
              <w:bottom w:type="dxa" w:w="70"/>
              <w:right w:type="dxa" w:w="90"/>
            </w:tcMar>
            <w:vAlign w:val="top"/>
          </w:tcPr>
          <w:p>
            <w:r>
              <w:rPr>
                <w:b w:val="false"/>
                <w:bCs w:val="false"/>
                <w:color w:val="000000"/>
                <w:sz w:val="17"/>
                <w:szCs w:val="17"/>
              </w:rPr>
              <w:t xml:space="preserve">ESM Core Platform and CKR Core Platform, both of which must expose a responsive interface.</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Inputs</w:t>
            </w:r>
          </w:p>
        </w:tc>
        <w:tc>
          <w:tcPr>
            <w:tcW w:type="dxa" w:w="8602"/>
            <w:tcMar>
              <w:top w:type="dxa" w:w="70"/>
              <w:left w:type="dxa" w:w="90"/>
              <w:bottom w:type="dxa" w:w="70"/>
              <w:right w:type="dxa" w:w="90"/>
            </w:tcMar>
            <w:vAlign w:val="top"/>
          </w:tcPr>
          <w:p>
            <w:r>
              <w:rPr>
                <w:b w:val="false"/>
                <w:bCs w:val="false"/>
                <w:color w:val="000000"/>
                <w:sz w:val="17"/>
                <w:szCs w:val="17"/>
              </w:rPr>
              <w:t xml:space="preserve">Same inputs as the desktop experience, scoped to what a mobile context can reasonably support.</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Outputs</w:t>
            </w:r>
          </w:p>
        </w:tc>
        <w:tc>
          <w:tcPr>
            <w:tcW w:type="dxa" w:w="8602"/>
            <w:tcMar>
              <w:top w:type="dxa" w:w="70"/>
              <w:left w:type="dxa" w:w="90"/>
              <w:bottom w:type="dxa" w:w="70"/>
              <w:right w:type="dxa" w:w="90"/>
            </w:tcMar>
            <w:vAlign w:val="top"/>
          </w:tcPr>
          <w:p>
            <w:r>
              <w:rPr>
                <w:b w:val="false"/>
                <w:bCs w:val="false"/>
                <w:color w:val="000000"/>
                <w:sz w:val="17"/>
                <w:szCs w:val="17"/>
              </w:rPr>
              <w:t xml:space="preserve">A mobile-usable subset of ESM and CKR functionality.</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Users</w:t>
            </w:r>
          </w:p>
        </w:tc>
        <w:tc>
          <w:tcPr>
            <w:tcW w:type="dxa" w:w="8602"/>
            <w:tcMar>
              <w:top w:type="dxa" w:w="70"/>
              <w:left w:type="dxa" w:w="90"/>
              <w:bottom w:type="dxa" w:w="70"/>
              <w:right w:type="dxa" w:w="90"/>
            </w:tcMar>
            <w:vAlign w:val="top"/>
          </w:tcPr>
          <w:p>
            <w:r>
              <w:rPr>
                <w:b w:val="false"/>
                <w:bCs w:val="false"/>
                <w:color w:val="000000"/>
                <w:sz w:val="17"/>
                <w:szCs w:val="17"/>
              </w:rPr>
              <w:t xml:space="preserve">State implementation teams in lower-connectivity contexts; general public accessing CKR.</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Workflows</w:t>
            </w:r>
          </w:p>
        </w:tc>
        <w:tc>
          <w:tcPr>
            <w:tcW w:type="dxa" w:w="8602"/>
            <w:tcMar>
              <w:top w:type="dxa" w:w="70"/>
              <w:left w:type="dxa" w:w="90"/>
              <w:bottom w:type="dxa" w:w="70"/>
              <w:right w:type="dxa" w:w="90"/>
            </w:tcMar>
            <w:vAlign w:val="top"/>
          </w:tcPr>
          <w:p>
            <w:r>
              <w:rPr>
                <w:b w:val="false"/>
                <w:bCs w:val="false"/>
                <w:color w:val="000000"/>
                <w:sz w:val="17"/>
                <w:szCs w:val="17"/>
              </w:rPr>
              <w:t xml:space="preserve">Mirrors desktop workflows at reduced scope; no mobile-specific workflow.</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Reports</w:t>
            </w:r>
          </w:p>
        </w:tc>
        <w:tc>
          <w:tcPr>
            <w:tcW w:type="dxa" w:w="8602"/>
            <w:tcMar>
              <w:top w:type="dxa" w:w="70"/>
              <w:left w:type="dxa" w:w="90"/>
              <w:bottom w:type="dxa" w:w="70"/>
              <w:right w:type="dxa" w:w="90"/>
            </w:tcMar>
            <w:vAlign w:val="top"/>
          </w:tcPr>
          <w:p>
            <w:r>
              <w:rPr>
                <w:b w:val="false"/>
                <w:bCs w:val="false"/>
                <w:color w:val="000000"/>
                <w:sz w:val="17"/>
                <w:szCs w:val="17"/>
              </w:rPr>
              <w:t xml:space="preserve">Mobile-usage report, distinguishing device type from the standard usage reports.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KPIs</w:t>
            </w:r>
          </w:p>
        </w:tc>
        <w:tc>
          <w:tcPr>
            <w:tcW w:type="dxa" w:w="8602"/>
            <w:tcMar>
              <w:top w:type="dxa" w:w="70"/>
              <w:left w:type="dxa" w:w="90"/>
              <w:bottom w:type="dxa" w:w="70"/>
              <w:right w:type="dxa" w:w="90"/>
            </w:tcMar>
            <w:vAlign w:val="top"/>
          </w:tcPr>
          <w:p>
            <w:r>
              <w:rPr>
                <w:b w:val="false"/>
                <w:bCs w:val="false"/>
                <w:color w:val="000000"/>
                <w:sz w:val="17"/>
                <w:szCs w:val="17"/>
              </w:rPr>
              <w:t xml:space="preserve">Mobile-session success rate under real-world connectivity conditions.</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Notifications</w:t>
            </w:r>
          </w:p>
        </w:tc>
        <w:tc>
          <w:tcPr>
            <w:tcW w:type="dxa" w:w="8602"/>
            <w:tcMar>
              <w:top w:type="dxa" w:w="70"/>
              <w:left w:type="dxa" w:w="90"/>
              <w:bottom w:type="dxa" w:w="70"/>
              <w:right w:type="dxa" w:w="90"/>
            </w:tcMar>
            <w:vAlign w:val="top"/>
          </w:tcPr>
          <w:p>
            <w:r>
              <w:rPr>
                <w:b w:val="false"/>
                <w:bCs w:val="false"/>
                <w:color w:val="000000"/>
                <w:sz w:val="17"/>
                <w:szCs w:val="17"/>
              </w:rPr>
              <w:t xml:space="preserve">Push notifications are held as a Phase 2 item, per the Notification &amp; Messaging Service's Future Evolution (Section 3.4).</w:t>
            </w:r>
          </w:p>
        </w:tc>
      </w:tr>
      <w:tr>
        <w:tc>
          <w:tcPr>
            <w:tcW w:type="dxa" w:w="1638"/>
            <w:shd w:fill="EDEFF4" w:val="clear"/>
            <w:tcMar>
              <w:top w:type="dxa" w:w="70"/>
              <w:left w:type="dxa" w:w="90"/>
              <w:bottom w:type="dxa" w:w="70"/>
              <w:right w:type="dxa" w:w="90"/>
            </w:tcMar>
            <w:vAlign w:val="top"/>
          </w:tcPr>
          <w:p>
            <w:r>
              <w:rPr>
                <w:b/>
                <w:bCs/>
                <w:color w:val="000000"/>
                <w:sz w:val="17"/>
                <w:szCs w:val="17"/>
              </w:rPr>
              <w:t xml:space="preserve">Administration</w:t>
            </w:r>
          </w:p>
        </w:tc>
        <w:tc>
          <w:tcPr>
            <w:tcW w:type="dxa" w:w="8602"/>
            <w:tcMar>
              <w:top w:type="dxa" w:w="70"/>
              <w:left w:type="dxa" w:w="90"/>
              <w:bottom w:type="dxa" w:w="70"/>
              <w:right w:type="dxa" w:w="90"/>
            </w:tcMar>
            <w:vAlign w:val="top"/>
          </w:tcPr>
          <w:p>
            <w:r>
              <w:rPr>
                <w:b w:val="false"/>
                <w:bCs w:val="false"/>
                <w:color w:val="000000"/>
                <w:sz w:val="17"/>
                <w:szCs w:val="17"/>
              </w:rPr>
              <w:t xml:space="preserve">KM and ICT Units; native-app scoping deferred to the Section 11 Digital Transformation Roadmap.</w:t>
            </w:r>
          </w:p>
        </w:tc>
      </w:tr>
    </w:tbl>
    <w:p>
      <w:pPr>
        <w:spacing w:after="140"/>
      </w:pPr>
    </w:p>
    <w:p>
      <w:pPr>
        <w:pStyle w:val="Heading1"/>
        <w:pBdr>
          <w:bottom w:val="single" w:color="1F3864" w:sz="6" w:space="4"/>
        </w:pBdr>
        <w:spacing w:after="130" w:before="320"/>
      </w:pPr>
      <w:r>
        <w:t xml:space="preserve">4.7 Transition to Section 5</w:t>
      </w:r>
    </w:p>
    <w:p>
      <w:pPr>
        <w:spacing w:after="150" w:line="276"/>
        <w:jc w:val="both"/>
      </w:pPr>
      <w:r>
        <w:t xml:space="preserve">Section 5 (Information Architecture) defines the enterprise information model, taxonomy, metadata standards, and content lifecycle that every module in this section depends on — most directly the shared taxonomy referenced throughout Document Management, Knowledge Repository, and Search. Nothing in Section 5 revisits the functional specification fixed here; it defines the information structures those functions operate 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 w:type="paragraph" w:styleId="Heading2">
    <w:name w:val="Heading 2"/>
    <w:basedOn w:val="Normal"/>
    <w:next w:val="Normal"/>
    <w:qFormat/>
    <w:pPr>
      <w:spacing w:after="70" w:before="20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2026-07-18T07:33:20.307Z</dcterms:created>
  <dcterms:modified xsi:type="dcterms:W3CDTF">2026-07-18T07:33:20.307Z</dcterms:modified>
</cp:coreProperties>
</file>

<file path=docProps/custom.xml><?xml version="1.0" encoding="utf-8"?>
<Properties xmlns="http://schemas.openxmlformats.org/officeDocument/2006/custom-properties" xmlns:vt="http://schemas.openxmlformats.org/officeDocument/2006/docPropsVTypes"/>
</file>