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5 of 16 — Information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defines the information structures that every module in Section 4 depends on — most directly the shared taxonomy and metadata standard referenced throughout Document Management, Knowledge Repository, and Search. It operationalizes the Information Governance Principles fixed in Section 1.7 (Single Governance Charter, Clear Ownership, Federal/State Decision Rights, Retention and Lifecycle Standards, Governed Integration) as concrete models, schemas, and policies rather than restating them as intentions.</w:t>
      </w:r>
    </w:p>
    <w:p>
      <w:pPr>
        <w:spacing w:after="150" w:line="276"/>
        <w:jc w:val="both"/>
      </w:pPr>
      <w:r>
        <w:t xml:space="preserve">One design choice governs everything in this section: ESM and CKR remain independent systems per TOR Section 4, but information architecture is defined once, centrally, by the KMC as taxonomy authority (Section 2.9 Decision Model), and applied consistently across both systems. This is the specific mechanism that prevents the two systems from each developing their own, incompatible information structures — the exact failure mode the Solution Strategy warns against under 'Integration.'</w:t>
      </w:r>
    </w:p>
    <w:p>
      <w:pPr>
        <w:pStyle w:val="Heading1"/>
        <w:pBdr>
          <w:bottom w:val="single" w:color="1F3864" w:sz="6" w:space="4"/>
        </w:pBdr>
        <w:spacing w:after="130" w:before="320"/>
      </w:pPr>
      <w:r>
        <w:t xml:space="preserve">5.1 Enterprise Information Model</w:t>
      </w:r>
    </w:p>
    <w:p>
      <w:pPr>
        <w:spacing w:after="150" w:line="276"/>
        <w:jc w:val="both"/>
      </w:pPr>
      <w:r>
        <w:t xml:space="preserve">Fourteen core information entities span the enterprise, spanning both the ESM and CKR domains. This is the conceptual model; Section 6 (Data Architecture) develops it into a logical and physical data model.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5939"/>
        <w:gridCol w:w="2048"/>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Entity</w:t>
            </w:r>
          </w:p>
        </w:tc>
        <w:tc>
          <w:tcPr>
            <w:tcW w:type="dxa" w:w="5939"/>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2048"/>
            <w:shd w:fill="1F3864" w:val="clear"/>
            <w:tcMar>
              <w:top w:type="dxa" w:w="70"/>
              <w:left w:type="dxa" w:w="90"/>
              <w:bottom w:type="dxa" w:w="70"/>
              <w:right w:type="dxa" w:w="90"/>
            </w:tcMar>
            <w:vAlign w:val="top"/>
          </w:tcPr>
          <w:p>
            <w:r>
              <w:rPr>
                <w:b/>
                <w:bCs/>
                <w:color w:val="FFFFFF"/>
                <w:sz w:val="17"/>
                <w:szCs w:val="17"/>
              </w:rPr>
              <w:t xml:space="preserve">Primary System</w:t>
            </w:r>
          </w:p>
        </w:tc>
      </w:tr>
      <w:tr>
        <w:tc>
          <w:tcPr>
            <w:tcW w:type="dxa" w:w="2253"/>
            <w:tcMar>
              <w:top w:type="dxa" w:w="70"/>
              <w:left w:type="dxa" w:w="90"/>
              <w:bottom w:type="dxa" w:w="70"/>
              <w:right w:type="dxa" w:w="90"/>
            </w:tcMar>
            <w:vAlign w:val="top"/>
          </w:tcPr>
          <w:p>
            <w:r>
              <w:rPr>
                <w:b/>
                <w:bCs/>
                <w:color w:val="000000"/>
                <w:sz w:val="16"/>
                <w:szCs w:val="16"/>
              </w:rPr>
              <w:t xml:space="preserve">Programme</w:t>
            </w:r>
          </w:p>
        </w:tc>
        <w:tc>
          <w:tcPr>
            <w:tcW w:type="dxa" w:w="5939"/>
            <w:tcMar>
              <w:top w:type="dxa" w:w="70"/>
              <w:left w:type="dxa" w:w="90"/>
              <w:bottom w:type="dxa" w:w="70"/>
              <w:right w:type="dxa" w:w="90"/>
            </w:tcMar>
            <w:vAlign w:val="top"/>
          </w:tcPr>
          <w:p>
            <w:r>
              <w:rPr>
                <w:b w:val="false"/>
                <w:bCs w:val="false"/>
                <w:color w:val="000000"/>
                <w:sz w:val="16"/>
                <w:szCs w:val="16"/>
              </w:rPr>
              <w:t xml:space="preserve">The SAPZ Programme itself, at the top of the entity hierarchy.</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Component</w:t>
            </w:r>
          </w:p>
        </w:tc>
        <w:tc>
          <w:tcPr>
            <w:tcW w:type="dxa" w:w="5939"/>
            <w:tcMar>
              <w:top w:type="dxa" w:w="70"/>
              <w:left w:type="dxa" w:w="90"/>
              <w:bottom w:type="dxa" w:w="70"/>
              <w:right w:type="dxa" w:w="90"/>
            </w:tcMar>
            <w:vAlign w:val="top"/>
          </w:tcPr>
          <w:p>
            <w:r>
              <w:rPr>
                <w:b w:val="false"/>
                <w:bCs w:val="false"/>
                <w:color w:val="000000"/>
                <w:sz w:val="16"/>
                <w:szCs w:val="16"/>
              </w:rPr>
              <w:t xml:space="preserve">A named programme component within SAPZ.</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Project</w:t>
            </w:r>
          </w:p>
        </w:tc>
        <w:tc>
          <w:tcPr>
            <w:tcW w:type="dxa" w:w="5939"/>
            <w:tcMar>
              <w:top w:type="dxa" w:w="70"/>
              <w:left w:type="dxa" w:w="90"/>
              <w:bottom w:type="dxa" w:w="70"/>
              <w:right w:type="dxa" w:w="90"/>
            </w:tcMar>
            <w:vAlign w:val="top"/>
          </w:tcPr>
          <w:p>
            <w:r>
              <w:rPr>
                <w:b w:val="false"/>
                <w:bCs w:val="false"/>
                <w:color w:val="000000"/>
                <w:sz w:val="16"/>
                <w:szCs w:val="16"/>
              </w:rPr>
              <w:t xml:space="preserve">A project nested within a component, per the Projects module (Section 4.2).</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Task</w:t>
            </w:r>
          </w:p>
        </w:tc>
        <w:tc>
          <w:tcPr>
            <w:tcW w:type="dxa" w:w="5939"/>
            <w:tcMar>
              <w:top w:type="dxa" w:w="70"/>
              <w:left w:type="dxa" w:w="90"/>
              <w:bottom w:type="dxa" w:w="70"/>
              <w:right w:type="dxa" w:w="90"/>
            </w:tcMar>
            <w:vAlign w:val="top"/>
          </w:tcPr>
          <w:p>
            <w:r>
              <w:rPr>
                <w:b w:val="false"/>
                <w:bCs w:val="false"/>
                <w:color w:val="000000"/>
                <w:sz w:val="16"/>
                <w:szCs w:val="16"/>
              </w:rPr>
              <w:t xml:space="preserve">An operational task nested within a project.</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Document</w:t>
            </w:r>
          </w:p>
        </w:tc>
        <w:tc>
          <w:tcPr>
            <w:tcW w:type="dxa" w:w="5939"/>
            <w:tcMar>
              <w:top w:type="dxa" w:w="70"/>
              <w:left w:type="dxa" w:w="90"/>
              <w:bottom w:type="dxa" w:w="70"/>
              <w:right w:type="dxa" w:w="90"/>
            </w:tcMar>
            <w:vAlign w:val="top"/>
          </w:tcPr>
          <w:p>
            <w:r>
              <w:rPr>
                <w:b w:val="false"/>
                <w:bCs w:val="false"/>
                <w:color w:val="000000"/>
                <w:sz w:val="16"/>
                <w:szCs w:val="16"/>
              </w:rPr>
              <w:t xml:space="preserve">Any governed document — work plan, report, memo, or procurement record.</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Workflow Instance</w:t>
            </w:r>
          </w:p>
        </w:tc>
        <w:tc>
          <w:tcPr>
            <w:tcW w:type="dxa" w:w="5939"/>
            <w:tcMar>
              <w:top w:type="dxa" w:w="70"/>
              <w:left w:type="dxa" w:w="90"/>
              <w:bottom w:type="dxa" w:w="70"/>
              <w:right w:type="dxa" w:w="90"/>
            </w:tcMar>
            <w:vAlign w:val="top"/>
          </w:tcPr>
          <w:p>
            <w:r>
              <w:rPr>
                <w:b w:val="false"/>
                <w:bCs w:val="false"/>
                <w:color w:val="000000"/>
                <w:sz w:val="16"/>
                <w:szCs w:val="16"/>
              </w:rPr>
              <w:t xml:space="preserve">A single routed approval instance, linked to the document or request it governs.</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Knowledge Item</w:t>
            </w:r>
          </w:p>
        </w:tc>
        <w:tc>
          <w:tcPr>
            <w:tcW w:type="dxa" w:w="5939"/>
            <w:tcMar>
              <w:top w:type="dxa" w:w="70"/>
              <w:left w:type="dxa" w:w="90"/>
              <w:bottom w:type="dxa" w:w="70"/>
              <w:right w:type="dxa" w:w="90"/>
            </w:tcMar>
            <w:vAlign w:val="top"/>
          </w:tcPr>
          <w:p>
            <w:r>
              <w:rPr>
                <w:b w:val="false"/>
                <w:bCs w:val="false"/>
                <w:color w:val="000000"/>
                <w:sz w:val="16"/>
                <w:szCs w:val="16"/>
              </w:rPr>
              <w:t xml:space="preserve">A published unit of institutional knowledge in CKR.</w:t>
            </w:r>
          </w:p>
        </w:tc>
        <w:tc>
          <w:tcPr>
            <w:tcW w:type="dxa" w:w="2048"/>
            <w:tcMar>
              <w:top w:type="dxa" w:w="70"/>
              <w:left w:type="dxa" w:w="90"/>
              <w:bottom w:type="dxa" w:w="70"/>
              <w:right w:type="dxa" w:w="90"/>
            </w:tcMar>
            <w:vAlign w:val="top"/>
          </w:tcPr>
          <w:p>
            <w:r>
              <w:rPr>
                <w:b w:val="false"/>
                <w:bCs w:val="false"/>
                <w:color w:val="000000"/>
                <w:sz w:val="16"/>
                <w:szCs w:val="16"/>
              </w:rPr>
              <w:t xml:space="preserve">CKR</w:t>
            </w:r>
          </w:p>
        </w:tc>
      </w:tr>
      <w:tr>
        <w:tc>
          <w:tcPr>
            <w:tcW w:type="dxa" w:w="2253"/>
            <w:tcMar>
              <w:top w:type="dxa" w:w="70"/>
              <w:left w:type="dxa" w:w="90"/>
              <w:bottom w:type="dxa" w:w="70"/>
              <w:right w:type="dxa" w:w="90"/>
            </w:tcMar>
            <w:vAlign w:val="top"/>
          </w:tcPr>
          <w:p>
            <w:r>
              <w:rPr>
                <w:b/>
                <w:bCs/>
                <w:color w:val="000000"/>
                <w:sz w:val="16"/>
                <w:szCs w:val="16"/>
              </w:rPr>
              <w:t xml:space="preserve">Media Asset</w:t>
            </w:r>
          </w:p>
        </w:tc>
        <w:tc>
          <w:tcPr>
            <w:tcW w:type="dxa" w:w="5939"/>
            <w:tcMar>
              <w:top w:type="dxa" w:w="70"/>
              <w:left w:type="dxa" w:w="90"/>
              <w:bottom w:type="dxa" w:w="70"/>
              <w:right w:type="dxa" w:w="90"/>
            </w:tcMar>
            <w:vAlign w:val="top"/>
          </w:tcPr>
          <w:p>
            <w:r>
              <w:rPr>
                <w:b w:val="false"/>
                <w:bCs w:val="false"/>
                <w:color w:val="000000"/>
                <w:sz w:val="16"/>
                <w:szCs w:val="16"/>
              </w:rPr>
              <w:t xml:space="preserve">A non-text asset (image, video, audio, dataset) linked to a Knowledge Item or Document.</w:t>
            </w:r>
          </w:p>
        </w:tc>
        <w:tc>
          <w:tcPr>
            <w:tcW w:type="dxa" w:w="2048"/>
            <w:tcMar>
              <w:top w:type="dxa" w:w="70"/>
              <w:left w:type="dxa" w:w="90"/>
              <w:bottom w:type="dxa" w:w="70"/>
              <w:right w:type="dxa" w:w="90"/>
            </w:tcMar>
            <w:vAlign w:val="top"/>
          </w:tcPr>
          <w:p>
            <w:r>
              <w:rPr>
                <w:b w:val="false"/>
                <w:bCs w:val="false"/>
                <w:color w:val="000000"/>
                <w:sz w:val="16"/>
                <w:szCs w:val="16"/>
              </w:rPr>
              <w:t xml:space="preserve">Shared</w:t>
            </w:r>
          </w:p>
        </w:tc>
      </w:tr>
      <w:tr>
        <w:tc>
          <w:tcPr>
            <w:tcW w:type="dxa" w:w="2253"/>
            <w:tcMar>
              <w:top w:type="dxa" w:w="70"/>
              <w:left w:type="dxa" w:w="90"/>
              <w:bottom w:type="dxa" w:w="70"/>
              <w:right w:type="dxa" w:w="90"/>
            </w:tcMar>
            <w:vAlign w:val="top"/>
          </w:tcPr>
          <w:p>
            <w:r>
              <w:rPr>
                <w:b/>
                <w:bCs/>
                <w:color w:val="000000"/>
                <w:sz w:val="16"/>
                <w:szCs w:val="16"/>
              </w:rPr>
              <w:t xml:space="preserve">Risk / Issue / Decision Record</w:t>
            </w:r>
          </w:p>
        </w:tc>
        <w:tc>
          <w:tcPr>
            <w:tcW w:type="dxa" w:w="5939"/>
            <w:tcMar>
              <w:top w:type="dxa" w:w="70"/>
              <w:left w:type="dxa" w:w="90"/>
              <w:bottom w:type="dxa" w:w="70"/>
              <w:right w:type="dxa" w:w="90"/>
            </w:tcMar>
            <w:vAlign w:val="top"/>
          </w:tcPr>
          <w:p>
            <w:r>
              <w:rPr>
                <w:b w:val="false"/>
                <w:bCs w:val="false"/>
                <w:color w:val="000000"/>
                <w:sz w:val="16"/>
                <w:szCs w:val="16"/>
              </w:rPr>
              <w:t xml:space="preserve">An entry in one of the three governance registers (Section 4.4).</w:t>
            </w:r>
          </w:p>
        </w:tc>
        <w:tc>
          <w:tcPr>
            <w:tcW w:type="dxa" w:w="2048"/>
            <w:tcMar>
              <w:top w:type="dxa" w:w="70"/>
              <w:left w:type="dxa" w:w="90"/>
              <w:bottom w:type="dxa" w:w="70"/>
              <w:right w:type="dxa" w:w="90"/>
            </w:tcMar>
            <w:vAlign w:val="top"/>
          </w:tcPr>
          <w:p>
            <w:r>
              <w:rPr>
                <w:b w:val="false"/>
                <w:bCs w:val="false"/>
                <w:color w:val="000000"/>
                <w:sz w:val="16"/>
                <w:szCs w:val="16"/>
              </w:rPr>
              <w:t xml:space="preserve">ESM</w:t>
            </w:r>
          </w:p>
        </w:tc>
      </w:tr>
      <w:tr>
        <w:tc>
          <w:tcPr>
            <w:tcW w:type="dxa" w:w="2253"/>
            <w:tcMar>
              <w:top w:type="dxa" w:w="70"/>
              <w:left w:type="dxa" w:w="90"/>
              <w:bottom w:type="dxa" w:w="70"/>
              <w:right w:type="dxa" w:w="90"/>
            </w:tcMar>
            <w:vAlign w:val="top"/>
          </w:tcPr>
          <w:p>
            <w:r>
              <w:rPr>
                <w:b/>
                <w:bCs/>
                <w:color w:val="000000"/>
                <w:sz w:val="16"/>
                <w:szCs w:val="16"/>
              </w:rPr>
              <w:t xml:space="preserve">State / FCT</w:t>
            </w:r>
          </w:p>
        </w:tc>
        <w:tc>
          <w:tcPr>
            <w:tcW w:type="dxa" w:w="5939"/>
            <w:tcMar>
              <w:top w:type="dxa" w:w="70"/>
              <w:left w:type="dxa" w:w="90"/>
              <w:bottom w:type="dxa" w:w="70"/>
              <w:right w:type="dxa" w:w="90"/>
            </w:tcMar>
            <w:vAlign w:val="top"/>
          </w:tcPr>
          <w:p>
            <w:r>
              <w:rPr>
                <w:b w:val="false"/>
                <w:bCs w:val="false"/>
                <w:color w:val="000000"/>
                <w:sz w:val="16"/>
                <w:szCs w:val="16"/>
              </w:rPr>
              <w:t xml:space="preserve">One of the seven states or the FCT — the primary geographic dimension of the model.</w:t>
            </w:r>
          </w:p>
        </w:tc>
        <w:tc>
          <w:tcPr>
            <w:tcW w:type="dxa" w:w="2048"/>
            <w:tcMar>
              <w:top w:type="dxa" w:w="70"/>
              <w:left w:type="dxa" w:w="90"/>
              <w:bottom w:type="dxa" w:w="70"/>
              <w:right w:type="dxa" w:w="90"/>
            </w:tcMar>
            <w:vAlign w:val="top"/>
          </w:tcPr>
          <w:p>
            <w:r>
              <w:rPr>
                <w:b w:val="false"/>
                <w:bCs w:val="false"/>
                <w:color w:val="000000"/>
                <w:sz w:val="16"/>
                <w:szCs w:val="16"/>
              </w:rPr>
              <w:t xml:space="preserve">Shared (master data)</w:t>
            </w:r>
          </w:p>
        </w:tc>
      </w:tr>
      <w:tr>
        <w:tc>
          <w:tcPr>
            <w:tcW w:type="dxa" w:w="2253"/>
            <w:tcMar>
              <w:top w:type="dxa" w:w="70"/>
              <w:left w:type="dxa" w:w="90"/>
              <w:bottom w:type="dxa" w:w="70"/>
              <w:right w:type="dxa" w:w="90"/>
            </w:tcMar>
            <w:vAlign w:val="top"/>
          </w:tcPr>
          <w:p>
            <w:r>
              <w:rPr>
                <w:b/>
                <w:bCs/>
                <w:color w:val="000000"/>
                <w:sz w:val="16"/>
                <w:szCs w:val="16"/>
              </w:rPr>
              <w:t xml:space="preserve">User</w:t>
            </w:r>
          </w:p>
        </w:tc>
        <w:tc>
          <w:tcPr>
            <w:tcW w:type="dxa" w:w="5939"/>
            <w:tcMar>
              <w:top w:type="dxa" w:w="70"/>
              <w:left w:type="dxa" w:w="90"/>
              <w:bottom w:type="dxa" w:w="70"/>
              <w:right w:type="dxa" w:w="90"/>
            </w:tcMar>
            <w:vAlign w:val="top"/>
          </w:tcPr>
          <w:p>
            <w:r>
              <w:rPr>
                <w:b w:val="false"/>
                <w:bCs w:val="false"/>
                <w:color w:val="000000"/>
                <w:sz w:val="16"/>
                <w:szCs w:val="16"/>
              </w:rPr>
              <w:t xml:space="preserve">Any individual with an account in ESM, CKR, or both.</w:t>
            </w:r>
          </w:p>
        </w:tc>
        <w:tc>
          <w:tcPr>
            <w:tcW w:type="dxa" w:w="2048"/>
            <w:tcMar>
              <w:top w:type="dxa" w:w="70"/>
              <w:left w:type="dxa" w:w="90"/>
              <w:bottom w:type="dxa" w:w="70"/>
              <w:right w:type="dxa" w:w="90"/>
            </w:tcMar>
            <w:vAlign w:val="top"/>
          </w:tcPr>
          <w:p>
            <w:r>
              <w:rPr>
                <w:b w:val="false"/>
                <w:bCs w:val="false"/>
                <w:color w:val="000000"/>
                <w:sz w:val="16"/>
                <w:szCs w:val="16"/>
              </w:rPr>
              <w:t xml:space="preserve">Shared</w:t>
            </w:r>
          </w:p>
        </w:tc>
      </w:tr>
      <w:tr>
        <w:tc>
          <w:tcPr>
            <w:tcW w:type="dxa" w:w="2253"/>
            <w:tcMar>
              <w:top w:type="dxa" w:w="70"/>
              <w:left w:type="dxa" w:w="90"/>
              <w:bottom w:type="dxa" w:w="70"/>
              <w:right w:type="dxa" w:w="90"/>
            </w:tcMar>
            <w:vAlign w:val="top"/>
          </w:tcPr>
          <w:p>
            <w:r>
              <w:rPr>
                <w:b/>
                <w:bCs/>
                <w:color w:val="000000"/>
                <w:sz w:val="16"/>
                <w:szCs w:val="16"/>
              </w:rPr>
              <w:t xml:space="preserve">Role</w:t>
            </w:r>
          </w:p>
        </w:tc>
        <w:tc>
          <w:tcPr>
            <w:tcW w:type="dxa" w:w="5939"/>
            <w:tcMar>
              <w:top w:type="dxa" w:w="70"/>
              <w:left w:type="dxa" w:w="90"/>
              <w:bottom w:type="dxa" w:w="70"/>
              <w:right w:type="dxa" w:w="90"/>
            </w:tcMar>
            <w:vAlign w:val="top"/>
          </w:tcPr>
          <w:p>
            <w:r>
              <w:rPr>
                <w:b w:val="false"/>
                <w:bCs w:val="false"/>
                <w:color w:val="000000"/>
                <w:sz w:val="16"/>
                <w:szCs w:val="16"/>
              </w:rPr>
              <w:t xml:space="preserve">A named role governing what a User may do, per the RBAC model (Section 8).</w:t>
            </w:r>
          </w:p>
        </w:tc>
        <w:tc>
          <w:tcPr>
            <w:tcW w:type="dxa" w:w="2048"/>
            <w:tcMar>
              <w:top w:type="dxa" w:w="70"/>
              <w:left w:type="dxa" w:w="90"/>
              <w:bottom w:type="dxa" w:w="70"/>
              <w:right w:type="dxa" w:w="90"/>
            </w:tcMar>
            <w:vAlign w:val="top"/>
          </w:tcPr>
          <w:p>
            <w:r>
              <w:rPr>
                <w:b w:val="false"/>
                <w:bCs w:val="false"/>
                <w:color w:val="000000"/>
                <w:sz w:val="16"/>
                <w:szCs w:val="16"/>
              </w:rPr>
              <w:t xml:space="preserve">Shared</w:t>
            </w:r>
          </w:p>
        </w:tc>
      </w:tr>
      <w:tr>
        <w:tc>
          <w:tcPr>
            <w:tcW w:type="dxa" w:w="2253"/>
            <w:tcMar>
              <w:top w:type="dxa" w:w="70"/>
              <w:left w:type="dxa" w:w="90"/>
              <w:bottom w:type="dxa" w:w="70"/>
              <w:right w:type="dxa" w:w="90"/>
            </w:tcMar>
            <w:vAlign w:val="top"/>
          </w:tcPr>
          <w:p>
            <w:r>
              <w:rPr>
                <w:b/>
                <w:bCs/>
                <w:color w:val="000000"/>
                <w:sz w:val="16"/>
                <w:szCs w:val="16"/>
              </w:rPr>
              <w:t xml:space="preserve">Donor / Co-Financier</w:t>
            </w:r>
          </w:p>
        </w:tc>
        <w:tc>
          <w:tcPr>
            <w:tcW w:type="dxa" w:w="5939"/>
            <w:tcMar>
              <w:top w:type="dxa" w:w="70"/>
              <w:left w:type="dxa" w:w="90"/>
              <w:bottom w:type="dxa" w:w="70"/>
              <w:right w:type="dxa" w:w="90"/>
            </w:tcMar>
            <w:vAlign w:val="top"/>
          </w:tcPr>
          <w:p>
            <w:r>
              <w:rPr>
                <w:b w:val="false"/>
                <w:bCs w:val="false"/>
                <w:color w:val="000000"/>
                <w:sz w:val="16"/>
                <w:szCs w:val="16"/>
              </w:rPr>
              <w:t xml:space="preserve">AfDB, IFAD, or IsDB, referenced wherever donor-specific reporting or governance applies.</w:t>
            </w:r>
          </w:p>
        </w:tc>
        <w:tc>
          <w:tcPr>
            <w:tcW w:type="dxa" w:w="2048"/>
            <w:tcMar>
              <w:top w:type="dxa" w:w="70"/>
              <w:left w:type="dxa" w:w="90"/>
              <w:bottom w:type="dxa" w:w="70"/>
              <w:right w:type="dxa" w:w="90"/>
            </w:tcMar>
            <w:vAlign w:val="top"/>
          </w:tcPr>
          <w:p>
            <w:r>
              <w:rPr>
                <w:b w:val="false"/>
                <w:bCs w:val="false"/>
                <w:color w:val="000000"/>
                <w:sz w:val="16"/>
                <w:szCs w:val="16"/>
              </w:rPr>
              <w:t xml:space="preserve">Shared (reference data)</w:t>
            </w:r>
          </w:p>
        </w:tc>
      </w:tr>
      <w:tr>
        <w:tc>
          <w:tcPr>
            <w:tcW w:type="dxa" w:w="2253"/>
            <w:tcMar>
              <w:top w:type="dxa" w:w="70"/>
              <w:left w:type="dxa" w:w="90"/>
              <w:bottom w:type="dxa" w:w="70"/>
              <w:right w:type="dxa" w:w="90"/>
            </w:tcMar>
            <w:vAlign w:val="top"/>
          </w:tcPr>
          <w:p>
            <w:r>
              <w:rPr>
                <w:b/>
                <w:bCs/>
                <w:color w:val="000000"/>
                <w:sz w:val="16"/>
                <w:szCs w:val="16"/>
              </w:rPr>
              <w:t xml:space="preserve">KPI</w:t>
            </w:r>
          </w:p>
        </w:tc>
        <w:tc>
          <w:tcPr>
            <w:tcW w:type="dxa" w:w="5939"/>
            <w:tcMar>
              <w:top w:type="dxa" w:w="70"/>
              <w:left w:type="dxa" w:w="90"/>
              <w:bottom w:type="dxa" w:w="70"/>
              <w:right w:type="dxa" w:w="90"/>
            </w:tcMar>
            <w:vAlign w:val="top"/>
          </w:tcPr>
          <w:p>
            <w:r>
              <w:rPr>
                <w:b w:val="false"/>
                <w:bCs w:val="false"/>
                <w:color w:val="000000"/>
                <w:sz w:val="16"/>
                <w:szCs w:val="16"/>
              </w:rPr>
              <w:t xml:space="preserve">A defined performance indicator, per the TOR's own Section 10 KPI set.</w:t>
            </w:r>
          </w:p>
        </w:tc>
        <w:tc>
          <w:tcPr>
            <w:tcW w:type="dxa" w:w="2048"/>
            <w:tcMar>
              <w:top w:type="dxa" w:w="70"/>
              <w:left w:type="dxa" w:w="90"/>
              <w:bottom w:type="dxa" w:w="70"/>
              <w:right w:type="dxa" w:w="90"/>
            </w:tcMar>
            <w:vAlign w:val="top"/>
          </w:tcPr>
          <w:p>
            <w:r>
              <w:rPr>
                <w:b w:val="false"/>
                <w:bCs w:val="false"/>
                <w:color w:val="000000"/>
                <w:sz w:val="16"/>
                <w:szCs w:val="16"/>
              </w:rPr>
              <w:t xml:space="preserve">Shared</w:t>
            </w:r>
          </w:p>
        </w:tc>
      </w:tr>
    </w:tbl>
    <w:p>
      <w:pPr>
        <w:spacing w:after="160"/>
      </w:pPr>
    </w:p>
    <w:p>
      <w:pPr>
        <w:pStyle w:val="Heading1"/>
        <w:pBdr>
          <w:bottom w:val="single" w:color="1F3864" w:sz="6" w:space="4"/>
        </w:pBdr>
        <w:spacing w:after="130" w:before="320"/>
      </w:pPr>
      <w:r>
        <w:t xml:space="preserve">5.2 Content Model</w:t>
      </w:r>
    </w:p>
    <w:p>
      <w:pPr>
        <w:spacing w:after="150" w:line="276"/>
        <w:jc w:val="both"/>
      </w:pPr>
      <w:r>
        <w:t xml:space="preserve">ESM and CKR each define a distinct set of content types, unified under the same metadata schema (Section 5.5) so that a single taxonomy governs both without forcing the two systems to hold identical content.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34"/>
        <w:gridCol w:w="2048"/>
        <w:gridCol w:w="6758"/>
      </w:tblGrid>
      <w:tr>
        <w:trPr>
          <w:tblHeader/>
        </w:trPr>
        <w:tc>
          <w:tcPr>
            <w:tcW w:type="dxa" w:w="1434"/>
            <w:shd w:fill="1F3864" w:val="clear"/>
            <w:tcMar>
              <w:top w:type="dxa" w:w="70"/>
              <w:left w:type="dxa" w:w="90"/>
              <w:bottom w:type="dxa" w:w="70"/>
              <w:right w:type="dxa" w:w="90"/>
            </w:tcMar>
            <w:vAlign w:val="top"/>
          </w:tcPr>
          <w:p>
            <w:r>
              <w:rPr>
                <w:b/>
                <w:bCs/>
                <w:color w:val="FFFFFF"/>
                <w:sz w:val="17"/>
                <w:szCs w:val="17"/>
              </w:rPr>
              <w:t xml:space="preserve">System</w:t>
            </w:r>
          </w:p>
        </w:tc>
        <w:tc>
          <w:tcPr>
            <w:tcW w:type="dxa" w:w="2048"/>
            <w:shd w:fill="1F3864" w:val="clear"/>
            <w:tcMar>
              <w:top w:type="dxa" w:w="70"/>
              <w:left w:type="dxa" w:w="90"/>
              <w:bottom w:type="dxa" w:w="70"/>
              <w:right w:type="dxa" w:w="90"/>
            </w:tcMar>
            <w:vAlign w:val="top"/>
          </w:tcPr>
          <w:p>
            <w:r>
              <w:rPr>
                <w:b/>
                <w:bCs/>
                <w:color w:val="FFFFFF"/>
                <w:sz w:val="17"/>
                <w:szCs w:val="17"/>
              </w:rPr>
              <w:t xml:space="preserve">Content Type</w:t>
            </w:r>
          </w:p>
        </w:tc>
        <w:tc>
          <w:tcPr>
            <w:tcW w:type="dxa" w:w="6758"/>
            <w:shd w:fill="1F3864" w:val="clear"/>
            <w:tcMar>
              <w:top w:type="dxa" w:w="70"/>
              <w:left w:type="dxa" w:w="90"/>
              <w:bottom w:type="dxa" w:w="70"/>
              <w:right w:type="dxa" w:w="90"/>
            </w:tcMar>
            <w:vAlign w:val="top"/>
          </w:tcPr>
          <w:p>
            <w:r>
              <w:rPr>
                <w:b/>
                <w:bCs/>
                <w:color w:val="FFFFFF"/>
                <w:sz w:val="17"/>
                <w:szCs w:val="17"/>
              </w:rPr>
              <w:t xml:space="preserve">Description</w:t>
            </w:r>
          </w:p>
        </w:tc>
      </w:tr>
      <w:tr>
        <w:tc>
          <w:tcPr>
            <w:tcW w:type="dxa" w:w="1434"/>
            <w:tcMar>
              <w:top w:type="dxa" w:w="70"/>
              <w:left w:type="dxa" w:w="90"/>
              <w:bottom w:type="dxa" w:w="70"/>
              <w:right w:type="dxa" w:w="90"/>
            </w:tcMar>
            <w:vAlign w:val="top"/>
          </w:tcPr>
          <w:p>
            <w:r>
              <w:rPr>
                <w:b/>
                <w:bCs/>
                <w:color w:val="000000"/>
                <w:sz w:val="17"/>
                <w:szCs w:val="17"/>
              </w:rPr>
              <w:t xml:space="preserve">ESM</w:t>
            </w:r>
          </w:p>
        </w:tc>
        <w:tc>
          <w:tcPr>
            <w:tcW w:type="dxa" w:w="2048"/>
            <w:tcMar>
              <w:top w:type="dxa" w:w="70"/>
              <w:left w:type="dxa" w:w="90"/>
              <w:bottom w:type="dxa" w:w="70"/>
              <w:right w:type="dxa" w:w="90"/>
            </w:tcMar>
            <w:vAlign w:val="top"/>
          </w:tcPr>
          <w:p>
            <w:r>
              <w:rPr>
                <w:b w:val="false"/>
                <w:bCs w:val="false"/>
                <w:color w:val="000000"/>
                <w:sz w:val="17"/>
                <w:szCs w:val="17"/>
              </w:rPr>
              <w:t xml:space="preserve">Work Plan</w:t>
            </w:r>
          </w:p>
        </w:tc>
        <w:tc>
          <w:tcPr>
            <w:tcW w:type="dxa" w:w="6758"/>
            <w:tcMar>
              <w:top w:type="dxa" w:w="70"/>
              <w:left w:type="dxa" w:w="90"/>
              <w:bottom w:type="dxa" w:w="70"/>
              <w:right w:type="dxa" w:w="90"/>
            </w:tcMar>
            <w:vAlign w:val="top"/>
          </w:tcPr>
          <w:p>
            <w:r>
              <w:rPr>
                <w:b w:val="false"/>
                <w:bCs w:val="false"/>
                <w:color w:val="000000"/>
                <w:sz w:val="17"/>
                <w:szCs w:val="17"/>
              </w:rPr>
              <w:t xml:space="preserve">State- or component-level plan, routed through the Approval Workflow.</w:t>
            </w:r>
          </w:p>
        </w:tc>
      </w:tr>
      <w:tr>
        <w:tc>
          <w:tcPr>
            <w:tcW w:type="dxa" w:w="1434"/>
            <w:tcMar>
              <w:top w:type="dxa" w:w="70"/>
              <w:left w:type="dxa" w:w="90"/>
              <w:bottom w:type="dxa" w:w="70"/>
              <w:right w:type="dxa" w:w="90"/>
            </w:tcMar>
            <w:vAlign w:val="top"/>
          </w:tcPr>
          <w:p>
            <w:r>
              <w:rPr>
                <w:b/>
                <w:bCs/>
                <w:color w:val="000000"/>
                <w:sz w:val="17"/>
                <w:szCs w:val="17"/>
              </w:rPr>
              <w:t xml:space="preserve">ESM</w:t>
            </w:r>
          </w:p>
        </w:tc>
        <w:tc>
          <w:tcPr>
            <w:tcW w:type="dxa" w:w="2048"/>
            <w:tcMar>
              <w:top w:type="dxa" w:w="70"/>
              <w:left w:type="dxa" w:w="90"/>
              <w:bottom w:type="dxa" w:w="70"/>
              <w:right w:type="dxa" w:w="90"/>
            </w:tcMar>
            <w:vAlign w:val="top"/>
          </w:tcPr>
          <w:p>
            <w:r>
              <w:rPr>
                <w:b w:val="false"/>
                <w:bCs w:val="false"/>
                <w:color w:val="000000"/>
                <w:sz w:val="17"/>
                <w:szCs w:val="17"/>
              </w:rPr>
              <w:t xml:space="preserve">Report</w:t>
            </w:r>
          </w:p>
        </w:tc>
        <w:tc>
          <w:tcPr>
            <w:tcW w:type="dxa" w:w="6758"/>
            <w:tcMar>
              <w:top w:type="dxa" w:w="70"/>
              <w:left w:type="dxa" w:w="90"/>
              <w:bottom w:type="dxa" w:w="70"/>
              <w:right w:type="dxa" w:w="90"/>
            </w:tcMar>
            <w:vAlign w:val="top"/>
          </w:tcPr>
          <w:p>
            <w:r>
              <w:rPr>
                <w:b w:val="false"/>
                <w:bCs w:val="false"/>
                <w:color w:val="000000"/>
                <w:sz w:val="17"/>
                <w:szCs w:val="17"/>
              </w:rPr>
              <w:t xml:space="preserve">Periodic donor or internal report, generated via the Reports module or authored directly.</w:t>
            </w:r>
          </w:p>
        </w:tc>
      </w:tr>
      <w:tr>
        <w:tc>
          <w:tcPr>
            <w:tcW w:type="dxa" w:w="1434"/>
            <w:tcMar>
              <w:top w:type="dxa" w:w="70"/>
              <w:left w:type="dxa" w:w="90"/>
              <w:bottom w:type="dxa" w:w="70"/>
              <w:right w:type="dxa" w:w="90"/>
            </w:tcMar>
            <w:vAlign w:val="top"/>
          </w:tcPr>
          <w:p>
            <w:r>
              <w:rPr>
                <w:b/>
                <w:bCs/>
                <w:color w:val="000000"/>
                <w:sz w:val="17"/>
                <w:szCs w:val="17"/>
              </w:rPr>
              <w:t xml:space="preserve">ESM</w:t>
            </w:r>
          </w:p>
        </w:tc>
        <w:tc>
          <w:tcPr>
            <w:tcW w:type="dxa" w:w="2048"/>
            <w:tcMar>
              <w:top w:type="dxa" w:w="70"/>
              <w:left w:type="dxa" w:w="90"/>
              <w:bottom w:type="dxa" w:w="70"/>
              <w:right w:type="dxa" w:w="90"/>
            </w:tcMar>
            <w:vAlign w:val="top"/>
          </w:tcPr>
          <w:p>
            <w:r>
              <w:rPr>
                <w:b w:val="false"/>
                <w:bCs w:val="false"/>
                <w:color w:val="000000"/>
                <w:sz w:val="17"/>
                <w:szCs w:val="17"/>
              </w:rPr>
              <w:t xml:space="preserve">Memo</w:t>
            </w:r>
          </w:p>
        </w:tc>
        <w:tc>
          <w:tcPr>
            <w:tcW w:type="dxa" w:w="6758"/>
            <w:tcMar>
              <w:top w:type="dxa" w:w="70"/>
              <w:left w:type="dxa" w:w="90"/>
              <w:bottom w:type="dxa" w:w="70"/>
              <w:right w:type="dxa" w:w="90"/>
            </w:tcMar>
            <w:vAlign w:val="top"/>
          </w:tcPr>
          <w:p>
            <w:r>
              <w:rPr>
                <w:b w:val="false"/>
                <w:bCs w:val="false"/>
                <w:color w:val="000000"/>
                <w:sz w:val="17"/>
                <w:szCs w:val="17"/>
              </w:rPr>
              <w:t xml:space="preserve">Internal programme communication requiring a governed approval record.</w:t>
            </w:r>
          </w:p>
        </w:tc>
      </w:tr>
      <w:tr>
        <w:tc>
          <w:tcPr>
            <w:tcW w:type="dxa" w:w="1434"/>
            <w:tcMar>
              <w:top w:type="dxa" w:w="70"/>
              <w:left w:type="dxa" w:w="90"/>
              <w:bottom w:type="dxa" w:w="70"/>
              <w:right w:type="dxa" w:w="90"/>
            </w:tcMar>
            <w:vAlign w:val="top"/>
          </w:tcPr>
          <w:p>
            <w:r>
              <w:rPr>
                <w:b/>
                <w:bCs/>
                <w:color w:val="000000"/>
                <w:sz w:val="17"/>
                <w:szCs w:val="17"/>
              </w:rPr>
              <w:t xml:space="preserve">ESM</w:t>
            </w:r>
          </w:p>
        </w:tc>
        <w:tc>
          <w:tcPr>
            <w:tcW w:type="dxa" w:w="2048"/>
            <w:tcMar>
              <w:top w:type="dxa" w:w="70"/>
              <w:left w:type="dxa" w:w="90"/>
              <w:bottom w:type="dxa" w:w="70"/>
              <w:right w:type="dxa" w:w="90"/>
            </w:tcMar>
            <w:vAlign w:val="top"/>
          </w:tcPr>
          <w:p>
            <w:r>
              <w:rPr>
                <w:b w:val="false"/>
                <w:bCs w:val="false"/>
                <w:color w:val="000000"/>
                <w:sz w:val="17"/>
                <w:szCs w:val="17"/>
              </w:rPr>
              <w:t xml:space="preserve">Procurement Record</w:t>
            </w:r>
          </w:p>
        </w:tc>
        <w:tc>
          <w:tcPr>
            <w:tcW w:type="dxa" w:w="6758"/>
            <w:tcMar>
              <w:top w:type="dxa" w:w="70"/>
              <w:left w:type="dxa" w:w="90"/>
              <w:bottom w:type="dxa" w:w="70"/>
              <w:right w:type="dxa" w:w="90"/>
            </w:tcMar>
            <w:vAlign w:val="top"/>
          </w:tcPr>
          <w:p>
            <w:r>
              <w:rPr>
                <w:b w:val="false"/>
                <w:bCs w:val="false"/>
                <w:color w:val="000000"/>
                <w:sz w:val="17"/>
                <w:szCs w:val="17"/>
              </w:rPr>
              <w:t xml:space="preserve">Documentation supporting the Procurement Tracking process (Section 2.5).</w:t>
            </w:r>
          </w:p>
        </w:tc>
      </w:tr>
      <w:tr>
        <w:tc>
          <w:tcPr>
            <w:tcW w:type="dxa" w:w="1434"/>
            <w:tcMar>
              <w:top w:type="dxa" w:w="70"/>
              <w:left w:type="dxa" w:w="90"/>
              <w:bottom w:type="dxa" w:w="70"/>
              <w:right w:type="dxa" w:w="90"/>
            </w:tcMar>
            <w:vAlign w:val="top"/>
          </w:tcPr>
          <w:p>
            <w:r>
              <w:rPr>
                <w:b/>
                <w:bCs/>
                <w:color w:val="000000"/>
                <w:sz w:val="17"/>
                <w:szCs w:val="17"/>
              </w:rPr>
              <w:t xml:space="preserve">ESM</w:t>
            </w:r>
          </w:p>
        </w:tc>
        <w:tc>
          <w:tcPr>
            <w:tcW w:type="dxa" w:w="2048"/>
            <w:tcMar>
              <w:top w:type="dxa" w:w="70"/>
              <w:left w:type="dxa" w:w="90"/>
              <w:bottom w:type="dxa" w:w="70"/>
              <w:right w:type="dxa" w:w="90"/>
            </w:tcMar>
            <w:vAlign w:val="top"/>
          </w:tcPr>
          <w:p>
            <w:r>
              <w:rPr>
                <w:b w:val="false"/>
                <w:bCs w:val="false"/>
                <w:color w:val="000000"/>
                <w:sz w:val="17"/>
                <w:szCs w:val="17"/>
              </w:rPr>
              <w:t xml:space="preserve">Meeting Minutes</w:t>
            </w:r>
          </w:p>
        </w:tc>
        <w:tc>
          <w:tcPr>
            <w:tcW w:type="dxa" w:w="6758"/>
            <w:tcMar>
              <w:top w:type="dxa" w:w="70"/>
              <w:left w:type="dxa" w:w="90"/>
              <w:bottom w:type="dxa" w:w="70"/>
              <w:right w:type="dxa" w:w="90"/>
            </w:tcMar>
            <w:vAlign w:val="top"/>
          </w:tcPr>
          <w:p>
            <w:r>
              <w:rPr>
                <w:b w:val="false"/>
                <w:bCs w:val="false"/>
                <w:color w:val="000000"/>
                <w:sz w:val="17"/>
                <w:szCs w:val="17"/>
              </w:rPr>
              <w:t xml:space="preserve">Output of the Meetings module, linked to action items in Tasks.</w:t>
            </w:r>
          </w:p>
        </w:tc>
      </w:tr>
      <w:tr>
        <w:tc>
          <w:tcPr>
            <w:tcW w:type="dxa" w:w="1434"/>
            <w:tcMar>
              <w:top w:type="dxa" w:w="70"/>
              <w:left w:type="dxa" w:w="90"/>
              <w:bottom w:type="dxa" w:w="70"/>
              <w:right w:type="dxa" w:w="90"/>
            </w:tcMar>
            <w:vAlign w:val="top"/>
          </w:tcPr>
          <w:p>
            <w:r>
              <w:rPr>
                <w:b/>
                <w:bCs/>
                <w:color w:val="000000"/>
                <w:sz w:val="17"/>
                <w:szCs w:val="17"/>
              </w:rPr>
              <w:t xml:space="preserve">CKR</w:t>
            </w:r>
          </w:p>
        </w:tc>
        <w:tc>
          <w:tcPr>
            <w:tcW w:type="dxa" w:w="2048"/>
            <w:tcMar>
              <w:top w:type="dxa" w:w="70"/>
              <w:left w:type="dxa" w:w="90"/>
              <w:bottom w:type="dxa" w:w="70"/>
              <w:right w:type="dxa" w:w="90"/>
            </w:tcMar>
            <w:vAlign w:val="top"/>
          </w:tcPr>
          <w:p>
            <w:r>
              <w:rPr>
                <w:b w:val="false"/>
                <w:bCs w:val="false"/>
                <w:color w:val="000000"/>
                <w:sz w:val="17"/>
                <w:szCs w:val="17"/>
              </w:rPr>
              <w:t xml:space="preserve">Publication</w:t>
            </w:r>
          </w:p>
        </w:tc>
        <w:tc>
          <w:tcPr>
            <w:tcW w:type="dxa" w:w="6758"/>
            <w:tcMar>
              <w:top w:type="dxa" w:w="70"/>
              <w:left w:type="dxa" w:w="90"/>
              <w:bottom w:type="dxa" w:w="70"/>
              <w:right w:type="dxa" w:w="90"/>
            </w:tcMar>
            <w:vAlign w:val="top"/>
          </w:tcPr>
          <w:p>
            <w:r>
              <w:rPr>
                <w:b w:val="false"/>
                <w:bCs w:val="false"/>
                <w:color w:val="000000"/>
                <w:sz w:val="17"/>
                <w:szCs w:val="17"/>
              </w:rPr>
              <w:t xml:space="preserve">A formal knowledge output — study, evaluation, or technical note — named in the TOR's Section 3B.3.</w:t>
            </w:r>
          </w:p>
        </w:tc>
      </w:tr>
      <w:tr>
        <w:tc>
          <w:tcPr>
            <w:tcW w:type="dxa" w:w="1434"/>
            <w:tcMar>
              <w:top w:type="dxa" w:w="70"/>
              <w:left w:type="dxa" w:w="90"/>
              <w:bottom w:type="dxa" w:w="70"/>
              <w:right w:type="dxa" w:w="90"/>
            </w:tcMar>
            <w:vAlign w:val="top"/>
          </w:tcPr>
          <w:p>
            <w:r>
              <w:rPr>
                <w:b/>
                <w:bCs/>
                <w:color w:val="000000"/>
                <w:sz w:val="17"/>
                <w:szCs w:val="17"/>
              </w:rPr>
              <w:t xml:space="preserve">CKR</w:t>
            </w:r>
          </w:p>
        </w:tc>
        <w:tc>
          <w:tcPr>
            <w:tcW w:type="dxa" w:w="2048"/>
            <w:tcMar>
              <w:top w:type="dxa" w:w="70"/>
              <w:left w:type="dxa" w:w="90"/>
              <w:bottom w:type="dxa" w:w="70"/>
              <w:right w:type="dxa" w:w="90"/>
            </w:tcMar>
            <w:vAlign w:val="top"/>
          </w:tcPr>
          <w:p>
            <w:r>
              <w:rPr>
                <w:b w:val="false"/>
                <w:bCs w:val="false"/>
                <w:color w:val="000000"/>
                <w:sz w:val="17"/>
                <w:szCs w:val="17"/>
              </w:rPr>
              <w:t xml:space="preserve">Case Study</w:t>
            </w:r>
          </w:p>
        </w:tc>
        <w:tc>
          <w:tcPr>
            <w:tcW w:type="dxa" w:w="6758"/>
            <w:tcMar>
              <w:top w:type="dxa" w:w="70"/>
              <w:left w:type="dxa" w:w="90"/>
              <w:bottom w:type="dxa" w:w="70"/>
              <w:right w:type="dxa" w:w="90"/>
            </w:tcMar>
            <w:vAlign w:val="top"/>
          </w:tcPr>
          <w:p>
            <w:r>
              <w:rPr>
                <w:b w:val="false"/>
                <w:bCs w:val="false"/>
                <w:color w:val="000000"/>
                <w:sz w:val="17"/>
                <w:szCs w:val="17"/>
              </w:rPr>
              <w:t xml:space="preserve">A structured account of a specific state or component experience, named in TOR Section 3B.3.</w:t>
            </w:r>
          </w:p>
        </w:tc>
      </w:tr>
      <w:tr>
        <w:tc>
          <w:tcPr>
            <w:tcW w:type="dxa" w:w="1434"/>
            <w:tcMar>
              <w:top w:type="dxa" w:w="70"/>
              <w:left w:type="dxa" w:w="90"/>
              <w:bottom w:type="dxa" w:w="70"/>
              <w:right w:type="dxa" w:w="90"/>
            </w:tcMar>
            <w:vAlign w:val="top"/>
          </w:tcPr>
          <w:p>
            <w:r>
              <w:rPr>
                <w:b/>
                <w:bCs/>
                <w:color w:val="000000"/>
                <w:sz w:val="17"/>
                <w:szCs w:val="17"/>
              </w:rPr>
              <w:t xml:space="preserve">CKR</w:t>
            </w:r>
          </w:p>
        </w:tc>
        <w:tc>
          <w:tcPr>
            <w:tcW w:type="dxa" w:w="2048"/>
            <w:tcMar>
              <w:top w:type="dxa" w:w="70"/>
              <w:left w:type="dxa" w:w="90"/>
              <w:bottom w:type="dxa" w:w="70"/>
              <w:right w:type="dxa" w:w="90"/>
            </w:tcMar>
            <w:vAlign w:val="top"/>
          </w:tcPr>
          <w:p>
            <w:r>
              <w:rPr>
                <w:b w:val="false"/>
                <w:bCs w:val="false"/>
                <w:color w:val="000000"/>
                <w:sz w:val="17"/>
                <w:szCs w:val="17"/>
              </w:rPr>
              <w:t xml:space="preserve">Tool</w:t>
            </w:r>
          </w:p>
        </w:tc>
        <w:tc>
          <w:tcPr>
            <w:tcW w:type="dxa" w:w="6758"/>
            <w:tcMar>
              <w:top w:type="dxa" w:w="70"/>
              <w:left w:type="dxa" w:w="90"/>
              <w:bottom w:type="dxa" w:w="70"/>
              <w:right w:type="dxa" w:w="90"/>
            </w:tcMar>
            <w:vAlign w:val="top"/>
          </w:tcPr>
          <w:p>
            <w:r>
              <w:rPr>
                <w:b w:val="false"/>
                <w:bCs w:val="false"/>
                <w:color w:val="000000"/>
                <w:sz w:val="17"/>
                <w:szCs w:val="17"/>
              </w:rPr>
              <w:t xml:space="preserve">A reusable template, guideline, or instrument, named in TOR Section 3B.3.</w:t>
            </w:r>
          </w:p>
        </w:tc>
      </w:tr>
      <w:tr>
        <w:tc>
          <w:tcPr>
            <w:tcW w:type="dxa" w:w="1434"/>
            <w:tcMar>
              <w:top w:type="dxa" w:w="70"/>
              <w:left w:type="dxa" w:w="90"/>
              <w:bottom w:type="dxa" w:w="70"/>
              <w:right w:type="dxa" w:w="90"/>
            </w:tcMar>
            <w:vAlign w:val="top"/>
          </w:tcPr>
          <w:p>
            <w:r>
              <w:rPr>
                <w:b/>
                <w:bCs/>
                <w:color w:val="000000"/>
                <w:sz w:val="17"/>
                <w:szCs w:val="17"/>
              </w:rPr>
              <w:t xml:space="preserve">CKR</w:t>
            </w:r>
          </w:p>
        </w:tc>
        <w:tc>
          <w:tcPr>
            <w:tcW w:type="dxa" w:w="2048"/>
            <w:tcMar>
              <w:top w:type="dxa" w:w="70"/>
              <w:left w:type="dxa" w:w="90"/>
              <w:bottom w:type="dxa" w:w="70"/>
              <w:right w:type="dxa" w:w="90"/>
            </w:tcMar>
            <w:vAlign w:val="top"/>
          </w:tcPr>
          <w:p>
            <w:r>
              <w:rPr>
                <w:b w:val="false"/>
                <w:bCs w:val="false"/>
                <w:color w:val="000000"/>
                <w:sz w:val="17"/>
                <w:szCs w:val="17"/>
              </w:rPr>
              <w:t xml:space="preserve">Event Record</w:t>
            </w:r>
          </w:p>
        </w:tc>
        <w:tc>
          <w:tcPr>
            <w:tcW w:type="dxa" w:w="6758"/>
            <w:tcMar>
              <w:top w:type="dxa" w:w="70"/>
              <w:left w:type="dxa" w:w="90"/>
              <w:bottom w:type="dxa" w:w="70"/>
              <w:right w:type="dxa" w:w="90"/>
            </w:tcMar>
            <w:vAlign w:val="top"/>
          </w:tcPr>
          <w:p>
            <w:r>
              <w:rPr>
                <w:b w:val="false"/>
                <w:bCs w:val="false"/>
                <w:color w:val="000000"/>
                <w:sz w:val="17"/>
                <w:szCs w:val="17"/>
              </w:rPr>
              <w:t xml:space="preserve">Documentation of a workshop, training, or stakeholder event, named in TOR Section 3B.3.</w:t>
            </w:r>
          </w:p>
        </w:tc>
      </w:tr>
      <w:tr>
        <w:tc>
          <w:tcPr>
            <w:tcW w:type="dxa" w:w="1434"/>
            <w:tcMar>
              <w:top w:type="dxa" w:w="70"/>
              <w:left w:type="dxa" w:w="90"/>
              <w:bottom w:type="dxa" w:w="70"/>
              <w:right w:type="dxa" w:w="90"/>
            </w:tcMar>
            <w:vAlign w:val="top"/>
          </w:tcPr>
          <w:p>
            <w:r>
              <w:rPr>
                <w:b/>
                <w:bCs/>
                <w:color w:val="000000"/>
                <w:sz w:val="17"/>
                <w:szCs w:val="17"/>
              </w:rPr>
              <w:t xml:space="preserve">Shared</w:t>
            </w:r>
          </w:p>
        </w:tc>
        <w:tc>
          <w:tcPr>
            <w:tcW w:type="dxa" w:w="2048"/>
            <w:tcMar>
              <w:top w:type="dxa" w:w="70"/>
              <w:left w:type="dxa" w:w="90"/>
              <w:bottom w:type="dxa" w:w="70"/>
              <w:right w:type="dxa" w:w="90"/>
            </w:tcMar>
            <w:vAlign w:val="top"/>
          </w:tcPr>
          <w:p>
            <w:r>
              <w:rPr>
                <w:b w:val="false"/>
                <w:bCs w:val="false"/>
                <w:color w:val="000000"/>
                <w:sz w:val="17"/>
                <w:szCs w:val="17"/>
              </w:rPr>
              <w:t xml:space="preserve">Media Asset</w:t>
            </w:r>
          </w:p>
        </w:tc>
        <w:tc>
          <w:tcPr>
            <w:tcW w:type="dxa" w:w="6758"/>
            <w:tcMar>
              <w:top w:type="dxa" w:w="70"/>
              <w:left w:type="dxa" w:w="90"/>
              <w:bottom w:type="dxa" w:w="70"/>
              <w:right w:type="dxa" w:w="90"/>
            </w:tcMar>
            <w:vAlign w:val="top"/>
          </w:tcPr>
          <w:p>
            <w:r>
              <w:rPr>
                <w:b w:val="false"/>
                <w:bCs w:val="false"/>
                <w:color w:val="000000"/>
                <w:sz w:val="17"/>
                <w:szCs w:val="17"/>
              </w:rPr>
              <w:t xml:space="preserve">Image, video, audio, or dataset attached to either an ESM document or a CKR content item.</w:t>
            </w:r>
          </w:p>
        </w:tc>
      </w:tr>
    </w:tbl>
    <w:p>
      <w:pPr>
        <w:spacing w:after="160"/>
      </w:pPr>
    </w:p>
    <w:p>
      <w:pPr>
        <w:pStyle w:val="Heading1"/>
        <w:pBdr>
          <w:bottom w:val="single" w:color="1F3864" w:sz="6" w:space="4"/>
        </w:pBdr>
        <w:spacing w:after="130" w:before="320"/>
      </w:pPr>
      <w:r>
        <w:t xml:space="preserve">5.3 Knowledge Model</w:t>
      </w:r>
    </w:p>
    <w:p>
      <w:pPr>
        <w:spacing w:after="150" w:line="276"/>
        <w:jc w:val="both"/>
      </w:pPr>
      <w:r>
        <w:t xml:space="preserve">The Knowledge Model gives structure to every item passing through the Knowledge Capture and Knowledge Publishing processes (Section 2.5), so that 'institutional memory' (Section 1.3) is a defined data structure, not a loose description.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7987"/>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Element</w:t>
            </w:r>
          </w:p>
        </w:tc>
        <w:tc>
          <w:tcPr>
            <w:tcW w:type="dxa" w:w="7987"/>
            <w:shd w:fill="1F3864" w:val="clear"/>
            <w:tcMar>
              <w:top w:type="dxa" w:w="70"/>
              <w:left w:type="dxa" w:w="90"/>
              <w:bottom w:type="dxa" w:w="70"/>
              <w:right w:type="dxa" w:w="90"/>
            </w:tcMar>
            <w:vAlign w:val="top"/>
          </w:tcPr>
          <w:p>
            <w:r>
              <w:rPr>
                <w:b/>
                <w:bCs/>
                <w:color w:val="FFFFFF"/>
                <w:sz w:val="17"/>
                <w:szCs w:val="17"/>
              </w:rPr>
              <w:t xml:space="preserve">Description</w:t>
            </w:r>
          </w:p>
        </w:tc>
      </w:tr>
      <w:tr>
        <w:tc>
          <w:tcPr>
            <w:tcW w:type="dxa" w:w="2253"/>
            <w:tcMar>
              <w:top w:type="dxa" w:w="70"/>
              <w:left w:type="dxa" w:w="90"/>
              <w:bottom w:type="dxa" w:w="70"/>
              <w:right w:type="dxa" w:w="90"/>
            </w:tcMar>
            <w:vAlign w:val="top"/>
          </w:tcPr>
          <w:p>
            <w:r>
              <w:rPr>
                <w:b/>
                <w:bCs/>
                <w:color w:val="000000"/>
                <w:sz w:val="17"/>
                <w:szCs w:val="17"/>
              </w:rPr>
              <w:t xml:space="preserve">Core Content</w:t>
            </w:r>
          </w:p>
        </w:tc>
        <w:tc>
          <w:tcPr>
            <w:tcW w:type="dxa" w:w="7987"/>
            <w:tcMar>
              <w:top w:type="dxa" w:w="70"/>
              <w:left w:type="dxa" w:w="90"/>
              <w:bottom w:type="dxa" w:w="70"/>
              <w:right w:type="dxa" w:w="90"/>
            </w:tcMar>
            <w:vAlign w:val="top"/>
          </w:tcPr>
          <w:p>
            <w:r>
              <w:rPr>
                <w:b w:val="false"/>
                <w:bCs w:val="false"/>
                <w:color w:val="000000"/>
                <w:sz w:val="17"/>
                <w:szCs w:val="17"/>
              </w:rPr>
              <w:t xml:space="preserve">Title, abstract, and body — the substantive knowledge being captured.</w:t>
            </w:r>
          </w:p>
        </w:tc>
      </w:tr>
      <w:tr>
        <w:tc>
          <w:tcPr>
            <w:tcW w:type="dxa" w:w="2253"/>
            <w:tcMar>
              <w:top w:type="dxa" w:w="70"/>
              <w:left w:type="dxa" w:w="90"/>
              <w:bottom w:type="dxa" w:w="70"/>
              <w:right w:type="dxa" w:w="90"/>
            </w:tcMar>
            <w:vAlign w:val="top"/>
          </w:tcPr>
          <w:p>
            <w:r>
              <w:rPr>
                <w:b/>
                <w:bCs/>
                <w:color w:val="000000"/>
                <w:sz w:val="17"/>
                <w:szCs w:val="17"/>
              </w:rPr>
              <w:t xml:space="preserve">Provenance</w:t>
            </w:r>
          </w:p>
        </w:tc>
        <w:tc>
          <w:tcPr>
            <w:tcW w:type="dxa" w:w="7987"/>
            <w:tcMar>
              <w:top w:type="dxa" w:w="70"/>
              <w:left w:type="dxa" w:w="90"/>
              <w:bottom w:type="dxa" w:w="70"/>
              <w:right w:type="dxa" w:w="90"/>
            </w:tcMar>
            <w:vAlign w:val="top"/>
          </w:tcPr>
          <w:p>
            <w:r>
              <w:rPr>
                <w:b w:val="false"/>
                <w:bCs w:val="false"/>
                <w:color w:val="000000"/>
                <w:sz w:val="17"/>
                <w:szCs w:val="17"/>
              </w:rPr>
              <w:t xml:space="preserve">Originating state or component, author, and date of capture — establishes traceability back to the Content Governance process.</w:t>
            </w:r>
          </w:p>
        </w:tc>
      </w:tr>
      <w:tr>
        <w:tc>
          <w:tcPr>
            <w:tcW w:type="dxa" w:w="2253"/>
            <w:tcMar>
              <w:top w:type="dxa" w:w="70"/>
              <w:left w:type="dxa" w:w="90"/>
              <w:bottom w:type="dxa" w:w="70"/>
              <w:right w:type="dxa" w:w="90"/>
            </w:tcMar>
            <w:vAlign w:val="top"/>
          </w:tcPr>
          <w:p>
            <w:r>
              <w:rPr>
                <w:b/>
                <w:bCs/>
                <w:color w:val="000000"/>
                <w:sz w:val="17"/>
                <w:szCs w:val="17"/>
              </w:rPr>
              <w:t xml:space="preserve">Stewardship</w:t>
            </w:r>
          </w:p>
        </w:tc>
        <w:tc>
          <w:tcPr>
            <w:tcW w:type="dxa" w:w="7987"/>
            <w:tcMar>
              <w:top w:type="dxa" w:w="70"/>
              <w:left w:type="dxa" w:w="90"/>
              <w:bottom w:type="dxa" w:w="70"/>
              <w:right w:type="dxa" w:w="90"/>
            </w:tcMar>
            <w:vAlign w:val="top"/>
          </w:tcPr>
          <w:p>
            <w:r>
              <w:rPr>
                <w:b w:val="false"/>
                <w:bCs w:val="false"/>
                <w:color w:val="000000"/>
                <w:sz w:val="17"/>
                <w:szCs w:val="17"/>
              </w:rPr>
              <w:t xml:space="preserve">The named content steward accountable for the item, per the Knowledge Management Principles in Section 1.7.</w:t>
            </w:r>
          </w:p>
        </w:tc>
      </w:tr>
      <w:tr>
        <w:tc>
          <w:tcPr>
            <w:tcW w:type="dxa" w:w="2253"/>
            <w:tcMar>
              <w:top w:type="dxa" w:w="70"/>
              <w:left w:type="dxa" w:w="90"/>
              <w:bottom w:type="dxa" w:w="70"/>
              <w:right w:type="dxa" w:w="90"/>
            </w:tcMar>
            <w:vAlign w:val="top"/>
          </w:tcPr>
          <w:p>
            <w:r>
              <w:rPr>
                <w:b/>
                <w:bCs/>
                <w:color w:val="000000"/>
                <w:sz w:val="17"/>
                <w:szCs w:val="17"/>
              </w:rPr>
              <w:t xml:space="preserve">Classification</w:t>
            </w:r>
          </w:p>
        </w:tc>
        <w:tc>
          <w:tcPr>
            <w:tcW w:type="dxa" w:w="7987"/>
            <w:tcMar>
              <w:top w:type="dxa" w:w="70"/>
              <w:left w:type="dxa" w:w="90"/>
              <w:bottom w:type="dxa" w:w="70"/>
              <w:right w:type="dxa" w:w="90"/>
            </w:tcMar>
            <w:vAlign w:val="top"/>
          </w:tcPr>
          <w:p>
            <w:r>
              <w:rPr>
                <w:b w:val="false"/>
                <w:bCs w:val="false"/>
                <w:color w:val="000000"/>
                <w:sz w:val="17"/>
                <w:szCs w:val="17"/>
              </w:rPr>
              <w:t xml:space="preserve">Taxonomy terms applied at capture and validated at editorial review (Section 5.6, 5.8).</w:t>
            </w:r>
          </w:p>
        </w:tc>
      </w:tr>
      <w:tr>
        <w:tc>
          <w:tcPr>
            <w:tcW w:type="dxa" w:w="2253"/>
            <w:tcMar>
              <w:top w:type="dxa" w:w="70"/>
              <w:left w:type="dxa" w:w="90"/>
              <w:bottom w:type="dxa" w:w="70"/>
              <w:right w:type="dxa" w:w="90"/>
            </w:tcMar>
            <w:vAlign w:val="top"/>
          </w:tcPr>
          <w:p>
            <w:r>
              <w:rPr>
                <w:b/>
                <w:bCs/>
                <w:color w:val="000000"/>
                <w:sz w:val="17"/>
                <w:szCs w:val="17"/>
              </w:rPr>
              <w:t xml:space="preserve">Related Entities</w:t>
            </w:r>
          </w:p>
        </w:tc>
        <w:tc>
          <w:tcPr>
            <w:tcW w:type="dxa" w:w="7987"/>
            <w:tcMar>
              <w:top w:type="dxa" w:w="70"/>
              <w:left w:type="dxa" w:w="90"/>
              <w:bottom w:type="dxa" w:w="70"/>
              <w:right w:type="dxa" w:w="90"/>
            </w:tcMar>
            <w:vAlign w:val="top"/>
          </w:tcPr>
          <w:p>
            <w:r>
              <w:rPr>
                <w:b w:val="false"/>
                <w:bCs w:val="false"/>
                <w:color w:val="000000"/>
                <w:sz w:val="17"/>
                <w:szCs w:val="17"/>
              </w:rPr>
              <w:t xml:space="preserve">Links to the State/FCT, Component, and Project entities the knowledge item relates to — the foundation for the Phase 2 Knowledge Graph (Section 5.16).</w:t>
            </w:r>
          </w:p>
        </w:tc>
      </w:tr>
      <w:tr>
        <w:tc>
          <w:tcPr>
            <w:tcW w:type="dxa" w:w="2253"/>
            <w:tcMar>
              <w:top w:type="dxa" w:w="70"/>
              <w:left w:type="dxa" w:w="90"/>
              <w:bottom w:type="dxa" w:w="70"/>
              <w:right w:type="dxa" w:w="90"/>
            </w:tcMar>
            <w:vAlign w:val="top"/>
          </w:tcPr>
          <w:p>
            <w:r>
              <w:rPr>
                <w:b/>
                <w:bCs/>
                <w:color w:val="000000"/>
                <w:sz w:val="17"/>
                <w:szCs w:val="17"/>
              </w:rPr>
              <w:t xml:space="preserve">Lifecycle Status</w:t>
            </w:r>
          </w:p>
        </w:tc>
        <w:tc>
          <w:tcPr>
            <w:tcW w:type="dxa" w:w="7987"/>
            <w:tcMar>
              <w:top w:type="dxa" w:w="70"/>
              <w:left w:type="dxa" w:w="90"/>
              <w:bottom w:type="dxa" w:w="70"/>
              <w:right w:type="dxa" w:w="90"/>
            </w:tcMar>
            <w:vAlign w:val="top"/>
          </w:tcPr>
          <w:p>
            <w:r>
              <w:rPr>
                <w:b w:val="false"/>
                <w:bCs w:val="false"/>
                <w:color w:val="000000"/>
                <w:sz w:val="17"/>
                <w:szCs w:val="17"/>
              </w:rPr>
              <w:t xml:space="preserve">Captured, Under Review, Published, or Retired — mirrors the Document Lifecycle states in Section 5.10.</w:t>
            </w:r>
          </w:p>
        </w:tc>
      </w:tr>
      <w:tr>
        <w:tc>
          <w:tcPr>
            <w:tcW w:type="dxa" w:w="2253"/>
            <w:tcMar>
              <w:top w:type="dxa" w:w="70"/>
              <w:left w:type="dxa" w:w="90"/>
              <w:bottom w:type="dxa" w:w="70"/>
              <w:right w:type="dxa" w:w="90"/>
            </w:tcMar>
            <w:vAlign w:val="top"/>
          </w:tcPr>
          <w:p>
            <w:r>
              <w:rPr>
                <w:b/>
                <w:bCs/>
                <w:color w:val="000000"/>
                <w:sz w:val="17"/>
                <w:szCs w:val="17"/>
              </w:rPr>
              <w:t xml:space="preserve">Usage Data</w:t>
            </w:r>
          </w:p>
        </w:tc>
        <w:tc>
          <w:tcPr>
            <w:tcW w:type="dxa" w:w="7987"/>
            <w:tcMar>
              <w:top w:type="dxa" w:w="70"/>
              <w:left w:type="dxa" w:w="90"/>
              <w:bottom w:type="dxa" w:w="70"/>
              <w:right w:type="dxa" w:w="90"/>
            </w:tcMar>
            <w:vAlign w:val="top"/>
          </w:tcPr>
          <w:p>
            <w:r>
              <w:rPr>
                <w:b w:val="false"/>
                <w:bCs w:val="false"/>
                <w:color w:val="000000"/>
                <w:sz w:val="17"/>
                <w:szCs w:val="17"/>
              </w:rPr>
              <w:t xml:space="preserve">Search, download, and read counts, feeding the TOR's own knowledge-usage-metrics KPI and the Phase 2 usage-driven curation strategy.</w:t>
            </w:r>
          </w:p>
        </w:tc>
      </w:tr>
    </w:tbl>
    <w:p>
      <w:pPr>
        <w:spacing w:after="160"/>
      </w:pPr>
    </w:p>
    <w:p>
      <w:pPr>
        <w:pStyle w:val="Heading1"/>
        <w:pBdr>
          <w:bottom w:val="single" w:color="1F3864" w:sz="6" w:space="4"/>
        </w:pBdr>
        <w:spacing w:after="130" w:before="320"/>
      </w:pPr>
      <w:r>
        <w:t xml:space="preserve">5.4 Metadata Standards</w:t>
      </w:r>
    </w:p>
    <w:p>
      <w:pPr>
        <w:spacing w:after="150" w:line="276"/>
        <w:jc w:val="both"/>
      </w:pPr>
      <w:r>
        <w:t xml:space="preserve">A single metadata schema applies to every content type identified in Section 5.2, so a document in ESM and a knowledge item in CKR are described the same way structurally, even though their content differs.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5939"/>
        <w:gridCol w:w="1843"/>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Field</w:t>
            </w:r>
          </w:p>
        </w:tc>
        <w:tc>
          <w:tcPr>
            <w:tcW w:type="dxa" w:w="5939"/>
            <w:shd w:fill="1F3864" w:val="clear"/>
            <w:tcMar>
              <w:top w:type="dxa" w:w="70"/>
              <w:left w:type="dxa" w:w="90"/>
              <w:bottom w:type="dxa" w:w="70"/>
              <w:right w:type="dxa" w:w="90"/>
            </w:tcMar>
            <w:vAlign w:val="top"/>
          </w:tcPr>
          <w:p>
            <w:r>
              <w:rPr>
                <w:b/>
                <w:bCs/>
                <w:color w:val="FFFFFF"/>
                <w:sz w:val="17"/>
                <w:szCs w:val="17"/>
              </w:rPr>
              <w:t xml:space="preserve">Purpose</w:t>
            </w:r>
          </w:p>
        </w:tc>
        <w:tc>
          <w:tcPr>
            <w:tcW w:type="dxa" w:w="1843"/>
            <w:shd w:fill="1F3864" w:val="clear"/>
            <w:tcMar>
              <w:top w:type="dxa" w:w="70"/>
              <w:left w:type="dxa" w:w="90"/>
              <w:bottom w:type="dxa" w:w="70"/>
              <w:right w:type="dxa" w:w="90"/>
            </w:tcMar>
            <w:vAlign w:val="top"/>
          </w:tcPr>
          <w:p>
            <w:r>
              <w:rPr>
                <w:b/>
                <w:bCs/>
                <w:color w:val="FFFFFF"/>
                <w:sz w:val="17"/>
                <w:szCs w:val="17"/>
              </w:rPr>
              <w:t xml:space="preserve">Mandatory</w:t>
            </w:r>
          </w:p>
        </w:tc>
      </w:tr>
      <w:tr>
        <w:tc>
          <w:tcPr>
            <w:tcW w:type="dxa" w:w="2458"/>
            <w:tcMar>
              <w:top w:type="dxa" w:w="70"/>
              <w:left w:type="dxa" w:w="90"/>
              <w:bottom w:type="dxa" w:w="70"/>
              <w:right w:type="dxa" w:w="90"/>
            </w:tcMar>
            <w:vAlign w:val="top"/>
          </w:tcPr>
          <w:p>
            <w:r>
              <w:rPr>
                <w:b/>
                <w:bCs/>
                <w:color w:val="000000"/>
                <w:sz w:val="17"/>
                <w:szCs w:val="17"/>
              </w:rPr>
              <w:t xml:space="preserve">Title</w:t>
            </w:r>
          </w:p>
        </w:tc>
        <w:tc>
          <w:tcPr>
            <w:tcW w:type="dxa" w:w="5939"/>
            <w:tcMar>
              <w:top w:type="dxa" w:w="70"/>
              <w:left w:type="dxa" w:w="90"/>
              <w:bottom w:type="dxa" w:w="70"/>
              <w:right w:type="dxa" w:w="90"/>
            </w:tcMar>
            <w:vAlign w:val="top"/>
          </w:tcPr>
          <w:p>
            <w:r>
              <w:rPr>
                <w:b w:val="false"/>
                <w:bCs w:val="false"/>
                <w:color w:val="000000"/>
                <w:sz w:val="17"/>
                <w:szCs w:val="17"/>
              </w:rPr>
              <w:t xml:space="preserve">Human-readable identifier for the item.</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Content Type</w:t>
            </w:r>
          </w:p>
        </w:tc>
        <w:tc>
          <w:tcPr>
            <w:tcW w:type="dxa" w:w="5939"/>
            <w:tcMar>
              <w:top w:type="dxa" w:w="70"/>
              <w:left w:type="dxa" w:w="90"/>
              <w:bottom w:type="dxa" w:w="70"/>
              <w:right w:type="dxa" w:w="90"/>
            </w:tcMar>
            <w:vAlign w:val="top"/>
          </w:tcPr>
          <w:p>
            <w:r>
              <w:rPr>
                <w:b w:val="false"/>
                <w:bCs w:val="false"/>
                <w:color w:val="000000"/>
                <w:sz w:val="17"/>
                <w:szCs w:val="17"/>
              </w:rPr>
              <w:t xml:space="preserve">One of the types defined in Section 5.2.</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Owner / Steward</w:t>
            </w:r>
          </w:p>
        </w:tc>
        <w:tc>
          <w:tcPr>
            <w:tcW w:type="dxa" w:w="5939"/>
            <w:tcMar>
              <w:top w:type="dxa" w:w="70"/>
              <w:left w:type="dxa" w:w="90"/>
              <w:bottom w:type="dxa" w:w="70"/>
              <w:right w:type="dxa" w:w="90"/>
            </w:tcMar>
            <w:vAlign w:val="top"/>
          </w:tcPr>
          <w:p>
            <w:r>
              <w:rPr>
                <w:b w:val="false"/>
                <w:bCs w:val="false"/>
                <w:color w:val="000000"/>
                <w:sz w:val="17"/>
                <w:szCs w:val="17"/>
              </w:rPr>
              <w:t xml:space="preserve">The individual or role accountable for the item, per Section 2.9.</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State / FCT</w:t>
            </w:r>
          </w:p>
        </w:tc>
        <w:tc>
          <w:tcPr>
            <w:tcW w:type="dxa" w:w="5939"/>
            <w:tcMar>
              <w:top w:type="dxa" w:w="70"/>
              <w:left w:type="dxa" w:w="90"/>
              <w:bottom w:type="dxa" w:w="70"/>
              <w:right w:type="dxa" w:w="90"/>
            </w:tcMar>
            <w:vAlign w:val="top"/>
          </w:tcPr>
          <w:p>
            <w:r>
              <w:rPr>
                <w:b w:val="false"/>
                <w:bCs w:val="false"/>
                <w:color w:val="000000"/>
                <w:sz w:val="17"/>
                <w:szCs w:val="17"/>
              </w:rPr>
              <w:t xml:space="preserve">Geographic classification against the shared taxonomy.</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Component / Project</w:t>
            </w:r>
          </w:p>
        </w:tc>
        <w:tc>
          <w:tcPr>
            <w:tcW w:type="dxa" w:w="5939"/>
            <w:tcMar>
              <w:top w:type="dxa" w:w="70"/>
              <w:left w:type="dxa" w:w="90"/>
              <w:bottom w:type="dxa" w:w="70"/>
              <w:right w:type="dxa" w:w="90"/>
            </w:tcMar>
            <w:vAlign w:val="top"/>
          </w:tcPr>
          <w:p>
            <w:r>
              <w:rPr>
                <w:b w:val="false"/>
                <w:bCs w:val="false"/>
                <w:color w:val="000000"/>
                <w:sz w:val="17"/>
                <w:szCs w:val="17"/>
              </w:rPr>
              <w:t xml:space="preserve">Programme classification, linking the item to the Enterprise Information Model.</w:t>
            </w:r>
          </w:p>
        </w:tc>
        <w:tc>
          <w:tcPr>
            <w:tcW w:type="dxa" w:w="1843"/>
            <w:tcMar>
              <w:top w:type="dxa" w:w="70"/>
              <w:left w:type="dxa" w:w="90"/>
              <w:bottom w:type="dxa" w:w="70"/>
              <w:right w:type="dxa" w:w="90"/>
            </w:tcMar>
            <w:vAlign w:val="top"/>
          </w:tcPr>
          <w:p>
            <w:r>
              <w:rPr>
                <w:b w:val="false"/>
                <w:bCs w:val="false"/>
                <w:color w:val="000000"/>
                <w:sz w:val="17"/>
                <w:szCs w:val="17"/>
              </w:rPr>
              <w:t xml:space="preserve">Yes for ESM content; optional for CKR</w:t>
            </w:r>
          </w:p>
        </w:tc>
      </w:tr>
      <w:tr>
        <w:tc>
          <w:tcPr>
            <w:tcW w:type="dxa" w:w="2458"/>
            <w:tcMar>
              <w:top w:type="dxa" w:w="70"/>
              <w:left w:type="dxa" w:w="90"/>
              <w:bottom w:type="dxa" w:w="70"/>
              <w:right w:type="dxa" w:w="90"/>
            </w:tcMar>
            <w:vAlign w:val="top"/>
          </w:tcPr>
          <w:p>
            <w:r>
              <w:rPr>
                <w:b/>
                <w:bCs/>
                <w:color w:val="000000"/>
                <w:sz w:val="17"/>
                <w:szCs w:val="17"/>
              </w:rPr>
              <w:t xml:space="preserve">Classification / Sensitivity</w:t>
            </w:r>
          </w:p>
        </w:tc>
        <w:tc>
          <w:tcPr>
            <w:tcW w:type="dxa" w:w="5939"/>
            <w:tcMar>
              <w:top w:type="dxa" w:w="70"/>
              <w:left w:type="dxa" w:w="90"/>
              <w:bottom w:type="dxa" w:w="70"/>
              <w:right w:type="dxa" w:w="90"/>
            </w:tcMar>
            <w:vAlign w:val="top"/>
          </w:tcPr>
          <w:p>
            <w:r>
              <w:rPr>
                <w:b w:val="false"/>
                <w:bCs w:val="false"/>
                <w:color w:val="000000"/>
                <w:sz w:val="17"/>
                <w:szCs w:val="17"/>
              </w:rPr>
              <w:t xml:space="preserve">Access-level tag — Internal, Restricted, or Public — governing which system and which users may see the item.</w:t>
            </w:r>
          </w:p>
        </w:tc>
        <w:tc>
          <w:tcPr>
            <w:tcW w:type="dxa" w:w="1843"/>
            <w:tcMar>
              <w:top w:type="dxa" w:w="70"/>
              <w:left w:type="dxa" w:w="90"/>
              <w:bottom w:type="dxa" w:w="70"/>
              <w:right w:type="dxa" w:w="90"/>
            </w:tcMar>
            <w:vAlign w:val="top"/>
          </w:tcPr>
          <w:p>
            <w:r>
              <w:rPr>
                <w:b w:val="false"/>
                <w:bCs w:val="false"/>
                <w:color w:val="000000"/>
                <w:sz w:val="17"/>
                <w:szCs w:val="17"/>
              </w:rPr>
              <w:t xml:space="preserve">As applicable</w:t>
            </w:r>
          </w:p>
        </w:tc>
      </w:tr>
      <w:tr>
        <w:tc>
          <w:tcPr>
            <w:tcW w:type="dxa" w:w="2458"/>
            <w:tcMar>
              <w:top w:type="dxa" w:w="70"/>
              <w:left w:type="dxa" w:w="90"/>
              <w:bottom w:type="dxa" w:w="70"/>
              <w:right w:type="dxa" w:w="90"/>
            </w:tcMar>
            <w:vAlign w:val="top"/>
          </w:tcPr>
          <w:p>
            <w:r>
              <w:rPr>
                <w:b/>
                <w:bCs/>
                <w:color w:val="000000"/>
                <w:sz w:val="17"/>
                <w:szCs w:val="17"/>
              </w:rPr>
              <w:t xml:space="preserve">Date Created / Modified</w:t>
            </w:r>
          </w:p>
        </w:tc>
        <w:tc>
          <w:tcPr>
            <w:tcW w:type="dxa" w:w="5939"/>
            <w:tcMar>
              <w:top w:type="dxa" w:w="70"/>
              <w:left w:type="dxa" w:w="90"/>
              <w:bottom w:type="dxa" w:w="70"/>
              <w:right w:type="dxa" w:w="90"/>
            </w:tcMar>
            <w:vAlign w:val="top"/>
          </w:tcPr>
          <w:p>
            <w:r>
              <w:rPr>
                <w:b w:val="false"/>
                <w:bCs w:val="false"/>
                <w:color w:val="000000"/>
                <w:sz w:val="17"/>
                <w:szCs w:val="17"/>
              </w:rPr>
              <w:t xml:space="preserve">Version and currency tracking.</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Version</w:t>
            </w:r>
          </w:p>
        </w:tc>
        <w:tc>
          <w:tcPr>
            <w:tcW w:type="dxa" w:w="5939"/>
            <w:tcMar>
              <w:top w:type="dxa" w:w="70"/>
              <w:left w:type="dxa" w:w="90"/>
              <w:bottom w:type="dxa" w:w="70"/>
              <w:right w:type="dxa" w:w="90"/>
            </w:tcMar>
            <w:vAlign w:val="top"/>
          </w:tcPr>
          <w:p>
            <w:r>
              <w:rPr>
                <w:b w:val="false"/>
                <w:bCs w:val="false"/>
                <w:color w:val="000000"/>
                <w:sz w:val="17"/>
                <w:szCs w:val="17"/>
              </w:rPr>
              <w:t xml:space="preserve">Sequential version identifier, supporting the Document Management module's version control.</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Retention Class</w:t>
            </w:r>
          </w:p>
        </w:tc>
        <w:tc>
          <w:tcPr>
            <w:tcW w:type="dxa" w:w="5939"/>
            <w:tcMar>
              <w:top w:type="dxa" w:w="70"/>
              <w:left w:type="dxa" w:w="90"/>
              <w:bottom w:type="dxa" w:w="70"/>
              <w:right w:type="dxa" w:w="90"/>
            </w:tcMar>
            <w:vAlign w:val="top"/>
          </w:tcPr>
          <w:p>
            <w:r>
              <w:rPr>
                <w:b w:val="false"/>
                <w:bCs w:val="false"/>
                <w:color w:val="000000"/>
                <w:sz w:val="17"/>
                <w:szCs w:val="17"/>
              </w:rPr>
              <w:t xml:space="preserve">Links the item to its retention schedule (Section 5.19).</w:t>
            </w:r>
          </w:p>
        </w:tc>
        <w:tc>
          <w:tcPr>
            <w:tcW w:type="dxa" w:w="1843"/>
            <w:tcMar>
              <w:top w:type="dxa" w:w="70"/>
              <w:left w:type="dxa" w:w="90"/>
              <w:bottom w:type="dxa" w:w="70"/>
              <w:right w:type="dxa" w:w="90"/>
            </w:tcMar>
            <w:vAlign w:val="top"/>
          </w:tcPr>
          <w:p>
            <w:r>
              <w:rPr>
                <w:b w:val="false"/>
                <w:bCs w:val="false"/>
                <w:color w:val="000000"/>
                <w:sz w:val="17"/>
                <w:szCs w:val="17"/>
              </w:rPr>
              <w:t xml:space="preserve">Yes</w:t>
            </w:r>
          </w:p>
        </w:tc>
      </w:tr>
      <w:tr>
        <w:tc>
          <w:tcPr>
            <w:tcW w:type="dxa" w:w="2458"/>
            <w:tcMar>
              <w:top w:type="dxa" w:w="70"/>
              <w:left w:type="dxa" w:w="90"/>
              <w:bottom w:type="dxa" w:w="70"/>
              <w:right w:type="dxa" w:w="90"/>
            </w:tcMar>
            <w:vAlign w:val="top"/>
          </w:tcPr>
          <w:p>
            <w:r>
              <w:rPr>
                <w:b/>
                <w:bCs/>
                <w:color w:val="000000"/>
                <w:sz w:val="17"/>
                <w:szCs w:val="17"/>
              </w:rPr>
              <w:t xml:space="preserve">Language</w:t>
            </w:r>
          </w:p>
        </w:tc>
        <w:tc>
          <w:tcPr>
            <w:tcW w:type="dxa" w:w="5939"/>
            <w:tcMar>
              <w:top w:type="dxa" w:w="70"/>
              <w:left w:type="dxa" w:w="90"/>
              <w:bottom w:type="dxa" w:w="70"/>
              <w:right w:type="dxa" w:w="90"/>
            </w:tcMar>
            <w:vAlign w:val="top"/>
          </w:tcPr>
          <w:p>
            <w:r>
              <w:rPr>
                <w:b w:val="false"/>
                <w:bCs w:val="false"/>
                <w:color w:val="000000"/>
                <w:sz w:val="17"/>
                <w:szCs w:val="17"/>
              </w:rPr>
              <w:t xml:space="preserve">Supports the TOR's own English-language requirement and any future translation (Section 9).</w:t>
            </w:r>
          </w:p>
        </w:tc>
        <w:tc>
          <w:tcPr>
            <w:tcW w:type="dxa" w:w="1843"/>
            <w:tcMar>
              <w:top w:type="dxa" w:w="70"/>
              <w:left w:type="dxa" w:w="90"/>
              <w:bottom w:type="dxa" w:w="70"/>
              <w:right w:type="dxa" w:w="90"/>
            </w:tcMar>
            <w:vAlign w:val="top"/>
          </w:tcPr>
          <w:p>
            <w:r>
              <w:rPr>
                <w:b w:val="false"/>
                <w:bCs w:val="false"/>
                <w:color w:val="000000"/>
                <w:sz w:val="17"/>
                <w:szCs w:val="17"/>
              </w:rPr>
              <w:t xml:space="preserve">As applicable</w:t>
            </w:r>
          </w:p>
        </w:tc>
      </w:tr>
      <w:tr>
        <w:tc>
          <w:tcPr>
            <w:tcW w:type="dxa" w:w="2458"/>
            <w:tcMar>
              <w:top w:type="dxa" w:w="70"/>
              <w:left w:type="dxa" w:w="90"/>
              <w:bottom w:type="dxa" w:w="70"/>
              <w:right w:type="dxa" w:w="90"/>
            </w:tcMar>
            <w:vAlign w:val="top"/>
          </w:tcPr>
          <w:p>
            <w:r>
              <w:rPr>
                <w:b/>
                <w:bCs/>
                <w:color w:val="000000"/>
                <w:sz w:val="17"/>
                <w:szCs w:val="17"/>
              </w:rPr>
              <w:t xml:space="preserve">Taxonomy Terms</w:t>
            </w:r>
          </w:p>
        </w:tc>
        <w:tc>
          <w:tcPr>
            <w:tcW w:type="dxa" w:w="5939"/>
            <w:tcMar>
              <w:top w:type="dxa" w:w="70"/>
              <w:left w:type="dxa" w:w="90"/>
              <w:bottom w:type="dxa" w:w="70"/>
              <w:right w:type="dxa" w:w="90"/>
            </w:tcMar>
            <w:vAlign w:val="top"/>
          </w:tcPr>
          <w:p>
            <w:r>
              <w:rPr>
                <w:b w:val="false"/>
                <w:bCs w:val="false"/>
                <w:color w:val="000000"/>
                <w:sz w:val="17"/>
                <w:szCs w:val="17"/>
              </w:rPr>
              <w:t xml:space="preserve">One or more controlled terms from the taxonomy (Section 5.5), enabling classification and search.</w:t>
            </w:r>
          </w:p>
        </w:tc>
        <w:tc>
          <w:tcPr>
            <w:tcW w:type="dxa" w:w="1843"/>
            <w:tcMar>
              <w:top w:type="dxa" w:w="70"/>
              <w:left w:type="dxa" w:w="90"/>
              <w:bottom w:type="dxa" w:w="70"/>
              <w:right w:type="dxa" w:w="90"/>
            </w:tcMar>
            <w:vAlign w:val="top"/>
          </w:tcPr>
          <w:p>
            <w:r>
              <w:rPr>
                <w:b w:val="false"/>
                <w:bCs w:val="false"/>
                <w:color w:val="000000"/>
                <w:sz w:val="17"/>
                <w:szCs w:val="17"/>
              </w:rPr>
              <w:t xml:space="preserve">As applicable</w:t>
            </w:r>
          </w:p>
        </w:tc>
      </w:tr>
    </w:tbl>
    <w:p>
      <w:pPr>
        <w:spacing w:after="160"/>
      </w:pPr>
    </w:p>
    <w:p>
      <w:pPr>
        <w:pStyle w:val="Heading1"/>
        <w:pBdr>
          <w:bottom w:val="single" w:color="1F3864" w:sz="6" w:space="4"/>
        </w:pBdr>
        <w:spacing w:after="130" w:before="320"/>
      </w:pPr>
      <w:r>
        <w:t xml:space="preserve">5.5 Taxonomy</w:t>
      </w:r>
    </w:p>
    <w:p>
      <w:pPr>
        <w:spacing w:after="150" w:line="276"/>
        <w:jc w:val="both"/>
      </w:pPr>
      <w:r>
        <w:t xml:space="preserve">The taxonomy is a controlled, hierarchical vocabulary maintained solely by the KMC as taxonomy authority (Section 2.9), applied identically across ESM and CKR. Six facets make up the full taxonomy.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4301"/>
        <w:gridCol w:w="3891"/>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Facet</w:t>
            </w:r>
          </w:p>
        </w:tc>
        <w:tc>
          <w:tcPr>
            <w:tcW w:type="dxa" w:w="4301"/>
            <w:shd w:fill="1F3864" w:val="clear"/>
            <w:tcMar>
              <w:top w:type="dxa" w:w="70"/>
              <w:left w:type="dxa" w:w="90"/>
              <w:bottom w:type="dxa" w:w="70"/>
              <w:right w:type="dxa" w:w="90"/>
            </w:tcMar>
            <w:vAlign w:val="top"/>
          </w:tcPr>
          <w:p>
            <w:r>
              <w:rPr>
                <w:b/>
                <w:bCs/>
                <w:color w:val="FFFFFF"/>
                <w:sz w:val="17"/>
                <w:szCs w:val="17"/>
              </w:rPr>
              <w:t xml:space="preserve">Example Terms</w:t>
            </w:r>
          </w:p>
        </w:tc>
        <w:tc>
          <w:tcPr>
            <w:tcW w:type="dxa" w:w="3891"/>
            <w:shd w:fill="1F3864" w:val="clear"/>
            <w:tcMar>
              <w:top w:type="dxa" w:w="70"/>
              <w:left w:type="dxa" w:w="90"/>
              <w:bottom w:type="dxa" w:w="70"/>
              <w:right w:type="dxa" w:w="90"/>
            </w:tcMar>
            <w:vAlign w:val="top"/>
          </w:tcPr>
          <w:p>
            <w:r>
              <w:rPr>
                <w:b/>
                <w:bCs/>
                <w:color w:val="FFFFFF"/>
                <w:sz w:val="17"/>
                <w:szCs w:val="17"/>
              </w:rPr>
              <w:t xml:space="preserve">Governing Principle</w:t>
            </w:r>
          </w:p>
        </w:tc>
      </w:tr>
      <w:tr>
        <w:tc>
          <w:tcPr>
            <w:tcW w:type="dxa" w:w="2048"/>
            <w:tcMar>
              <w:top w:type="dxa" w:w="70"/>
              <w:left w:type="dxa" w:w="90"/>
              <w:bottom w:type="dxa" w:w="70"/>
              <w:right w:type="dxa" w:w="90"/>
            </w:tcMar>
            <w:vAlign w:val="top"/>
          </w:tcPr>
          <w:p>
            <w:r>
              <w:rPr>
                <w:b/>
                <w:bCs/>
                <w:color w:val="000000"/>
                <w:sz w:val="17"/>
                <w:szCs w:val="17"/>
              </w:rPr>
              <w:t xml:space="preserve">Geography</w:t>
            </w:r>
          </w:p>
        </w:tc>
        <w:tc>
          <w:tcPr>
            <w:tcW w:type="dxa" w:w="4301"/>
            <w:tcMar>
              <w:top w:type="dxa" w:w="70"/>
              <w:left w:type="dxa" w:w="90"/>
              <w:bottom w:type="dxa" w:w="70"/>
              <w:right w:type="dxa" w:w="90"/>
            </w:tcMar>
            <w:vAlign w:val="top"/>
          </w:tcPr>
          <w:p>
            <w:r>
              <w:rPr>
                <w:b w:val="false"/>
                <w:bCs w:val="false"/>
                <w:color w:val="000000"/>
                <w:sz w:val="17"/>
                <w:szCs w:val="17"/>
              </w:rPr>
              <w:t xml:space="preserve">Seven named states; Federal Capital Territory; National (programme-wide).</w:t>
            </w:r>
          </w:p>
        </w:tc>
        <w:tc>
          <w:tcPr>
            <w:tcW w:type="dxa" w:w="3891"/>
            <w:tcMar>
              <w:top w:type="dxa" w:w="70"/>
              <w:left w:type="dxa" w:w="90"/>
              <w:bottom w:type="dxa" w:w="70"/>
              <w:right w:type="dxa" w:w="90"/>
            </w:tcMar>
            <w:vAlign w:val="top"/>
          </w:tcPr>
          <w:p>
            <w:r>
              <w:rPr>
                <w:b w:val="false"/>
                <w:bCs w:val="false"/>
                <w:color w:val="000000"/>
                <w:sz w:val="17"/>
                <w:szCs w:val="17"/>
              </w:rPr>
              <w:t xml:space="preserve">Whole-of-Programme View (Section 1.7)</w:t>
            </w:r>
          </w:p>
        </w:tc>
      </w:tr>
      <w:tr>
        <w:tc>
          <w:tcPr>
            <w:tcW w:type="dxa" w:w="2048"/>
            <w:tcMar>
              <w:top w:type="dxa" w:w="70"/>
              <w:left w:type="dxa" w:w="90"/>
              <w:bottom w:type="dxa" w:w="70"/>
              <w:right w:type="dxa" w:w="90"/>
            </w:tcMar>
            <w:vAlign w:val="top"/>
          </w:tcPr>
          <w:p>
            <w:r>
              <w:rPr>
                <w:b/>
                <w:bCs/>
                <w:color w:val="000000"/>
                <w:sz w:val="17"/>
                <w:szCs w:val="17"/>
              </w:rPr>
              <w:t xml:space="preserve">Programme Structure</w:t>
            </w:r>
          </w:p>
        </w:tc>
        <w:tc>
          <w:tcPr>
            <w:tcW w:type="dxa" w:w="4301"/>
            <w:tcMar>
              <w:top w:type="dxa" w:w="70"/>
              <w:left w:type="dxa" w:w="90"/>
              <w:bottom w:type="dxa" w:w="70"/>
              <w:right w:type="dxa" w:w="90"/>
            </w:tcMar>
            <w:vAlign w:val="top"/>
          </w:tcPr>
          <w:p>
            <w:r>
              <w:rPr>
                <w:b w:val="false"/>
                <w:bCs w:val="false"/>
                <w:color w:val="000000"/>
                <w:sz w:val="17"/>
                <w:szCs w:val="17"/>
              </w:rPr>
              <w:t xml:space="preserve">Component names; project names, nested beneath their component.</w:t>
            </w:r>
          </w:p>
        </w:tc>
        <w:tc>
          <w:tcPr>
            <w:tcW w:type="dxa" w:w="3891"/>
            <w:tcMar>
              <w:top w:type="dxa" w:w="70"/>
              <w:left w:type="dxa" w:w="90"/>
              <w:bottom w:type="dxa" w:w="70"/>
              <w:right w:type="dxa" w:w="90"/>
            </w:tcMar>
            <w:vAlign w:val="top"/>
          </w:tcPr>
          <w:p>
            <w:r>
              <w:rPr>
                <w:b w:val="false"/>
                <w:bCs w:val="false"/>
                <w:color w:val="000000"/>
                <w:sz w:val="17"/>
                <w:szCs w:val="17"/>
              </w:rPr>
              <w:t xml:space="preserve">Data Is a Shared Asset (Section 1.7)</w:t>
            </w:r>
          </w:p>
        </w:tc>
      </w:tr>
      <w:tr>
        <w:tc>
          <w:tcPr>
            <w:tcW w:type="dxa" w:w="2048"/>
            <w:tcMar>
              <w:top w:type="dxa" w:w="70"/>
              <w:left w:type="dxa" w:w="90"/>
              <w:bottom w:type="dxa" w:w="70"/>
              <w:right w:type="dxa" w:w="90"/>
            </w:tcMar>
            <w:vAlign w:val="top"/>
          </w:tcPr>
          <w:p>
            <w:r>
              <w:rPr>
                <w:b/>
                <w:bCs/>
                <w:color w:val="000000"/>
                <w:sz w:val="17"/>
                <w:szCs w:val="17"/>
              </w:rPr>
              <w:t xml:space="preserve">Content Type</w:t>
            </w:r>
          </w:p>
        </w:tc>
        <w:tc>
          <w:tcPr>
            <w:tcW w:type="dxa" w:w="4301"/>
            <w:tcMar>
              <w:top w:type="dxa" w:w="70"/>
              <w:left w:type="dxa" w:w="90"/>
              <w:bottom w:type="dxa" w:w="70"/>
              <w:right w:type="dxa" w:w="90"/>
            </w:tcMar>
            <w:vAlign w:val="top"/>
          </w:tcPr>
          <w:p>
            <w:r>
              <w:rPr>
                <w:b w:val="false"/>
                <w:bCs w:val="false"/>
                <w:color w:val="000000"/>
                <w:sz w:val="17"/>
                <w:szCs w:val="17"/>
              </w:rPr>
              <w:t xml:space="preserve">Work Plan, Report, Memo, Procurement Record, Publication, Case Study, Tool, Event Record.</w:t>
            </w:r>
          </w:p>
        </w:tc>
        <w:tc>
          <w:tcPr>
            <w:tcW w:type="dxa" w:w="3891"/>
            <w:tcMar>
              <w:top w:type="dxa" w:w="70"/>
              <w:left w:type="dxa" w:w="90"/>
              <w:bottom w:type="dxa" w:w="70"/>
              <w:right w:type="dxa" w:w="90"/>
            </w:tcMar>
            <w:vAlign w:val="top"/>
          </w:tcPr>
          <w:p>
            <w:r>
              <w:rPr>
                <w:b w:val="false"/>
                <w:bCs w:val="false"/>
                <w:color w:val="000000"/>
                <w:sz w:val="17"/>
                <w:szCs w:val="17"/>
              </w:rPr>
              <w:t xml:space="preserve">Common-Use Applications (Section 1.7)</w:t>
            </w:r>
          </w:p>
        </w:tc>
      </w:tr>
      <w:tr>
        <w:tc>
          <w:tcPr>
            <w:tcW w:type="dxa" w:w="2048"/>
            <w:tcMar>
              <w:top w:type="dxa" w:w="70"/>
              <w:left w:type="dxa" w:w="90"/>
              <w:bottom w:type="dxa" w:w="70"/>
              <w:right w:type="dxa" w:w="90"/>
            </w:tcMar>
            <w:vAlign w:val="top"/>
          </w:tcPr>
          <w:p>
            <w:r>
              <w:rPr>
                <w:b/>
                <w:bCs/>
                <w:color w:val="000000"/>
                <w:sz w:val="17"/>
                <w:szCs w:val="17"/>
              </w:rPr>
              <w:t xml:space="preserve">Lifecycle Stage</w:t>
            </w:r>
          </w:p>
        </w:tc>
        <w:tc>
          <w:tcPr>
            <w:tcW w:type="dxa" w:w="4301"/>
            <w:tcMar>
              <w:top w:type="dxa" w:w="70"/>
              <w:left w:type="dxa" w:w="90"/>
              <w:bottom w:type="dxa" w:w="70"/>
              <w:right w:type="dxa" w:w="90"/>
            </w:tcMar>
            <w:vAlign w:val="top"/>
          </w:tcPr>
          <w:p>
            <w:r>
              <w:rPr>
                <w:b w:val="false"/>
                <w:bCs w:val="false"/>
                <w:color w:val="000000"/>
                <w:sz w:val="17"/>
                <w:szCs w:val="17"/>
              </w:rPr>
              <w:t xml:space="preserve">Draft, In Review, Approved, Published, Archived, Disposed.</w:t>
            </w:r>
          </w:p>
        </w:tc>
        <w:tc>
          <w:tcPr>
            <w:tcW w:type="dxa" w:w="3891"/>
            <w:tcMar>
              <w:top w:type="dxa" w:w="70"/>
              <w:left w:type="dxa" w:w="90"/>
              <w:bottom w:type="dxa" w:w="70"/>
              <w:right w:type="dxa" w:w="90"/>
            </w:tcMar>
            <w:vAlign w:val="top"/>
          </w:tcPr>
          <w:p>
            <w:r>
              <w:rPr>
                <w:b w:val="false"/>
                <w:bCs w:val="false"/>
                <w:color w:val="000000"/>
                <w:sz w:val="17"/>
                <w:szCs w:val="17"/>
              </w:rPr>
              <w:t xml:space="preserve">Federated-but-Governed Ownership (Section 1.7)</w:t>
            </w:r>
          </w:p>
        </w:tc>
      </w:tr>
      <w:tr>
        <w:tc>
          <w:tcPr>
            <w:tcW w:type="dxa" w:w="2048"/>
            <w:tcMar>
              <w:top w:type="dxa" w:w="70"/>
              <w:left w:type="dxa" w:w="90"/>
              <w:bottom w:type="dxa" w:w="70"/>
              <w:right w:type="dxa" w:w="90"/>
            </w:tcMar>
            <w:vAlign w:val="top"/>
          </w:tcPr>
          <w:p>
            <w:r>
              <w:rPr>
                <w:b/>
                <w:bCs/>
                <w:color w:val="000000"/>
                <w:sz w:val="17"/>
                <w:szCs w:val="17"/>
              </w:rPr>
              <w:t xml:space="preserve">Sensitivity / Access Level</w:t>
            </w:r>
          </w:p>
        </w:tc>
        <w:tc>
          <w:tcPr>
            <w:tcW w:type="dxa" w:w="4301"/>
            <w:tcMar>
              <w:top w:type="dxa" w:w="70"/>
              <w:left w:type="dxa" w:w="90"/>
              <w:bottom w:type="dxa" w:w="70"/>
              <w:right w:type="dxa" w:w="90"/>
            </w:tcMar>
            <w:vAlign w:val="top"/>
          </w:tcPr>
          <w:p>
            <w:r>
              <w:rPr>
                <w:b w:val="false"/>
                <w:bCs w:val="false"/>
                <w:color w:val="000000"/>
                <w:sz w:val="17"/>
                <w:szCs w:val="17"/>
              </w:rPr>
              <w:t xml:space="preserve">Internal (ESM-only), Restricted (named roles only), Public (CKR).</w:t>
            </w:r>
          </w:p>
        </w:tc>
        <w:tc>
          <w:tcPr>
            <w:tcW w:type="dxa" w:w="3891"/>
            <w:tcMar>
              <w:top w:type="dxa" w:w="70"/>
              <w:left w:type="dxa" w:w="90"/>
              <w:bottom w:type="dxa" w:w="70"/>
              <w:right w:type="dxa" w:w="90"/>
            </w:tcMar>
            <w:vAlign w:val="top"/>
          </w:tcPr>
          <w:p>
            <w:r>
              <w:rPr>
                <w:b w:val="false"/>
                <w:bCs w:val="false"/>
                <w:color w:val="000000"/>
                <w:sz w:val="17"/>
                <w:szCs w:val="17"/>
              </w:rPr>
              <w:t xml:space="preserve">Security by Design (Section 1.7)</w:t>
            </w:r>
          </w:p>
        </w:tc>
      </w:tr>
      <w:tr>
        <w:tc>
          <w:tcPr>
            <w:tcW w:type="dxa" w:w="2048"/>
            <w:tcMar>
              <w:top w:type="dxa" w:w="70"/>
              <w:left w:type="dxa" w:w="90"/>
              <w:bottom w:type="dxa" w:w="70"/>
              <w:right w:type="dxa" w:w="90"/>
            </w:tcMar>
            <w:vAlign w:val="top"/>
          </w:tcPr>
          <w:p>
            <w:r>
              <w:rPr>
                <w:b/>
                <w:bCs/>
                <w:color w:val="000000"/>
                <w:sz w:val="17"/>
                <w:szCs w:val="17"/>
              </w:rPr>
              <w:t xml:space="preserve">Subject / Topic</w:t>
            </w:r>
          </w:p>
        </w:tc>
        <w:tc>
          <w:tcPr>
            <w:tcW w:type="dxa" w:w="4301"/>
            <w:tcMar>
              <w:top w:type="dxa" w:w="70"/>
              <w:left w:type="dxa" w:w="90"/>
              <w:bottom w:type="dxa" w:w="70"/>
              <w:right w:type="dxa" w:w="90"/>
            </w:tcMar>
            <w:vAlign w:val="top"/>
          </w:tcPr>
          <w:p>
            <w:r>
              <w:rPr>
                <w:b w:val="false"/>
                <w:bCs w:val="false"/>
                <w:color w:val="000000"/>
                <w:sz w:val="17"/>
                <w:szCs w:val="17"/>
              </w:rPr>
              <w:t xml:space="preserve">Free-text-supported but steward-curated subject tags relevant to agro-processing programme themes.</w:t>
            </w:r>
          </w:p>
        </w:tc>
        <w:tc>
          <w:tcPr>
            <w:tcW w:type="dxa" w:w="3891"/>
            <w:tcMar>
              <w:top w:type="dxa" w:w="70"/>
              <w:left w:type="dxa" w:w="90"/>
              <w:bottom w:type="dxa" w:w="70"/>
              <w:right w:type="dxa" w:w="90"/>
            </w:tcMar>
            <w:vAlign w:val="top"/>
          </w:tcPr>
          <w:p>
            <w:r>
              <w:rPr>
                <w:b w:val="false"/>
                <w:bCs w:val="false"/>
                <w:color w:val="000000"/>
                <w:sz w:val="17"/>
                <w:szCs w:val="17"/>
              </w:rPr>
              <w:t xml:space="preserve">Usage-Driven Curation (Section 1.7)</w:t>
            </w:r>
          </w:p>
        </w:tc>
      </w:tr>
    </w:tbl>
    <w:p>
      <w:pPr>
        <w:spacing w:after="160"/>
      </w:pPr>
    </w:p>
    <w:p>
      <w:pPr>
        <w:pStyle w:val="Heading1"/>
        <w:pBdr>
          <w:bottom w:val="single" w:color="1F3864" w:sz="6" w:space="4"/>
        </w:pBdr>
        <w:spacing w:after="130" w:before="320"/>
      </w:pPr>
      <w:r>
        <w:t xml:space="preserve">5.6 Ontology</w:t>
      </w:r>
    </w:p>
    <w:p>
      <w:pPr>
        <w:spacing w:after="150" w:line="276"/>
        <w:jc w:val="both"/>
      </w:pPr>
      <w:r>
        <w:t xml:space="preserve">Where the taxonomy classifies individual items, the ontology defines how entity types relate to one another — the foundation the Phase 2 Knowledge Graph (Section 5.16) builds on directly, established now so that Phase 1 content is captured in a graph-ready structure from day one.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77"/>
        <w:gridCol w:w="6963"/>
      </w:tblGrid>
      <w:tr>
        <w:trPr>
          <w:tblHeader/>
        </w:trPr>
        <w:tc>
          <w:tcPr>
            <w:tcW w:type="dxa" w:w="3277"/>
            <w:shd w:fill="1F3864" w:val="clear"/>
            <w:tcMar>
              <w:top w:type="dxa" w:w="70"/>
              <w:left w:type="dxa" w:w="90"/>
              <w:bottom w:type="dxa" w:w="70"/>
              <w:right w:type="dxa" w:w="90"/>
            </w:tcMar>
            <w:vAlign w:val="top"/>
          </w:tcPr>
          <w:p>
            <w:r>
              <w:rPr>
                <w:b/>
                <w:bCs/>
                <w:color w:val="FFFFFF"/>
                <w:sz w:val="17"/>
                <w:szCs w:val="17"/>
              </w:rPr>
              <w:t xml:space="preserve">Relationship</w:t>
            </w:r>
          </w:p>
        </w:tc>
        <w:tc>
          <w:tcPr>
            <w:tcW w:type="dxa" w:w="6963"/>
            <w:shd w:fill="1F3864" w:val="clear"/>
            <w:tcMar>
              <w:top w:type="dxa" w:w="70"/>
              <w:left w:type="dxa" w:w="90"/>
              <w:bottom w:type="dxa" w:w="70"/>
              <w:right w:type="dxa" w:w="90"/>
            </w:tcMar>
            <w:vAlign w:val="top"/>
          </w:tcPr>
          <w:p>
            <w:r>
              <w:rPr>
                <w:b/>
                <w:bCs/>
                <w:color w:val="FFFFFF"/>
                <w:sz w:val="17"/>
                <w:szCs w:val="17"/>
              </w:rPr>
              <w:t xml:space="preserve">Description</w:t>
            </w:r>
          </w:p>
        </w:tc>
      </w:tr>
      <w:tr>
        <w:tc>
          <w:tcPr>
            <w:tcW w:type="dxa" w:w="3277"/>
            <w:tcMar>
              <w:top w:type="dxa" w:w="70"/>
              <w:left w:type="dxa" w:w="90"/>
              <w:bottom w:type="dxa" w:w="70"/>
              <w:right w:type="dxa" w:w="90"/>
            </w:tcMar>
            <w:vAlign w:val="top"/>
          </w:tcPr>
          <w:p>
            <w:r>
              <w:rPr>
                <w:b/>
                <w:bCs/>
                <w:color w:val="000000"/>
                <w:sz w:val="17"/>
                <w:szCs w:val="17"/>
              </w:rPr>
              <w:t xml:space="preserve">Component belongsTo Programme</w:t>
            </w:r>
          </w:p>
        </w:tc>
        <w:tc>
          <w:tcPr>
            <w:tcW w:type="dxa" w:w="6963"/>
            <w:tcMar>
              <w:top w:type="dxa" w:w="70"/>
              <w:left w:type="dxa" w:w="90"/>
              <w:bottom w:type="dxa" w:w="70"/>
              <w:right w:type="dxa" w:w="90"/>
            </w:tcMar>
            <w:vAlign w:val="top"/>
          </w:tcPr>
          <w:p>
            <w:r>
              <w:rPr>
                <w:b w:val="false"/>
                <w:bCs w:val="false"/>
                <w:color w:val="000000"/>
                <w:sz w:val="17"/>
                <w:szCs w:val="17"/>
              </w:rPr>
              <w:t xml:space="preserve">Every component is scoped to the single SAPZ Programme entity.</w:t>
            </w:r>
          </w:p>
        </w:tc>
      </w:tr>
      <w:tr>
        <w:tc>
          <w:tcPr>
            <w:tcW w:type="dxa" w:w="3277"/>
            <w:tcMar>
              <w:top w:type="dxa" w:w="70"/>
              <w:left w:type="dxa" w:w="90"/>
              <w:bottom w:type="dxa" w:w="70"/>
              <w:right w:type="dxa" w:w="90"/>
            </w:tcMar>
            <w:vAlign w:val="top"/>
          </w:tcPr>
          <w:p>
            <w:r>
              <w:rPr>
                <w:b/>
                <w:bCs/>
                <w:color w:val="000000"/>
                <w:sz w:val="17"/>
                <w:szCs w:val="17"/>
              </w:rPr>
              <w:t xml:space="preserve">Project belongsTo Component</w:t>
            </w:r>
          </w:p>
        </w:tc>
        <w:tc>
          <w:tcPr>
            <w:tcW w:type="dxa" w:w="6963"/>
            <w:tcMar>
              <w:top w:type="dxa" w:w="70"/>
              <w:left w:type="dxa" w:w="90"/>
              <w:bottom w:type="dxa" w:w="70"/>
              <w:right w:type="dxa" w:w="90"/>
            </w:tcMar>
            <w:vAlign w:val="top"/>
          </w:tcPr>
          <w:p>
            <w:r>
              <w:rPr>
                <w:b w:val="false"/>
                <w:bCs w:val="false"/>
                <w:color w:val="000000"/>
                <w:sz w:val="17"/>
                <w:szCs w:val="17"/>
              </w:rPr>
              <w:t xml:space="preserve">Every project is nested under exactly one component.</w:t>
            </w:r>
          </w:p>
        </w:tc>
      </w:tr>
      <w:tr>
        <w:tc>
          <w:tcPr>
            <w:tcW w:type="dxa" w:w="3277"/>
            <w:tcMar>
              <w:top w:type="dxa" w:w="70"/>
              <w:left w:type="dxa" w:w="90"/>
              <w:bottom w:type="dxa" w:w="70"/>
              <w:right w:type="dxa" w:w="90"/>
            </w:tcMar>
            <w:vAlign w:val="top"/>
          </w:tcPr>
          <w:p>
            <w:r>
              <w:rPr>
                <w:b/>
                <w:bCs/>
                <w:color w:val="000000"/>
                <w:sz w:val="17"/>
                <w:szCs w:val="17"/>
              </w:rPr>
              <w:t xml:space="preserve">Document / Knowledge Item relatesTo Project or Component</w:t>
            </w:r>
          </w:p>
        </w:tc>
        <w:tc>
          <w:tcPr>
            <w:tcW w:type="dxa" w:w="6963"/>
            <w:tcMar>
              <w:top w:type="dxa" w:w="70"/>
              <w:left w:type="dxa" w:w="90"/>
              <w:bottom w:type="dxa" w:w="70"/>
              <w:right w:type="dxa" w:w="90"/>
            </w:tcMar>
            <w:vAlign w:val="top"/>
          </w:tcPr>
          <w:p>
            <w:r>
              <w:rPr>
                <w:b w:val="false"/>
                <w:bCs w:val="false"/>
                <w:color w:val="000000"/>
                <w:sz w:val="17"/>
                <w:szCs w:val="17"/>
              </w:rPr>
              <w:t xml:space="preserve">Content is linked to the programme structure it documents.</w:t>
            </w:r>
          </w:p>
        </w:tc>
      </w:tr>
      <w:tr>
        <w:tc>
          <w:tcPr>
            <w:tcW w:type="dxa" w:w="3277"/>
            <w:tcMar>
              <w:top w:type="dxa" w:w="70"/>
              <w:left w:type="dxa" w:w="90"/>
              <w:bottom w:type="dxa" w:w="70"/>
              <w:right w:type="dxa" w:w="90"/>
            </w:tcMar>
            <w:vAlign w:val="top"/>
          </w:tcPr>
          <w:p>
            <w:r>
              <w:rPr>
                <w:b/>
                <w:bCs/>
                <w:color w:val="000000"/>
                <w:sz w:val="17"/>
                <w:szCs w:val="17"/>
              </w:rPr>
              <w:t xml:space="preserve">Document / Knowledge Item relatesTo State or FCT</w:t>
            </w:r>
          </w:p>
        </w:tc>
        <w:tc>
          <w:tcPr>
            <w:tcW w:type="dxa" w:w="6963"/>
            <w:tcMar>
              <w:top w:type="dxa" w:w="70"/>
              <w:left w:type="dxa" w:w="90"/>
              <w:bottom w:type="dxa" w:w="70"/>
              <w:right w:type="dxa" w:w="90"/>
            </w:tcMar>
            <w:vAlign w:val="top"/>
          </w:tcPr>
          <w:p>
            <w:r>
              <w:rPr>
                <w:b w:val="false"/>
                <w:bCs w:val="false"/>
                <w:color w:val="000000"/>
                <w:sz w:val="17"/>
                <w:szCs w:val="17"/>
              </w:rPr>
              <w:t xml:space="preserve">Content is linked to the geography it originates from or concerns.</w:t>
            </w:r>
          </w:p>
        </w:tc>
      </w:tr>
      <w:tr>
        <w:tc>
          <w:tcPr>
            <w:tcW w:type="dxa" w:w="3277"/>
            <w:tcMar>
              <w:top w:type="dxa" w:w="70"/>
              <w:left w:type="dxa" w:w="90"/>
              <w:bottom w:type="dxa" w:w="70"/>
              <w:right w:type="dxa" w:w="90"/>
            </w:tcMar>
            <w:vAlign w:val="top"/>
          </w:tcPr>
          <w:p>
            <w:r>
              <w:rPr>
                <w:b/>
                <w:bCs/>
                <w:color w:val="000000"/>
                <w:sz w:val="17"/>
                <w:szCs w:val="17"/>
              </w:rPr>
              <w:t xml:space="preserve">Workflow Instance governs Document</w:t>
            </w:r>
          </w:p>
        </w:tc>
        <w:tc>
          <w:tcPr>
            <w:tcW w:type="dxa" w:w="6963"/>
            <w:tcMar>
              <w:top w:type="dxa" w:w="70"/>
              <w:left w:type="dxa" w:w="90"/>
              <w:bottom w:type="dxa" w:w="70"/>
              <w:right w:type="dxa" w:w="90"/>
            </w:tcMar>
            <w:vAlign w:val="top"/>
          </w:tcPr>
          <w:p>
            <w:r>
              <w:rPr>
                <w:b w:val="false"/>
                <w:bCs w:val="false"/>
                <w:color w:val="000000"/>
                <w:sz w:val="17"/>
                <w:szCs w:val="17"/>
              </w:rPr>
              <w:t xml:space="preserve">Every governed document has exactly one active workflow instance at a time.</w:t>
            </w:r>
          </w:p>
        </w:tc>
      </w:tr>
      <w:tr>
        <w:tc>
          <w:tcPr>
            <w:tcW w:type="dxa" w:w="3277"/>
            <w:tcMar>
              <w:top w:type="dxa" w:w="70"/>
              <w:left w:type="dxa" w:w="90"/>
              <w:bottom w:type="dxa" w:w="70"/>
              <w:right w:type="dxa" w:w="90"/>
            </w:tcMar>
            <w:vAlign w:val="top"/>
          </w:tcPr>
          <w:p>
            <w:r>
              <w:rPr>
                <w:b/>
                <w:bCs/>
                <w:color w:val="000000"/>
                <w:sz w:val="17"/>
                <w:szCs w:val="17"/>
              </w:rPr>
              <w:t xml:space="preserve">User holds Role</w:t>
            </w:r>
          </w:p>
        </w:tc>
        <w:tc>
          <w:tcPr>
            <w:tcW w:type="dxa" w:w="6963"/>
            <w:tcMar>
              <w:top w:type="dxa" w:w="70"/>
              <w:left w:type="dxa" w:w="90"/>
              <w:bottom w:type="dxa" w:w="70"/>
              <w:right w:type="dxa" w:w="90"/>
            </w:tcMar>
            <w:vAlign w:val="top"/>
          </w:tcPr>
          <w:p>
            <w:r>
              <w:rPr>
                <w:b w:val="false"/>
                <w:bCs w:val="false"/>
                <w:color w:val="000000"/>
                <w:sz w:val="17"/>
                <w:szCs w:val="17"/>
              </w:rPr>
              <w:t xml:space="preserve">Access and authority derive from role assignment, not from the individual directly.</w:t>
            </w:r>
          </w:p>
        </w:tc>
      </w:tr>
      <w:tr>
        <w:tc>
          <w:tcPr>
            <w:tcW w:type="dxa" w:w="3277"/>
            <w:tcMar>
              <w:top w:type="dxa" w:w="70"/>
              <w:left w:type="dxa" w:w="90"/>
              <w:bottom w:type="dxa" w:w="70"/>
              <w:right w:type="dxa" w:w="90"/>
            </w:tcMar>
            <w:vAlign w:val="top"/>
          </w:tcPr>
          <w:p>
            <w:r>
              <w:rPr>
                <w:b/>
                <w:bCs/>
                <w:color w:val="000000"/>
                <w:sz w:val="17"/>
                <w:szCs w:val="17"/>
              </w:rPr>
              <w:t xml:space="preserve">Knowledge Item relatesTo Knowledge Item</w:t>
            </w:r>
          </w:p>
        </w:tc>
        <w:tc>
          <w:tcPr>
            <w:tcW w:type="dxa" w:w="6963"/>
            <w:tcMar>
              <w:top w:type="dxa" w:w="70"/>
              <w:left w:type="dxa" w:w="90"/>
              <w:bottom w:type="dxa" w:w="70"/>
              <w:right w:type="dxa" w:w="90"/>
            </w:tcMar>
            <w:vAlign w:val="top"/>
          </w:tcPr>
          <w:p>
            <w:r>
              <w:rPr>
                <w:b w:val="false"/>
                <w:bCs w:val="false"/>
                <w:color w:val="000000"/>
                <w:sz w:val="17"/>
                <w:szCs w:val="17"/>
              </w:rPr>
              <w:t xml:space="preserve">Cross-references between related knowledge items — the specific relationship type the Phase 2 Knowledge Graph elevates from an implicit link into a queryable graph edge.</w:t>
            </w:r>
          </w:p>
        </w:tc>
      </w:tr>
    </w:tbl>
    <w:p>
      <w:pPr>
        <w:spacing w:after="160"/>
      </w:pPr>
    </w:p>
    <w:p>
      <w:pPr>
        <w:pStyle w:val="Heading1"/>
        <w:pBdr>
          <w:bottom w:val="single" w:color="1F3864" w:sz="6" w:space="4"/>
        </w:pBdr>
        <w:spacing w:after="130" w:before="320"/>
      </w:pPr>
      <w:r>
        <w:t xml:space="preserve">5.7 Classification</w:t>
      </w:r>
    </w:p>
    <w:p>
      <w:pPr>
        <w:spacing w:after="150" w:line="276"/>
        <w:jc w:val="both"/>
      </w:pPr>
      <w:r>
        <w:t xml:space="preserve">Classification happens at the point of capture, not as a later clean-up exercise. When a user submits a document to ESM or a knowledge item to CKR, the Document Management or Knowledge Repository module (Section 4.3) prompts for the mandatory metadata fields defined in Section 5.4 and suggests taxonomy terms based on content type and submitting state — an auto-classification capability that Section 9 (AI Strategy) proposes strengthening with AI assistance as a Phase 2 enhancement, kept manual and steward-validated for the Phase 1 baseline.</w:t>
      </w:r>
    </w:p>
    <w:p>
      <w:pPr>
        <w:spacing w:after="150" w:line="276"/>
        <w:jc w:val="both"/>
      </w:pPr>
      <w:r>
        <w:t xml:space="preserve">Editorial review (for CKR) and approval workflow (for ESM) both include a mandatory classification-validation step before publication or final approval, so that no item enters either system's governed content store without confirmed metadata. This is the specific control that keeps Search (Section 4.3, module 12) reliable: a federated search built on inconsistently classified content would degrade regardless of how well the search engine itself is configured.</w:t>
      </w:r>
    </w:p>
    <w:p>
      <w:pPr>
        <w:pStyle w:val="Heading1"/>
        <w:pBdr>
          <w:bottom w:val="single" w:color="1F3864" w:sz="6" w:space="4"/>
        </w:pBdr>
        <w:spacing w:after="130" w:before="320"/>
      </w:pPr>
      <w:r>
        <w:t xml:space="preserve">5.8 Records Management</w:t>
      </w:r>
    </w:p>
    <w:p>
      <w:pPr>
        <w:spacing w:after="150" w:line="276"/>
        <w:jc w:val="both"/>
      </w:pPr>
      <w:r>
        <w:t xml:space="preserve">Records management sits on top of the Content Model and Metadata Standards above, adding the legal and regulatory basis the TOR itself does not spell out but which any programme handling donor funds and personal data must satisfy. Two regulatory anchors govern retention and disposition decisions: the Nigeria Data Protection Regulation, which constrains how long personal data may be held and requires a documented basis for retention; and the audit expectations of three co-financing DFIs, each of which may require access to programme records for a defined period after project closure, consistent with standard donor audit clauses.</w:t>
      </w:r>
    </w:p>
    <w:p>
      <w:pPr>
        <w:spacing w:after="150" w:line="276"/>
        <w:jc w:val="both"/>
      </w:pPr>
      <w:r>
        <w:t xml:space="preserve">Records management responsibility follows the Decision Model fixed in Section 2.9: the KMC holds taxonomy and retention-class authority, while day-to-day records handling remains with the state team or steward who owns the underlying content, consistent with the federated-but-governed operating model.</w:t>
      </w:r>
    </w:p>
    <w:p>
      <w:pPr>
        <w:pStyle w:val="Heading1"/>
        <w:pBdr>
          <w:bottom w:val="single" w:color="1F3864" w:sz="6" w:space="4"/>
        </w:pBdr>
        <w:spacing w:after="130" w:before="320"/>
      </w:pPr>
      <w:r>
        <w:t xml:space="preserve">5.9 Document Lifecycle</w:t>
      </w:r>
    </w:p>
    <w:p>
      <w:pPr>
        <w:spacing w:after="150" w:line="276"/>
        <w:jc w:val="both"/>
      </w:pPr>
      <w:r>
        <w:t xml:space="preserve">The Document Lifecycle process was first defined operationally in Section 2.5. Here it is restated as an information-architecture state model, since every content item's Lifecycle Stage metadata field (Section 5.4) must correspond to exactly one of these six states at any 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4506"/>
        <w:gridCol w:w="4096"/>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State</w:t>
            </w:r>
          </w:p>
        </w:tc>
        <w:tc>
          <w:tcPr>
            <w:tcW w:type="dxa" w:w="4506"/>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4096"/>
            <w:shd w:fill="1F3864" w:val="clear"/>
            <w:tcMar>
              <w:top w:type="dxa" w:w="70"/>
              <w:left w:type="dxa" w:w="90"/>
              <w:bottom w:type="dxa" w:w="70"/>
              <w:right w:type="dxa" w:w="90"/>
            </w:tcMar>
            <w:vAlign w:val="top"/>
          </w:tcPr>
          <w:p>
            <w:r>
              <w:rPr>
                <w:b/>
                <w:bCs/>
                <w:color w:val="FFFFFF"/>
                <w:sz w:val="17"/>
                <w:szCs w:val="17"/>
              </w:rPr>
              <w:t xml:space="preserve">Trigger to Next State</w:t>
            </w:r>
          </w:p>
        </w:tc>
      </w:tr>
      <w:tr>
        <w:tc>
          <w:tcPr>
            <w:tcW w:type="dxa" w:w="1638"/>
            <w:tcMar>
              <w:top w:type="dxa" w:w="70"/>
              <w:left w:type="dxa" w:w="90"/>
              <w:bottom w:type="dxa" w:w="70"/>
              <w:right w:type="dxa" w:w="90"/>
            </w:tcMar>
            <w:vAlign w:val="top"/>
          </w:tcPr>
          <w:p>
            <w:r>
              <w:rPr>
                <w:b/>
                <w:bCs/>
                <w:color w:val="000000"/>
                <w:sz w:val="17"/>
                <w:szCs w:val="17"/>
              </w:rPr>
              <w:t xml:space="preserve">Draft</w:t>
            </w:r>
          </w:p>
        </w:tc>
        <w:tc>
          <w:tcPr>
            <w:tcW w:type="dxa" w:w="4506"/>
            <w:tcMar>
              <w:top w:type="dxa" w:w="70"/>
              <w:left w:type="dxa" w:w="90"/>
              <w:bottom w:type="dxa" w:w="70"/>
              <w:right w:type="dxa" w:w="90"/>
            </w:tcMar>
            <w:vAlign w:val="top"/>
          </w:tcPr>
          <w:p>
            <w:r>
              <w:rPr>
                <w:b w:val="false"/>
                <w:bCs w:val="false"/>
                <w:color w:val="000000"/>
                <w:sz w:val="17"/>
                <w:szCs w:val="17"/>
              </w:rPr>
              <w:t xml:space="preserve">Item created but not yet submitted for review.</w:t>
            </w:r>
          </w:p>
        </w:tc>
        <w:tc>
          <w:tcPr>
            <w:tcW w:type="dxa" w:w="4096"/>
            <w:tcMar>
              <w:top w:type="dxa" w:w="70"/>
              <w:left w:type="dxa" w:w="90"/>
              <w:bottom w:type="dxa" w:w="70"/>
              <w:right w:type="dxa" w:w="90"/>
            </w:tcMar>
            <w:vAlign w:val="top"/>
          </w:tcPr>
          <w:p>
            <w:r>
              <w:rPr>
                <w:b w:val="false"/>
                <w:bCs w:val="false"/>
                <w:color w:val="000000"/>
                <w:sz w:val="17"/>
                <w:szCs w:val="17"/>
              </w:rPr>
              <w:t xml:space="preserve">Submission by the content owner</w:t>
            </w:r>
          </w:p>
        </w:tc>
      </w:tr>
      <w:tr>
        <w:tc>
          <w:tcPr>
            <w:tcW w:type="dxa" w:w="1638"/>
            <w:tcMar>
              <w:top w:type="dxa" w:w="70"/>
              <w:left w:type="dxa" w:w="90"/>
              <w:bottom w:type="dxa" w:w="70"/>
              <w:right w:type="dxa" w:w="90"/>
            </w:tcMar>
            <w:vAlign w:val="top"/>
          </w:tcPr>
          <w:p>
            <w:r>
              <w:rPr>
                <w:b/>
                <w:bCs/>
                <w:color w:val="000000"/>
                <w:sz w:val="17"/>
                <w:szCs w:val="17"/>
              </w:rPr>
              <w:t xml:space="preserve">In Review</w:t>
            </w:r>
          </w:p>
        </w:tc>
        <w:tc>
          <w:tcPr>
            <w:tcW w:type="dxa" w:w="4506"/>
            <w:tcMar>
              <w:top w:type="dxa" w:w="70"/>
              <w:left w:type="dxa" w:w="90"/>
              <w:bottom w:type="dxa" w:w="70"/>
              <w:right w:type="dxa" w:w="90"/>
            </w:tcMar>
            <w:vAlign w:val="top"/>
          </w:tcPr>
          <w:p>
            <w:r>
              <w:rPr>
                <w:b w:val="false"/>
                <w:bCs w:val="false"/>
                <w:color w:val="000000"/>
                <w:sz w:val="17"/>
                <w:szCs w:val="17"/>
              </w:rPr>
              <w:t xml:space="preserve">Item routed through Approval Workflow (ESM) or editorial review (CKR).</w:t>
            </w:r>
          </w:p>
        </w:tc>
        <w:tc>
          <w:tcPr>
            <w:tcW w:type="dxa" w:w="4096"/>
            <w:tcMar>
              <w:top w:type="dxa" w:w="70"/>
              <w:left w:type="dxa" w:w="90"/>
              <w:bottom w:type="dxa" w:w="70"/>
              <w:right w:type="dxa" w:w="90"/>
            </w:tcMar>
            <w:vAlign w:val="top"/>
          </w:tcPr>
          <w:p>
            <w:r>
              <w:rPr>
                <w:b w:val="false"/>
                <w:bCs w:val="false"/>
                <w:color w:val="000000"/>
                <w:sz w:val="17"/>
                <w:szCs w:val="17"/>
              </w:rPr>
              <w:t xml:space="preserve">Approve or reject decision</w:t>
            </w:r>
          </w:p>
        </w:tc>
      </w:tr>
      <w:tr>
        <w:tc>
          <w:tcPr>
            <w:tcW w:type="dxa" w:w="1638"/>
            <w:tcMar>
              <w:top w:type="dxa" w:w="70"/>
              <w:left w:type="dxa" w:w="90"/>
              <w:bottom w:type="dxa" w:w="70"/>
              <w:right w:type="dxa" w:w="90"/>
            </w:tcMar>
            <w:vAlign w:val="top"/>
          </w:tcPr>
          <w:p>
            <w:r>
              <w:rPr>
                <w:b/>
                <w:bCs/>
                <w:color w:val="000000"/>
                <w:sz w:val="17"/>
                <w:szCs w:val="17"/>
              </w:rPr>
              <w:t xml:space="preserve">Approved</w:t>
            </w:r>
          </w:p>
        </w:tc>
        <w:tc>
          <w:tcPr>
            <w:tcW w:type="dxa" w:w="4506"/>
            <w:tcMar>
              <w:top w:type="dxa" w:w="70"/>
              <w:left w:type="dxa" w:w="90"/>
              <w:bottom w:type="dxa" w:w="70"/>
              <w:right w:type="dxa" w:w="90"/>
            </w:tcMar>
            <w:vAlign w:val="top"/>
          </w:tcPr>
          <w:p>
            <w:r>
              <w:rPr>
                <w:b w:val="false"/>
                <w:bCs w:val="false"/>
                <w:color w:val="000000"/>
                <w:sz w:val="17"/>
                <w:szCs w:val="17"/>
              </w:rPr>
              <w:t xml:space="preserve">Item has passed all required sign-offs but is not yet publicly or organizationally visible.</w:t>
            </w:r>
          </w:p>
        </w:tc>
        <w:tc>
          <w:tcPr>
            <w:tcW w:type="dxa" w:w="4096"/>
            <w:tcMar>
              <w:top w:type="dxa" w:w="70"/>
              <w:left w:type="dxa" w:w="90"/>
              <w:bottom w:type="dxa" w:w="70"/>
              <w:right w:type="dxa" w:w="90"/>
            </w:tcMar>
            <w:vAlign w:val="top"/>
          </w:tcPr>
          <w:p>
            <w:r>
              <w:rPr>
                <w:b w:val="false"/>
                <w:bCs w:val="false"/>
                <w:color w:val="000000"/>
                <w:sz w:val="17"/>
                <w:szCs w:val="17"/>
              </w:rPr>
              <w:t xml:space="preserve">Publication action</w:t>
            </w:r>
          </w:p>
        </w:tc>
      </w:tr>
      <w:tr>
        <w:tc>
          <w:tcPr>
            <w:tcW w:type="dxa" w:w="1638"/>
            <w:tcMar>
              <w:top w:type="dxa" w:w="70"/>
              <w:left w:type="dxa" w:w="90"/>
              <w:bottom w:type="dxa" w:w="70"/>
              <w:right w:type="dxa" w:w="90"/>
            </w:tcMar>
            <w:vAlign w:val="top"/>
          </w:tcPr>
          <w:p>
            <w:r>
              <w:rPr>
                <w:b/>
                <w:bCs/>
                <w:color w:val="000000"/>
                <w:sz w:val="17"/>
                <w:szCs w:val="17"/>
              </w:rPr>
              <w:t xml:space="preserve">Published</w:t>
            </w:r>
          </w:p>
        </w:tc>
        <w:tc>
          <w:tcPr>
            <w:tcW w:type="dxa" w:w="4506"/>
            <w:tcMar>
              <w:top w:type="dxa" w:w="70"/>
              <w:left w:type="dxa" w:w="90"/>
              <w:bottom w:type="dxa" w:w="70"/>
              <w:right w:type="dxa" w:w="90"/>
            </w:tcMar>
            <w:vAlign w:val="top"/>
          </w:tcPr>
          <w:p>
            <w:r>
              <w:rPr>
                <w:b w:val="false"/>
                <w:bCs w:val="false"/>
                <w:color w:val="000000"/>
                <w:sz w:val="17"/>
                <w:szCs w:val="17"/>
              </w:rPr>
              <w:t xml:space="preserve">Item is live in ESM (internal visibility) or CKR (public visibility).</w:t>
            </w:r>
          </w:p>
        </w:tc>
        <w:tc>
          <w:tcPr>
            <w:tcW w:type="dxa" w:w="4096"/>
            <w:tcMar>
              <w:top w:type="dxa" w:w="70"/>
              <w:left w:type="dxa" w:w="90"/>
              <w:bottom w:type="dxa" w:w="70"/>
              <w:right w:type="dxa" w:w="90"/>
            </w:tcMar>
            <w:vAlign w:val="top"/>
          </w:tcPr>
          <w:p>
            <w:r>
              <w:rPr>
                <w:b w:val="false"/>
                <w:bCs w:val="false"/>
                <w:color w:val="000000"/>
                <w:sz w:val="17"/>
                <w:szCs w:val="17"/>
              </w:rPr>
              <w:t xml:space="preserve">Retention period elapses, or a superseding version is published</w:t>
            </w:r>
          </w:p>
        </w:tc>
      </w:tr>
      <w:tr>
        <w:tc>
          <w:tcPr>
            <w:tcW w:type="dxa" w:w="1638"/>
            <w:tcMar>
              <w:top w:type="dxa" w:w="70"/>
              <w:left w:type="dxa" w:w="90"/>
              <w:bottom w:type="dxa" w:w="70"/>
              <w:right w:type="dxa" w:w="90"/>
            </w:tcMar>
            <w:vAlign w:val="top"/>
          </w:tcPr>
          <w:p>
            <w:r>
              <w:rPr>
                <w:b/>
                <w:bCs/>
                <w:color w:val="000000"/>
                <w:sz w:val="17"/>
                <w:szCs w:val="17"/>
              </w:rPr>
              <w:t xml:space="preserve">Archived</w:t>
            </w:r>
          </w:p>
        </w:tc>
        <w:tc>
          <w:tcPr>
            <w:tcW w:type="dxa" w:w="4506"/>
            <w:tcMar>
              <w:top w:type="dxa" w:w="70"/>
              <w:left w:type="dxa" w:w="90"/>
              <w:bottom w:type="dxa" w:w="70"/>
              <w:right w:type="dxa" w:w="90"/>
            </w:tcMar>
            <w:vAlign w:val="top"/>
          </w:tcPr>
          <w:p>
            <w:r>
              <w:rPr>
                <w:b w:val="false"/>
                <w:bCs w:val="false"/>
                <w:color w:val="000000"/>
                <w:sz w:val="17"/>
                <w:szCs w:val="17"/>
              </w:rPr>
              <w:t xml:space="preserve">Item is retained per its retention class but no longer actively surfaced in Search results by default.</w:t>
            </w:r>
          </w:p>
        </w:tc>
        <w:tc>
          <w:tcPr>
            <w:tcW w:type="dxa" w:w="4096"/>
            <w:tcMar>
              <w:top w:type="dxa" w:w="70"/>
              <w:left w:type="dxa" w:w="90"/>
              <w:bottom w:type="dxa" w:w="70"/>
              <w:right w:type="dxa" w:w="90"/>
            </w:tcMar>
            <w:vAlign w:val="top"/>
          </w:tcPr>
          <w:p>
            <w:r>
              <w:rPr>
                <w:b w:val="false"/>
                <w:bCs w:val="false"/>
                <w:color w:val="000000"/>
                <w:sz w:val="17"/>
                <w:szCs w:val="17"/>
              </w:rPr>
              <w:t xml:space="preserve">Disposition review</w:t>
            </w:r>
          </w:p>
        </w:tc>
      </w:tr>
      <w:tr>
        <w:tc>
          <w:tcPr>
            <w:tcW w:type="dxa" w:w="1638"/>
            <w:tcMar>
              <w:top w:type="dxa" w:w="70"/>
              <w:left w:type="dxa" w:w="90"/>
              <w:bottom w:type="dxa" w:w="70"/>
              <w:right w:type="dxa" w:w="90"/>
            </w:tcMar>
            <w:vAlign w:val="top"/>
          </w:tcPr>
          <w:p>
            <w:r>
              <w:rPr>
                <w:b/>
                <w:bCs/>
                <w:color w:val="000000"/>
                <w:sz w:val="17"/>
                <w:szCs w:val="17"/>
              </w:rPr>
              <w:t xml:space="preserve">Disposed</w:t>
            </w:r>
          </w:p>
        </w:tc>
        <w:tc>
          <w:tcPr>
            <w:tcW w:type="dxa" w:w="4506"/>
            <w:tcMar>
              <w:top w:type="dxa" w:w="70"/>
              <w:left w:type="dxa" w:w="90"/>
              <w:bottom w:type="dxa" w:w="70"/>
              <w:right w:type="dxa" w:w="90"/>
            </w:tcMar>
            <w:vAlign w:val="top"/>
          </w:tcPr>
          <w:p>
            <w:r>
              <w:rPr>
                <w:b w:val="false"/>
                <w:bCs w:val="false"/>
                <w:color w:val="000000"/>
                <w:sz w:val="17"/>
                <w:szCs w:val="17"/>
              </w:rPr>
              <w:t xml:space="preserve">Item is permanently removed, per an approved disposition decision logged in the Decision Register (Section 4.4).</w:t>
            </w:r>
          </w:p>
        </w:tc>
        <w:tc>
          <w:tcPr>
            <w:tcW w:type="dxa" w:w="4096"/>
            <w:tcMar>
              <w:top w:type="dxa" w:w="70"/>
              <w:left w:type="dxa" w:w="90"/>
              <w:bottom w:type="dxa" w:w="70"/>
              <w:right w:type="dxa" w:w="90"/>
            </w:tcMar>
            <w:vAlign w:val="top"/>
          </w:tcPr>
          <w:p>
            <w:r>
              <w:rPr>
                <w:b w:val="false"/>
                <w:bCs w:val="false"/>
                <w:color w:val="000000"/>
                <w:sz w:val="17"/>
                <w:szCs w:val="17"/>
              </w:rPr>
              <w:t xml:space="preserve">Terminal state</w:t>
            </w:r>
          </w:p>
        </w:tc>
      </w:tr>
    </w:tbl>
    <w:p>
      <w:pPr>
        <w:spacing w:after="160"/>
      </w:pPr>
    </w:p>
    <w:p>
      <w:pPr>
        <w:pStyle w:val="Heading1"/>
        <w:pBdr>
          <w:bottom w:val="single" w:color="1F3864" w:sz="6" w:space="4"/>
        </w:pBdr>
        <w:spacing w:after="130" w:before="320"/>
      </w:pPr>
      <w:r>
        <w:t xml:space="preserve">5.10 Master Data</w:t>
      </w:r>
    </w:p>
    <w:p>
      <w:pPr>
        <w:spacing w:after="150" w:line="276"/>
        <w:jc w:val="both"/>
      </w:pPr>
      <w:r>
        <w:t xml:space="preserve">Master data entities are managed once, centrally, and referenced — never duplicated — by every other entity in the Enterprise Information Model. Ownership of each master data set follows the Organisation Model in Section 2.7.</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4301"/>
        <w:gridCol w:w="3277"/>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Master Data Set</w:t>
            </w:r>
          </w:p>
        </w:tc>
        <w:tc>
          <w:tcPr>
            <w:tcW w:type="dxa" w:w="4301"/>
            <w:shd w:fill="1F3864" w:val="clear"/>
            <w:tcMar>
              <w:top w:type="dxa" w:w="70"/>
              <w:left w:type="dxa" w:w="90"/>
              <w:bottom w:type="dxa" w:w="70"/>
              <w:right w:type="dxa" w:w="90"/>
            </w:tcMar>
            <w:vAlign w:val="top"/>
          </w:tcPr>
          <w:p>
            <w:r>
              <w:rPr>
                <w:b/>
                <w:bCs/>
                <w:color w:val="FFFFFF"/>
                <w:sz w:val="17"/>
                <w:szCs w:val="17"/>
              </w:rPr>
              <w:t xml:space="preserve">Owner</w:t>
            </w:r>
          </w:p>
        </w:tc>
        <w:tc>
          <w:tcPr>
            <w:tcW w:type="dxa" w:w="3277"/>
            <w:shd w:fill="1F3864" w:val="clear"/>
            <w:tcMar>
              <w:top w:type="dxa" w:w="70"/>
              <w:left w:type="dxa" w:w="90"/>
              <w:bottom w:type="dxa" w:w="70"/>
              <w:right w:type="dxa" w:w="90"/>
            </w:tcMar>
            <w:vAlign w:val="top"/>
          </w:tcPr>
          <w:p>
            <w:r>
              <w:rPr>
                <w:b/>
                <w:bCs/>
                <w:color w:val="FFFFFF"/>
                <w:sz w:val="17"/>
                <w:szCs w:val="17"/>
              </w:rPr>
              <w:t xml:space="preserve">Update Frequency</w:t>
            </w:r>
          </w:p>
        </w:tc>
      </w:tr>
      <w:tr>
        <w:tc>
          <w:tcPr>
            <w:tcW w:type="dxa" w:w="2662"/>
            <w:tcMar>
              <w:top w:type="dxa" w:w="70"/>
              <w:left w:type="dxa" w:w="90"/>
              <w:bottom w:type="dxa" w:w="70"/>
              <w:right w:type="dxa" w:w="90"/>
            </w:tcMar>
            <w:vAlign w:val="top"/>
          </w:tcPr>
          <w:p>
            <w:r>
              <w:rPr>
                <w:b/>
                <w:bCs/>
                <w:color w:val="000000"/>
                <w:sz w:val="17"/>
                <w:szCs w:val="17"/>
              </w:rPr>
              <w:t xml:space="preserve">State / FCT list</w:t>
            </w:r>
          </w:p>
        </w:tc>
        <w:tc>
          <w:tcPr>
            <w:tcW w:type="dxa" w:w="4301"/>
            <w:tcMar>
              <w:top w:type="dxa" w:w="70"/>
              <w:left w:type="dxa" w:w="90"/>
              <w:bottom w:type="dxa" w:w="70"/>
              <w:right w:type="dxa" w:w="90"/>
            </w:tcMar>
            <w:vAlign w:val="top"/>
          </w:tcPr>
          <w:p>
            <w:r>
              <w:rPr>
                <w:b w:val="false"/>
                <w:bCs w:val="false"/>
                <w:color w:val="000000"/>
                <w:sz w:val="17"/>
                <w:szCs w:val="17"/>
              </w:rPr>
              <w:t xml:space="preserve">KMC (taxonomy authority)</w:t>
            </w:r>
          </w:p>
        </w:tc>
        <w:tc>
          <w:tcPr>
            <w:tcW w:type="dxa" w:w="3277"/>
            <w:tcMar>
              <w:top w:type="dxa" w:w="70"/>
              <w:left w:type="dxa" w:w="90"/>
              <w:bottom w:type="dxa" w:w="70"/>
              <w:right w:type="dxa" w:w="90"/>
            </w:tcMar>
            <w:vAlign w:val="top"/>
          </w:tcPr>
          <w:p>
            <w:r>
              <w:rPr>
                <w:b w:val="false"/>
                <w:bCs w:val="false"/>
                <w:color w:val="000000"/>
                <w:sz w:val="17"/>
                <w:szCs w:val="17"/>
              </w:rPr>
              <w:t xml:space="preserve">Static — changes only if the programme's geographic scope changes</w:t>
            </w:r>
          </w:p>
        </w:tc>
      </w:tr>
      <w:tr>
        <w:tc>
          <w:tcPr>
            <w:tcW w:type="dxa" w:w="2662"/>
            <w:tcMar>
              <w:top w:type="dxa" w:w="70"/>
              <w:left w:type="dxa" w:w="90"/>
              <w:bottom w:type="dxa" w:w="70"/>
              <w:right w:type="dxa" w:w="90"/>
            </w:tcMar>
            <w:vAlign w:val="top"/>
          </w:tcPr>
          <w:p>
            <w:r>
              <w:rPr>
                <w:b/>
                <w:bCs/>
                <w:color w:val="000000"/>
                <w:sz w:val="17"/>
                <w:szCs w:val="17"/>
              </w:rPr>
              <w:t xml:space="preserve">Programme Component list</w:t>
            </w:r>
          </w:p>
        </w:tc>
        <w:tc>
          <w:tcPr>
            <w:tcW w:type="dxa" w:w="4301"/>
            <w:tcMar>
              <w:top w:type="dxa" w:w="70"/>
              <w:left w:type="dxa" w:w="90"/>
              <w:bottom w:type="dxa" w:w="70"/>
              <w:right w:type="dxa" w:w="90"/>
            </w:tcMar>
            <w:vAlign w:val="top"/>
          </w:tcPr>
          <w:p>
            <w:r>
              <w:rPr>
                <w:b w:val="false"/>
                <w:bCs w:val="false"/>
                <w:color w:val="000000"/>
                <w:sz w:val="17"/>
                <w:szCs w:val="17"/>
              </w:rPr>
              <w:t xml:space="preserve">National Programme Coordinator</w:t>
            </w:r>
          </w:p>
        </w:tc>
        <w:tc>
          <w:tcPr>
            <w:tcW w:type="dxa" w:w="3277"/>
            <w:tcMar>
              <w:top w:type="dxa" w:w="70"/>
              <w:left w:type="dxa" w:w="90"/>
              <w:bottom w:type="dxa" w:w="70"/>
              <w:right w:type="dxa" w:w="90"/>
            </w:tcMar>
            <w:vAlign w:val="top"/>
          </w:tcPr>
          <w:p>
            <w:r>
              <w:rPr>
                <w:b w:val="false"/>
                <w:bCs w:val="false"/>
                <w:color w:val="000000"/>
                <w:sz w:val="17"/>
                <w:szCs w:val="17"/>
              </w:rPr>
              <w:t xml:space="preserve">Low — updated at programme-level planning milestones</w:t>
            </w:r>
          </w:p>
        </w:tc>
      </w:tr>
      <w:tr>
        <w:tc>
          <w:tcPr>
            <w:tcW w:type="dxa" w:w="2662"/>
            <w:tcMar>
              <w:top w:type="dxa" w:w="70"/>
              <w:left w:type="dxa" w:w="90"/>
              <w:bottom w:type="dxa" w:w="70"/>
              <w:right w:type="dxa" w:w="90"/>
            </w:tcMar>
            <w:vAlign w:val="top"/>
          </w:tcPr>
          <w:p>
            <w:r>
              <w:rPr>
                <w:b/>
                <w:bCs/>
                <w:color w:val="000000"/>
                <w:sz w:val="17"/>
                <w:szCs w:val="17"/>
              </w:rPr>
              <w:t xml:space="preserve">User / Role directory</w:t>
            </w:r>
          </w:p>
        </w:tc>
        <w:tc>
          <w:tcPr>
            <w:tcW w:type="dxa" w:w="4301"/>
            <w:tcMar>
              <w:top w:type="dxa" w:w="70"/>
              <w:left w:type="dxa" w:w="90"/>
              <w:bottom w:type="dxa" w:w="70"/>
              <w:right w:type="dxa" w:w="90"/>
            </w:tcMar>
            <w:vAlign w:val="top"/>
          </w:tcPr>
          <w:p>
            <w:r>
              <w:rPr>
                <w:b w:val="false"/>
                <w:bCs w:val="false"/>
                <w:color w:val="000000"/>
                <w:sz w:val="17"/>
                <w:szCs w:val="17"/>
              </w:rPr>
              <w:t xml:space="preserve">Client KM and ICT Units (via Identity Management, Section 4.5)</w:t>
            </w:r>
          </w:p>
        </w:tc>
        <w:tc>
          <w:tcPr>
            <w:tcW w:type="dxa" w:w="3277"/>
            <w:tcMar>
              <w:top w:type="dxa" w:w="70"/>
              <w:left w:type="dxa" w:w="90"/>
              <w:bottom w:type="dxa" w:w="70"/>
              <w:right w:type="dxa" w:w="90"/>
            </w:tcMar>
            <w:vAlign w:val="top"/>
          </w:tcPr>
          <w:p>
            <w:r>
              <w:rPr>
                <w:b w:val="false"/>
                <w:bCs w:val="false"/>
                <w:color w:val="000000"/>
                <w:sz w:val="17"/>
                <w:szCs w:val="17"/>
              </w:rPr>
              <w:t xml:space="preserve">Ongoing, as users join or leave</w:t>
            </w:r>
          </w:p>
        </w:tc>
      </w:tr>
      <w:tr>
        <w:tc>
          <w:tcPr>
            <w:tcW w:type="dxa" w:w="2662"/>
            <w:tcMar>
              <w:top w:type="dxa" w:w="70"/>
              <w:left w:type="dxa" w:w="90"/>
              <w:bottom w:type="dxa" w:w="70"/>
              <w:right w:type="dxa" w:w="90"/>
            </w:tcMar>
            <w:vAlign w:val="top"/>
          </w:tcPr>
          <w:p>
            <w:r>
              <w:rPr>
                <w:b/>
                <w:bCs/>
                <w:color w:val="000000"/>
                <w:sz w:val="17"/>
                <w:szCs w:val="17"/>
              </w:rPr>
              <w:t xml:space="preserve">Donor / Co-Financier list</w:t>
            </w:r>
          </w:p>
        </w:tc>
        <w:tc>
          <w:tcPr>
            <w:tcW w:type="dxa" w:w="4301"/>
            <w:tcMar>
              <w:top w:type="dxa" w:w="70"/>
              <w:left w:type="dxa" w:w="90"/>
              <w:bottom w:type="dxa" w:w="70"/>
              <w:right w:type="dxa" w:w="90"/>
            </w:tcMar>
            <w:vAlign w:val="top"/>
          </w:tcPr>
          <w:p>
            <w:r>
              <w:rPr>
                <w:b w:val="false"/>
                <w:bCs w:val="false"/>
                <w:color w:val="000000"/>
                <w:sz w:val="17"/>
                <w:szCs w:val="17"/>
              </w:rPr>
              <w:t xml:space="preserve">National Programme Coordinator</w:t>
            </w:r>
          </w:p>
        </w:tc>
        <w:tc>
          <w:tcPr>
            <w:tcW w:type="dxa" w:w="3277"/>
            <w:tcMar>
              <w:top w:type="dxa" w:w="70"/>
              <w:left w:type="dxa" w:w="90"/>
              <w:bottom w:type="dxa" w:w="70"/>
              <w:right w:type="dxa" w:w="90"/>
            </w:tcMar>
            <w:vAlign w:val="top"/>
          </w:tcPr>
          <w:p>
            <w:r>
              <w:rPr>
                <w:b w:val="false"/>
                <w:bCs w:val="false"/>
                <w:color w:val="000000"/>
                <w:sz w:val="17"/>
                <w:szCs w:val="17"/>
              </w:rPr>
              <w:t xml:space="preserve">Static — changes only if co-financing arrangements change</w:t>
            </w:r>
          </w:p>
        </w:tc>
      </w:tr>
      <w:tr>
        <w:tc>
          <w:tcPr>
            <w:tcW w:type="dxa" w:w="2662"/>
            <w:tcMar>
              <w:top w:type="dxa" w:w="70"/>
              <w:left w:type="dxa" w:w="90"/>
              <w:bottom w:type="dxa" w:w="70"/>
              <w:right w:type="dxa" w:w="90"/>
            </w:tcMar>
            <w:vAlign w:val="top"/>
          </w:tcPr>
          <w:p>
            <w:r>
              <w:rPr>
                <w:b/>
                <w:bCs/>
                <w:color w:val="000000"/>
                <w:sz w:val="17"/>
                <w:szCs w:val="17"/>
              </w:rPr>
              <w:t xml:space="preserve">Taxonomy term list</w:t>
            </w:r>
          </w:p>
        </w:tc>
        <w:tc>
          <w:tcPr>
            <w:tcW w:type="dxa" w:w="4301"/>
            <w:tcMar>
              <w:top w:type="dxa" w:w="70"/>
              <w:left w:type="dxa" w:w="90"/>
              <w:bottom w:type="dxa" w:w="70"/>
              <w:right w:type="dxa" w:w="90"/>
            </w:tcMar>
            <w:vAlign w:val="top"/>
          </w:tcPr>
          <w:p>
            <w:r>
              <w:rPr>
                <w:b w:val="false"/>
                <w:bCs w:val="false"/>
                <w:color w:val="000000"/>
                <w:sz w:val="17"/>
                <w:szCs w:val="17"/>
              </w:rPr>
              <w:t xml:space="preserve">KMC (sole taxonomy authority)</w:t>
            </w:r>
          </w:p>
        </w:tc>
        <w:tc>
          <w:tcPr>
            <w:tcW w:type="dxa" w:w="3277"/>
            <w:tcMar>
              <w:top w:type="dxa" w:w="70"/>
              <w:left w:type="dxa" w:w="90"/>
              <w:bottom w:type="dxa" w:w="70"/>
              <w:right w:type="dxa" w:w="90"/>
            </w:tcMar>
            <w:vAlign w:val="top"/>
          </w:tcPr>
          <w:p>
            <w:r>
              <w:rPr>
                <w:b w:val="false"/>
                <w:bCs w:val="false"/>
                <w:color w:val="000000"/>
                <w:sz w:val="17"/>
                <w:szCs w:val="17"/>
              </w:rPr>
              <w:t xml:space="preserve">Periodic, via the governance review cycle (Section 2.10)</w:t>
            </w:r>
          </w:p>
        </w:tc>
      </w:tr>
    </w:tbl>
    <w:p>
      <w:pPr>
        <w:spacing w:after="160"/>
      </w:pPr>
    </w:p>
    <w:p>
      <w:pPr>
        <w:pStyle w:val="Heading1"/>
        <w:pBdr>
          <w:bottom w:val="single" w:color="1F3864" w:sz="6" w:space="4"/>
        </w:pBdr>
        <w:spacing w:after="130" w:before="320"/>
      </w:pPr>
      <w:r>
        <w:t xml:space="preserve">5.11 Reference Data</w:t>
      </w:r>
    </w:p>
    <w:p>
      <w:pPr>
        <w:spacing w:after="150" w:line="276"/>
        <w:jc w:val="both"/>
      </w:pPr>
      <w:r>
        <w:t xml:space="preserve">Reference data sets are smaller, more static code lists that content and workflow depend on but that carry no independent business meaning of their own.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7373"/>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Reference Data Set</w:t>
            </w:r>
          </w:p>
        </w:tc>
        <w:tc>
          <w:tcPr>
            <w:tcW w:type="dxa" w:w="7373"/>
            <w:shd w:fill="1F3864" w:val="clear"/>
            <w:tcMar>
              <w:top w:type="dxa" w:w="70"/>
              <w:left w:type="dxa" w:w="90"/>
              <w:bottom w:type="dxa" w:w="70"/>
              <w:right w:type="dxa" w:w="90"/>
            </w:tcMar>
            <w:vAlign w:val="top"/>
          </w:tcPr>
          <w:p>
            <w:r>
              <w:rPr>
                <w:b/>
                <w:bCs/>
                <w:color w:val="FFFFFF"/>
                <w:sz w:val="17"/>
                <w:szCs w:val="17"/>
              </w:rPr>
              <w:t xml:space="preserve">Example Values</w:t>
            </w:r>
          </w:p>
        </w:tc>
      </w:tr>
      <w:tr>
        <w:tc>
          <w:tcPr>
            <w:tcW w:type="dxa" w:w="2867"/>
            <w:tcMar>
              <w:top w:type="dxa" w:w="70"/>
              <w:left w:type="dxa" w:w="90"/>
              <w:bottom w:type="dxa" w:w="70"/>
              <w:right w:type="dxa" w:w="90"/>
            </w:tcMar>
            <w:vAlign w:val="top"/>
          </w:tcPr>
          <w:p>
            <w:r>
              <w:rPr>
                <w:b/>
                <w:bCs/>
                <w:color w:val="000000"/>
                <w:sz w:val="17"/>
                <w:szCs w:val="17"/>
              </w:rPr>
              <w:t xml:space="preserve">Content Type codes</w:t>
            </w:r>
          </w:p>
        </w:tc>
        <w:tc>
          <w:tcPr>
            <w:tcW w:type="dxa" w:w="7373"/>
            <w:tcMar>
              <w:top w:type="dxa" w:w="70"/>
              <w:left w:type="dxa" w:w="90"/>
              <w:bottom w:type="dxa" w:w="70"/>
              <w:right w:type="dxa" w:w="90"/>
            </w:tcMar>
            <w:vAlign w:val="top"/>
          </w:tcPr>
          <w:p>
            <w:r>
              <w:rPr>
                <w:b w:val="false"/>
                <w:bCs w:val="false"/>
                <w:color w:val="000000"/>
                <w:sz w:val="17"/>
                <w:szCs w:val="17"/>
              </w:rPr>
              <w:t xml:space="preserve">Work Plan, Report, Memo, Procurement Record, Publication, Case Study, Tool, Event Record.</w:t>
            </w:r>
          </w:p>
        </w:tc>
      </w:tr>
      <w:tr>
        <w:tc>
          <w:tcPr>
            <w:tcW w:type="dxa" w:w="2867"/>
            <w:tcMar>
              <w:top w:type="dxa" w:w="70"/>
              <w:left w:type="dxa" w:w="90"/>
              <w:bottom w:type="dxa" w:w="70"/>
              <w:right w:type="dxa" w:w="90"/>
            </w:tcMar>
            <w:vAlign w:val="top"/>
          </w:tcPr>
          <w:p>
            <w:r>
              <w:rPr>
                <w:b/>
                <w:bCs/>
                <w:color w:val="000000"/>
                <w:sz w:val="17"/>
                <w:szCs w:val="17"/>
              </w:rPr>
              <w:t xml:space="preserve">Classification / Sensitivity levels</w:t>
            </w:r>
          </w:p>
        </w:tc>
        <w:tc>
          <w:tcPr>
            <w:tcW w:type="dxa" w:w="7373"/>
            <w:tcMar>
              <w:top w:type="dxa" w:w="70"/>
              <w:left w:type="dxa" w:w="90"/>
              <w:bottom w:type="dxa" w:w="70"/>
              <w:right w:type="dxa" w:w="90"/>
            </w:tcMar>
            <w:vAlign w:val="top"/>
          </w:tcPr>
          <w:p>
            <w:r>
              <w:rPr>
                <w:b w:val="false"/>
                <w:bCs w:val="false"/>
                <w:color w:val="000000"/>
                <w:sz w:val="17"/>
                <w:szCs w:val="17"/>
              </w:rPr>
              <w:t xml:space="preserve">Internal, Restricted, Public.</w:t>
            </w:r>
          </w:p>
        </w:tc>
      </w:tr>
      <w:tr>
        <w:tc>
          <w:tcPr>
            <w:tcW w:type="dxa" w:w="2867"/>
            <w:tcMar>
              <w:top w:type="dxa" w:w="70"/>
              <w:left w:type="dxa" w:w="90"/>
              <w:bottom w:type="dxa" w:w="70"/>
              <w:right w:type="dxa" w:w="90"/>
            </w:tcMar>
            <w:vAlign w:val="top"/>
          </w:tcPr>
          <w:p>
            <w:r>
              <w:rPr>
                <w:b/>
                <w:bCs/>
                <w:color w:val="000000"/>
                <w:sz w:val="17"/>
                <w:szCs w:val="17"/>
              </w:rPr>
              <w:t xml:space="preserve">Workflow status codes</w:t>
            </w:r>
          </w:p>
        </w:tc>
        <w:tc>
          <w:tcPr>
            <w:tcW w:type="dxa" w:w="7373"/>
            <w:tcMar>
              <w:top w:type="dxa" w:w="70"/>
              <w:left w:type="dxa" w:w="90"/>
              <w:bottom w:type="dxa" w:w="70"/>
              <w:right w:type="dxa" w:w="90"/>
            </w:tcMar>
            <w:vAlign w:val="top"/>
          </w:tcPr>
          <w:p>
            <w:r>
              <w:rPr>
                <w:b w:val="false"/>
                <w:bCs w:val="false"/>
                <w:color w:val="000000"/>
                <w:sz w:val="17"/>
                <w:szCs w:val="17"/>
              </w:rPr>
              <w:t xml:space="preserve">Submitted, Under Review, Approved, Rejected, Escalated.</w:t>
            </w:r>
          </w:p>
        </w:tc>
      </w:tr>
      <w:tr>
        <w:tc>
          <w:tcPr>
            <w:tcW w:type="dxa" w:w="2867"/>
            <w:tcMar>
              <w:top w:type="dxa" w:w="70"/>
              <w:left w:type="dxa" w:w="90"/>
              <w:bottom w:type="dxa" w:w="70"/>
              <w:right w:type="dxa" w:w="90"/>
            </w:tcMar>
            <w:vAlign w:val="top"/>
          </w:tcPr>
          <w:p>
            <w:r>
              <w:rPr>
                <w:b/>
                <w:bCs/>
                <w:color w:val="000000"/>
                <w:sz w:val="17"/>
                <w:szCs w:val="17"/>
              </w:rPr>
              <w:t xml:space="preserve">KPI definitions</w:t>
            </w:r>
          </w:p>
        </w:tc>
        <w:tc>
          <w:tcPr>
            <w:tcW w:type="dxa" w:w="7373"/>
            <w:tcMar>
              <w:top w:type="dxa" w:w="70"/>
              <w:left w:type="dxa" w:w="90"/>
              <w:bottom w:type="dxa" w:w="70"/>
              <w:right w:type="dxa" w:w="90"/>
            </w:tcMar>
            <w:vAlign w:val="top"/>
          </w:tcPr>
          <w:p>
            <w:r>
              <w:rPr>
                <w:b w:val="false"/>
                <w:bCs w:val="false"/>
                <w:color w:val="000000"/>
                <w:sz w:val="17"/>
                <w:szCs w:val="17"/>
              </w:rPr>
              <w:t xml:space="preserve">The TOR's own Section 10 KPI set, each with a defined calculation method.</w:t>
            </w:r>
          </w:p>
        </w:tc>
      </w:tr>
      <w:tr>
        <w:tc>
          <w:tcPr>
            <w:tcW w:type="dxa" w:w="2867"/>
            <w:tcMar>
              <w:top w:type="dxa" w:w="70"/>
              <w:left w:type="dxa" w:w="90"/>
              <w:bottom w:type="dxa" w:w="70"/>
              <w:right w:type="dxa" w:w="90"/>
            </w:tcMar>
            <w:vAlign w:val="top"/>
          </w:tcPr>
          <w:p>
            <w:r>
              <w:rPr>
                <w:b/>
                <w:bCs/>
                <w:color w:val="000000"/>
                <w:sz w:val="17"/>
                <w:szCs w:val="17"/>
              </w:rPr>
              <w:t xml:space="preserve">Retention classes</w:t>
            </w:r>
          </w:p>
        </w:tc>
        <w:tc>
          <w:tcPr>
            <w:tcW w:type="dxa" w:w="7373"/>
            <w:tcMar>
              <w:top w:type="dxa" w:w="70"/>
              <w:left w:type="dxa" w:w="90"/>
              <w:bottom w:type="dxa" w:w="70"/>
              <w:right w:type="dxa" w:w="90"/>
            </w:tcMar>
            <w:vAlign w:val="top"/>
          </w:tcPr>
          <w:p>
            <w:r>
              <w:rPr>
                <w:b w:val="false"/>
                <w:bCs w:val="false"/>
                <w:color w:val="000000"/>
                <w:sz w:val="17"/>
                <w:szCs w:val="17"/>
              </w:rPr>
              <w:t xml:space="preserve">Short-term, Standard, Long-term, Permanent — mapped to specific retention periods in Section 5.19.</w:t>
            </w:r>
          </w:p>
        </w:tc>
      </w:tr>
    </w:tbl>
    <w:p>
      <w:pPr>
        <w:spacing w:after="160"/>
      </w:pPr>
    </w:p>
    <w:p>
      <w:pPr>
        <w:pStyle w:val="Heading1"/>
        <w:pBdr>
          <w:bottom w:val="single" w:color="1F3864" w:sz="6" w:space="4"/>
        </w:pBdr>
        <w:spacing w:after="130" w:before="320"/>
      </w:pPr>
      <w:r>
        <w:t xml:space="preserve">5.12 Information Flow</w:t>
      </w:r>
    </w:p>
    <w:p>
      <w:pPr>
        <w:spacing w:after="150" w:line="276"/>
        <w:jc w:val="both"/>
      </w:pPr>
      <w:r>
        <w:t xml:space="preserve">Information moves through five stages from creation to consumption, spanning both systems and the governed boundary between them.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6144"/>
        <w:gridCol w:w="2458"/>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Stage</w:t>
            </w:r>
          </w:p>
        </w:tc>
        <w:tc>
          <w:tcPr>
            <w:tcW w:type="dxa" w:w="6144"/>
            <w:shd w:fill="1F3864" w:val="clear"/>
            <w:tcMar>
              <w:top w:type="dxa" w:w="70"/>
              <w:left w:type="dxa" w:w="90"/>
              <w:bottom w:type="dxa" w:w="70"/>
              <w:right w:type="dxa" w:w="90"/>
            </w:tcMar>
            <w:vAlign w:val="top"/>
          </w:tcPr>
          <w:p>
            <w:r>
              <w:rPr>
                <w:b/>
                <w:bCs/>
                <w:color w:val="FFFFFF"/>
                <w:sz w:val="17"/>
                <w:szCs w:val="17"/>
              </w:rPr>
              <w:t xml:space="preserve">What Happens</w:t>
            </w:r>
          </w:p>
        </w:tc>
        <w:tc>
          <w:tcPr>
            <w:tcW w:type="dxa" w:w="2458"/>
            <w:shd w:fill="1F3864" w:val="clear"/>
            <w:tcMar>
              <w:top w:type="dxa" w:w="70"/>
              <w:left w:type="dxa" w:w="90"/>
              <w:bottom w:type="dxa" w:w="70"/>
              <w:right w:type="dxa" w:w="90"/>
            </w:tcMar>
            <w:vAlign w:val="top"/>
          </w:tcPr>
          <w:p>
            <w:r>
              <w:rPr>
                <w:b/>
                <w:bCs/>
                <w:color w:val="FFFFFF"/>
                <w:sz w:val="17"/>
                <w:szCs w:val="17"/>
              </w:rPr>
              <w:t xml:space="preserve">System</w:t>
            </w:r>
          </w:p>
        </w:tc>
      </w:tr>
      <w:tr>
        <w:tc>
          <w:tcPr>
            <w:tcW w:type="dxa" w:w="1638"/>
            <w:tcMar>
              <w:top w:type="dxa" w:w="70"/>
              <w:left w:type="dxa" w:w="90"/>
              <w:bottom w:type="dxa" w:w="70"/>
              <w:right w:type="dxa" w:w="90"/>
            </w:tcMar>
            <w:vAlign w:val="top"/>
          </w:tcPr>
          <w:p>
            <w:r>
              <w:rPr>
                <w:b/>
                <w:bCs/>
                <w:color w:val="000000"/>
                <w:sz w:val="17"/>
                <w:szCs w:val="17"/>
              </w:rPr>
              <w:t xml:space="preserve">1. Capture</w:t>
            </w:r>
          </w:p>
        </w:tc>
        <w:tc>
          <w:tcPr>
            <w:tcW w:type="dxa" w:w="6144"/>
            <w:tcMar>
              <w:top w:type="dxa" w:w="70"/>
              <w:left w:type="dxa" w:w="90"/>
              <w:bottom w:type="dxa" w:w="70"/>
              <w:right w:type="dxa" w:w="90"/>
            </w:tcMar>
            <w:vAlign w:val="top"/>
          </w:tcPr>
          <w:p>
            <w:r>
              <w:rPr>
                <w:b w:val="false"/>
                <w:bCs w:val="false"/>
                <w:color w:val="000000"/>
                <w:sz w:val="17"/>
                <w:szCs w:val="17"/>
              </w:rPr>
              <w:t xml:space="preserve">A state team or steward creates a document or knowledge item and completes mandatory metadata (Section 5.4).</w:t>
            </w:r>
          </w:p>
        </w:tc>
        <w:tc>
          <w:tcPr>
            <w:tcW w:type="dxa" w:w="2458"/>
            <w:tcMar>
              <w:top w:type="dxa" w:w="70"/>
              <w:left w:type="dxa" w:w="90"/>
              <w:bottom w:type="dxa" w:w="70"/>
              <w:right w:type="dxa" w:w="90"/>
            </w:tcMar>
            <w:vAlign w:val="top"/>
          </w:tcPr>
          <w:p>
            <w:r>
              <w:rPr>
                <w:b w:val="false"/>
                <w:bCs w:val="false"/>
                <w:color w:val="000000"/>
                <w:sz w:val="17"/>
                <w:szCs w:val="17"/>
              </w:rPr>
              <w:t xml:space="preserve">ESM or CKR</w:t>
            </w:r>
          </w:p>
        </w:tc>
      </w:tr>
      <w:tr>
        <w:tc>
          <w:tcPr>
            <w:tcW w:type="dxa" w:w="1638"/>
            <w:tcMar>
              <w:top w:type="dxa" w:w="70"/>
              <w:left w:type="dxa" w:w="90"/>
              <w:bottom w:type="dxa" w:w="70"/>
              <w:right w:type="dxa" w:w="90"/>
            </w:tcMar>
            <w:vAlign w:val="top"/>
          </w:tcPr>
          <w:p>
            <w:r>
              <w:rPr>
                <w:b/>
                <w:bCs/>
                <w:color w:val="000000"/>
                <w:sz w:val="17"/>
                <w:szCs w:val="17"/>
              </w:rPr>
              <w:t xml:space="preserve">2. Classify</w:t>
            </w:r>
          </w:p>
        </w:tc>
        <w:tc>
          <w:tcPr>
            <w:tcW w:type="dxa" w:w="6144"/>
            <w:tcMar>
              <w:top w:type="dxa" w:w="70"/>
              <w:left w:type="dxa" w:w="90"/>
              <w:bottom w:type="dxa" w:w="70"/>
              <w:right w:type="dxa" w:w="90"/>
            </w:tcMar>
            <w:vAlign w:val="top"/>
          </w:tcPr>
          <w:p>
            <w:r>
              <w:rPr>
                <w:b w:val="false"/>
                <w:bCs w:val="false"/>
                <w:color w:val="000000"/>
                <w:sz w:val="17"/>
                <w:szCs w:val="17"/>
              </w:rPr>
              <w:t xml:space="preserve">Taxonomy terms are applied and validated against the shared taxonomy (Section 5.5).</w:t>
            </w:r>
          </w:p>
        </w:tc>
        <w:tc>
          <w:tcPr>
            <w:tcW w:type="dxa" w:w="2458"/>
            <w:tcMar>
              <w:top w:type="dxa" w:w="70"/>
              <w:left w:type="dxa" w:w="90"/>
              <w:bottom w:type="dxa" w:w="70"/>
              <w:right w:type="dxa" w:w="90"/>
            </w:tcMar>
            <w:vAlign w:val="top"/>
          </w:tcPr>
          <w:p>
            <w:r>
              <w:rPr>
                <w:b w:val="false"/>
                <w:bCs w:val="false"/>
                <w:color w:val="000000"/>
                <w:sz w:val="17"/>
                <w:szCs w:val="17"/>
              </w:rPr>
              <w:t xml:space="preserve">ESM or CKR</w:t>
            </w:r>
          </w:p>
        </w:tc>
      </w:tr>
      <w:tr>
        <w:tc>
          <w:tcPr>
            <w:tcW w:type="dxa" w:w="1638"/>
            <w:tcMar>
              <w:top w:type="dxa" w:w="70"/>
              <w:left w:type="dxa" w:w="90"/>
              <w:bottom w:type="dxa" w:w="70"/>
              <w:right w:type="dxa" w:w="90"/>
            </w:tcMar>
            <w:vAlign w:val="top"/>
          </w:tcPr>
          <w:p>
            <w:r>
              <w:rPr>
                <w:b/>
                <w:bCs/>
                <w:color w:val="000000"/>
                <w:sz w:val="17"/>
                <w:szCs w:val="17"/>
              </w:rPr>
              <w:t xml:space="preserve">3. Govern</w:t>
            </w:r>
          </w:p>
        </w:tc>
        <w:tc>
          <w:tcPr>
            <w:tcW w:type="dxa" w:w="6144"/>
            <w:tcMar>
              <w:top w:type="dxa" w:w="70"/>
              <w:left w:type="dxa" w:w="90"/>
              <w:bottom w:type="dxa" w:w="70"/>
              <w:right w:type="dxa" w:w="90"/>
            </w:tcMar>
            <w:vAlign w:val="top"/>
          </w:tcPr>
          <w:p>
            <w:r>
              <w:rPr>
                <w:b w:val="false"/>
                <w:bCs w:val="false"/>
                <w:color w:val="000000"/>
                <w:sz w:val="17"/>
                <w:szCs w:val="17"/>
              </w:rPr>
              <w:t xml:space="preserve">The item passes through Approval Workflow (ESM) or editorial review (CKR), per the Decision Model (Section 2.9).</w:t>
            </w:r>
          </w:p>
        </w:tc>
        <w:tc>
          <w:tcPr>
            <w:tcW w:type="dxa" w:w="2458"/>
            <w:tcMar>
              <w:top w:type="dxa" w:w="70"/>
              <w:left w:type="dxa" w:w="90"/>
              <w:bottom w:type="dxa" w:w="70"/>
              <w:right w:type="dxa" w:w="90"/>
            </w:tcMar>
            <w:vAlign w:val="top"/>
          </w:tcPr>
          <w:p>
            <w:r>
              <w:rPr>
                <w:b w:val="false"/>
                <w:bCs w:val="false"/>
                <w:color w:val="000000"/>
                <w:sz w:val="17"/>
                <w:szCs w:val="17"/>
              </w:rPr>
              <w:t xml:space="preserve">ESM or CKR</w:t>
            </w:r>
          </w:p>
        </w:tc>
      </w:tr>
      <w:tr>
        <w:tc>
          <w:tcPr>
            <w:tcW w:type="dxa" w:w="1638"/>
            <w:tcMar>
              <w:top w:type="dxa" w:w="70"/>
              <w:left w:type="dxa" w:w="90"/>
              <w:bottom w:type="dxa" w:w="70"/>
              <w:right w:type="dxa" w:w="90"/>
            </w:tcMar>
            <w:vAlign w:val="top"/>
          </w:tcPr>
          <w:p>
            <w:r>
              <w:rPr>
                <w:b/>
                <w:bCs/>
                <w:color w:val="000000"/>
                <w:sz w:val="17"/>
                <w:szCs w:val="17"/>
              </w:rPr>
              <w:t xml:space="preserve">4. Store / Publish</w:t>
            </w:r>
          </w:p>
        </w:tc>
        <w:tc>
          <w:tcPr>
            <w:tcW w:type="dxa" w:w="6144"/>
            <w:tcMar>
              <w:top w:type="dxa" w:w="70"/>
              <w:left w:type="dxa" w:w="90"/>
              <w:bottom w:type="dxa" w:w="70"/>
              <w:right w:type="dxa" w:w="90"/>
            </w:tcMar>
            <w:vAlign w:val="top"/>
          </w:tcPr>
          <w:p>
            <w:r>
              <w:rPr>
                <w:b w:val="false"/>
                <w:bCs w:val="false"/>
                <w:color w:val="000000"/>
                <w:sz w:val="17"/>
                <w:szCs w:val="17"/>
              </w:rPr>
              <w:t xml:space="preserve">Approved ESM content enters the internal system of record; approved CKR content is published publicly.</w:t>
            </w:r>
          </w:p>
        </w:tc>
        <w:tc>
          <w:tcPr>
            <w:tcW w:type="dxa" w:w="2458"/>
            <w:tcMar>
              <w:top w:type="dxa" w:w="70"/>
              <w:left w:type="dxa" w:w="90"/>
              <w:bottom w:type="dxa" w:w="70"/>
              <w:right w:type="dxa" w:w="90"/>
            </w:tcMar>
            <w:vAlign w:val="top"/>
          </w:tcPr>
          <w:p>
            <w:r>
              <w:rPr>
                <w:b w:val="false"/>
                <w:bCs w:val="false"/>
                <w:color w:val="000000"/>
                <w:sz w:val="17"/>
                <w:szCs w:val="17"/>
              </w:rPr>
              <w:t xml:space="preserve">ESM or CKR</w:t>
            </w:r>
          </w:p>
        </w:tc>
      </w:tr>
      <w:tr>
        <w:tc>
          <w:tcPr>
            <w:tcW w:type="dxa" w:w="1638"/>
            <w:tcMar>
              <w:top w:type="dxa" w:w="70"/>
              <w:left w:type="dxa" w:w="90"/>
              <w:bottom w:type="dxa" w:w="70"/>
              <w:right w:type="dxa" w:w="90"/>
            </w:tcMar>
            <w:vAlign w:val="top"/>
          </w:tcPr>
          <w:p>
            <w:r>
              <w:rPr>
                <w:b/>
                <w:bCs/>
                <w:color w:val="000000"/>
                <w:sz w:val="17"/>
                <w:szCs w:val="17"/>
              </w:rPr>
              <w:t xml:space="preserve">5. Consume</w:t>
            </w:r>
          </w:p>
        </w:tc>
        <w:tc>
          <w:tcPr>
            <w:tcW w:type="dxa" w:w="6144"/>
            <w:tcMar>
              <w:top w:type="dxa" w:w="70"/>
              <w:left w:type="dxa" w:w="90"/>
              <w:bottom w:type="dxa" w:w="70"/>
              <w:right w:type="dxa" w:w="90"/>
            </w:tcMar>
            <w:vAlign w:val="top"/>
          </w:tcPr>
          <w:p>
            <w:r>
              <w:rPr>
                <w:b w:val="false"/>
                <w:bCs w:val="false"/>
                <w:color w:val="000000"/>
                <w:sz w:val="17"/>
                <w:szCs w:val="17"/>
              </w:rPr>
              <w:t xml:space="preserve">Search, Reporting, and Business Intelligence modules (Section 4.3–4.4) draw on stored and published content.</w:t>
            </w:r>
          </w:p>
        </w:tc>
        <w:tc>
          <w:tcPr>
            <w:tcW w:type="dxa" w:w="2458"/>
            <w:tcMar>
              <w:top w:type="dxa" w:w="70"/>
              <w:left w:type="dxa" w:w="90"/>
              <w:bottom w:type="dxa" w:w="70"/>
              <w:right w:type="dxa" w:w="90"/>
            </w:tcMar>
            <w:vAlign w:val="top"/>
          </w:tcPr>
          <w:p>
            <w:r>
              <w:rPr>
                <w:b w:val="false"/>
                <w:bCs w:val="false"/>
                <w:color w:val="000000"/>
                <w:sz w:val="17"/>
                <w:szCs w:val="17"/>
              </w:rPr>
              <w:t xml:space="preserve">Shared</w:t>
            </w:r>
          </w:p>
        </w:tc>
      </w:tr>
    </w:tbl>
    <w:p>
      <w:pPr>
        <w:spacing w:after="100"/>
      </w:pPr>
    </w:p>
    <w:p>
      <w:pPr>
        <w:spacing w:after="160" w:line="264"/>
      </w:pPr>
      <w:r>
        <w:rPr>
          <w:i/>
          <w:iCs/>
          <w:color w:val="555555"/>
          <w:sz w:val="18"/>
          <w:szCs w:val="18"/>
        </w:rPr>
        <w:t xml:space="preserve">A sixth, cross-boundary flow exists by design: where a state team's internal ESM work (for example, a completed project report) contains material suitable for public knowledge-sharing, the KMC — holding content-decision accountability per Section 2.9 — makes the explicit decision to route a derived, edited version into the CKR capture stage. This is never automatic, since it is exactly the point where the ESM/CKR access boundary must be actively protected rather than assumed.</w:t>
      </w:r>
    </w:p>
    <w:p>
      <w:pPr>
        <w:spacing w:after="160"/>
      </w:pPr>
    </w:p>
    <w:p>
      <w:pPr>
        <w:pStyle w:val="Heading1"/>
        <w:pBdr>
          <w:bottom w:val="single" w:color="1F3864" w:sz="6" w:space="4"/>
        </w:pBdr>
        <w:spacing w:after="130" w:before="320"/>
      </w:pPr>
      <w:r>
        <w:t xml:space="preserve">5.13 Data Ownership and Stewardship</w:t>
      </w:r>
    </w:p>
    <w:p>
      <w:pPr>
        <w:spacing w:after="150" w:line="276"/>
        <w:jc w:val="both"/>
      </w:pPr>
      <w:r>
        <w:t xml:space="preserve">Information-specific ownership follows directly from the Decision Model (Section 2.9) and Organisation Model (Section 2.7), restated here against each information asset defined earlier in this section.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3379"/>
        <w:gridCol w:w="3379"/>
      </w:tblGrid>
      <w:tr>
        <w:trPr>
          <w:tblHeader/>
        </w:trPr>
        <w:tc>
          <w:tcPr>
            <w:tcW w:type="dxa" w:w="3482"/>
            <w:shd w:fill="1F3864" w:val="clear"/>
            <w:tcMar>
              <w:top w:type="dxa" w:w="70"/>
              <w:left w:type="dxa" w:w="90"/>
              <w:bottom w:type="dxa" w:w="70"/>
              <w:right w:type="dxa" w:w="90"/>
            </w:tcMar>
            <w:vAlign w:val="top"/>
          </w:tcPr>
          <w:p>
            <w:r>
              <w:rPr>
                <w:b/>
                <w:bCs/>
                <w:color w:val="FFFFFF"/>
                <w:sz w:val="17"/>
                <w:szCs w:val="17"/>
              </w:rPr>
              <w:t xml:space="preserve">Information Asset</w:t>
            </w:r>
          </w:p>
        </w:tc>
        <w:tc>
          <w:tcPr>
            <w:tcW w:type="dxa" w:w="3379"/>
            <w:shd w:fill="1F3864" w:val="clear"/>
            <w:tcMar>
              <w:top w:type="dxa" w:w="70"/>
              <w:left w:type="dxa" w:w="90"/>
              <w:bottom w:type="dxa" w:w="70"/>
              <w:right w:type="dxa" w:w="90"/>
            </w:tcMar>
            <w:vAlign w:val="top"/>
          </w:tcPr>
          <w:p>
            <w:r>
              <w:rPr>
                <w:b/>
                <w:bCs/>
                <w:color w:val="FFFFFF"/>
                <w:sz w:val="17"/>
                <w:szCs w:val="17"/>
              </w:rPr>
              <w:t xml:space="preserve">Owner</w:t>
            </w:r>
          </w:p>
        </w:tc>
        <w:tc>
          <w:tcPr>
            <w:tcW w:type="dxa" w:w="3379"/>
            <w:shd w:fill="1F3864" w:val="clear"/>
            <w:tcMar>
              <w:top w:type="dxa" w:w="70"/>
              <w:left w:type="dxa" w:w="90"/>
              <w:bottom w:type="dxa" w:w="70"/>
              <w:right w:type="dxa" w:w="90"/>
            </w:tcMar>
            <w:vAlign w:val="top"/>
          </w:tcPr>
          <w:p>
            <w:r>
              <w:rPr>
                <w:b/>
                <w:bCs/>
                <w:color w:val="FFFFFF"/>
                <w:sz w:val="17"/>
                <w:szCs w:val="17"/>
              </w:rPr>
              <w:t xml:space="preserve">Steward</w:t>
            </w:r>
          </w:p>
        </w:tc>
      </w:tr>
      <w:tr>
        <w:tc>
          <w:tcPr>
            <w:tcW w:type="dxa" w:w="3482"/>
            <w:tcMar>
              <w:top w:type="dxa" w:w="70"/>
              <w:left w:type="dxa" w:w="90"/>
              <w:bottom w:type="dxa" w:w="70"/>
              <w:right w:type="dxa" w:w="90"/>
            </w:tcMar>
            <w:vAlign w:val="top"/>
          </w:tcPr>
          <w:p>
            <w:r>
              <w:rPr>
                <w:b/>
                <w:bCs/>
                <w:color w:val="000000"/>
                <w:sz w:val="17"/>
                <w:szCs w:val="17"/>
              </w:rPr>
              <w:t xml:space="preserve">Taxonomy and metadata schema</w:t>
            </w:r>
          </w:p>
        </w:tc>
        <w:tc>
          <w:tcPr>
            <w:tcW w:type="dxa" w:w="3379"/>
            <w:tcMar>
              <w:top w:type="dxa" w:w="70"/>
              <w:left w:type="dxa" w:w="90"/>
              <w:bottom w:type="dxa" w:w="70"/>
              <w:right w:type="dxa" w:w="90"/>
            </w:tcMar>
            <w:vAlign w:val="top"/>
          </w:tcPr>
          <w:p>
            <w:r>
              <w:rPr>
                <w:b w:val="false"/>
                <w:bCs w:val="false"/>
                <w:color w:val="000000"/>
                <w:sz w:val="17"/>
                <w:szCs w:val="17"/>
              </w:rPr>
              <w:t xml:space="preserve">KMC</w:t>
            </w:r>
          </w:p>
        </w:tc>
        <w:tc>
          <w:tcPr>
            <w:tcW w:type="dxa" w:w="3379"/>
            <w:tcMar>
              <w:top w:type="dxa" w:w="70"/>
              <w:left w:type="dxa" w:w="90"/>
              <w:bottom w:type="dxa" w:w="70"/>
              <w:right w:type="dxa" w:w="90"/>
            </w:tcMar>
            <w:vAlign w:val="top"/>
          </w:tcPr>
          <w:p>
            <w:r>
              <w:rPr>
                <w:b w:val="false"/>
                <w:bCs w:val="false"/>
                <w:color w:val="000000"/>
                <w:sz w:val="17"/>
                <w:szCs w:val="17"/>
              </w:rPr>
              <w:t xml:space="preserve">KM and ICT Units (technical maintenance)</w:t>
            </w:r>
          </w:p>
        </w:tc>
      </w:tr>
      <w:tr>
        <w:tc>
          <w:tcPr>
            <w:tcW w:type="dxa" w:w="3482"/>
            <w:tcMar>
              <w:top w:type="dxa" w:w="70"/>
              <w:left w:type="dxa" w:w="90"/>
              <w:bottom w:type="dxa" w:w="70"/>
              <w:right w:type="dxa" w:w="90"/>
            </w:tcMar>
            <w:vAlign w:val="top"/>
          </w:tcPr>
          <w:p>
            <w:r>
              <w:rPr>
                <w:b/>
                <w:bCs/>
                <w:color w:val="000000"/>
                <w:sz w:val="17"/>
                <w:szCs w:val="17"/>
              </w:rPr>
              <w:t xml:space="preserve">ESM content (by state)</w:t>
            </w:r>
          </w:p>
        </w:tc>
        <w:tc>
          <w:tcPr>
            <w:tcW w:type="dxa" w:w="3379"/>
            <w:tcMar>
              <w:top w:type="dxa" w:w="70"/>
              <w:left w:type="dxa" w:w="90"/>
              <w:bottom w:type="dxa" w:w="70"/>
              <w:right w:type="dxa" w:w="90"/>
            </w:tcMar>
            <w:vAlign w:val="top"/>
          </w:tcPr>
          <w:p>
            <w:r>
              <w:rPr>
                <w:b w:val="false"/>
                <w:bCs w:val="false"/>
                <w:color w:val="000000"/>
                <w:sz w:val="17"/>
                <w:szCs w:val="17"/>
              </w:rPr>
              <w:t xml:space="preserve">Relevant state implementation team</w:t>
            </w:r>
          </w:p>
        </w:tc>
        <w:tc>
          <w:tcPr>
            <w:tcW w:type="dxa" w:w="3379"/>
            <w:tcMar>
              <w:top w:type="dxa" w:w="70"/>
              <w:left w:type="dxa" w:w="90"/>
              <w:bottom w:type="dxa" w:w="70"/>
              <w:right w:type="dxa" w:w="90"/>
            </w:tcMar>
            <w:vAlign w:val="top"/>
          </w:tcPr>
          <w:p>
            <w:r>
              <w:rPr>
                <w:b w:val="false"/>
                <w:bCs w:val="false"/>
                <w:color w:val="000000"/>
                <w:sz w:val="17"/>
                <w:szCs w:val="17"/>
              </w:rPr>
              <w:t xml:space="preserve">State-level focal point</w:t>
            </w:r>
          </w:p>
        </w:tc>
      </w:tr>
      <w:tr>
        <w:tc>
          <w:tcPr>
            <w:tcW w:type="dxa" w:w="3482"/>
            <w:tcMar>
              <w:top w:type="dxa" w:w="70"/>
              <w:left w:type="dxa" w:w="90"/>
              <w:bottom w:type="dxa" w:w="70"/>
              <w:right w:type="dxa" w:w="90"/>
            </w:tcMar>
            <w:vAlign w:val="top"/>
          </w:tcPr>
          <w:p>
            <w:r>
              <w:rPr>
                <w:b/>
                <w:bCs/>
                <w:color w:val="000000"/>
                <w:sz w:val="17"/>
                <w:szCs w:val="17"/>
              </w:rPr>
              <w:t xml:space="preserve">CKR content</w:t>
            </w:r>
          </w:p>
        </w:tc>
        <w:tc>
          <w:tcPr>
            <w:tcW w:type="dxa" w:w="3379"/>
            <w:tcMar>
              <w:top w:type="dxa" w:w="70"/>
              <w:left w:type="dxa" w:w="90"/>
              <w:bottom w:type="dxa" w:w="70"/>
              <w:right w:type="dxa" w:w="90"/>
            </w:tcMar>
            <w:vAlign w:val="top"/>
          </w:tcPr>
          <w:p>
            <w:r>
              <w:rPr>
                <w:b w:val="false"/>
                <w:bCs w:val="false"/>
                <w:color w:val="000000"/>
                <w:sz w:val="17"/>
                <w:szCs w:val="17"/>
              </w:rPr>
              <w:t xml:space="preserve">KMC (editorial authority)</w:t>
            </w:r>
          </w:p>
        </w:tc>
        <w:tc>
          <w:tcPr>
            <w:tcW w:type="dxa" w:w="3379"/>
            <w:tcMar>
              <w:top w:type="dxa" w:w="70"/>
              <w:left w:type="dxa" w:w="90"/>
              <w:bottom w:type="dxa" w:w="70"/>
              <w:right w:type="dxa" w:w="90"/>
            </w:tcMar>
            <w:vAlign w:val="top"/>
          </w:tcPr>
          <w:p>
            <w:r>
              <w:rPr>
                <w:b w:val="false"/>
                <w:bCs w:val="false"/>
                <w:color w:val="000000"/>
                <w:sz w:val="17"/>
                <w:szCs w:val="17"/>
              </w:rPr>
              <w:t xml:space="preserve">State knowledge stewards (submission)</w:t>
            </w:r>
          </w:p>
        </w:tc>
      </w:tr>
      <w:tr>
        <w:tc>
          <w:tcPr>
            <w:tcW w:type="dxa" w:w="3482"/>
            <w:tcMar>
              <w:top w:type="dxa" w:w="70"/>
              <w:left w:type="dxa" w:w="90"/>
              <w:bottom w:type="dxa" w:w="70"/>
              <w:right w:type="dxa" w:w="90"/>
            </w:tcMar>
            <w:vAlign w:val="top"/>
          </w:tcPr>
          <w:p>
            <w:r>
              <w:rPr>
                <w:b/>
                <w:bCs/>
                <w:color w:val="000000"/>
                <w:sz w:val="17"/>
                <w:szCs w:val="17"/>
              </w:rPr>
              <w:t xml:space="preserve">Master data</w:t>
            </w:r>
          </w:p>
        </w:tc>
        <w:tc>
          <w:tcPr>
            <w:tcW w:type="dxa" w:w="3379"/>
            <w:tcMar>
              <w:top w:type="dxa" w:w="70"/>
              <w:left w:type="dxa" w:w="90"/>
              <w:bottom w:type="dxa" w:w="70"/>
              <w:right w:type="dxa" w:w="90"/>
            </w:tcMar>
            <w:vAlign w:val="top"/>
          </w:tcPr>
          <w:p>
            <w:r>
              <w:rPr>
                <w:b w:val="false"/>
                <w:bCs w:val="false"/>
                <w:color w:val="000000"/>
                <w:sz w:val="17"/>
                <w:szCs w:val="17"/>
              </w:rPr>
              <w:t xml:space="preserve">As listed in Section 5.10</w:t>
            </w:r>
          </w:p>
        </w:tc>
        <w:tc>
          <w:tcPr>
            <w:tcW w:type="dxa" w:w="3379"/>
            <w:tcMar>
              <w:top w:type="dxa" w:w="70"/>
              <w:left w:type="dxa" w:w="90"/>
              <w:bottom w:type="dxa" w:w="70"/>
              <w:right w:type="dxa" w:w="90"/>
            </w:tcMar>
            <w:vAlign w:val="top"/>
          </w:tcPr>
          <w:p>
            <w:r>
              <w:rPr>
                <w:b w:val="false"/>
                <w:bCs w:val="false"/>
                <w:color w:val="000000"/>
                <w:sz w:val="17"/>
                <w:szCs w:val="17"/>
              </w:rPr>
              <w:t xml:space="preserve">KM and ICT Units (system maintenance)</w:t>
            </w:r>
          </w:p>
        </w:tc>
      </w:tr>
      <w:tr>
        <w:tc>
          <w:tcPr>
            <w:tcW w:type="dxa" w:w="3482"/>
            <w:tcMar>
              <w:top w:type="dxa" w:w="70"/>
              <w:left w:type="dxa" w:w="90"/>
              <w:bottom w:type="dxa" w:w="70"/>
              <w:right w:type="dxa" w:w="90"/>
            </w:tcMar>
            <w:vAlign w:val="top"/>
          </w:tcPr>
          <w:p>
            <w:r>
              <w:rPr>
                <w:b/>
                <w:bCs/>
                <w:color w:val="000000"/>
                <w:sz w:val="17"/>
                <w:szCs w:val="17"/>
              </w:rPr>
              <w:t xml:space="preserve">Retention schedule</w:t>
            </w:r>
          </w:p>
        </w:tc>
        <w:tc>
          <w:tcPr>
            <w:tcW w:type="dxa" w:w="3379"/>
            <w:tcMar>
              <w:top w:type="dxa" w:w="70"/>
              <w:left w:type="dxa" w:w="90"/>
              <w:bottom w:type="dxa" w:w="70"/>
              <w:right w:type="dxa" w:w="90"/>
            </w:tcMar>
            <w:vAlign w:val="top"/>
          </w:tcPr>
          <w:p>
            <w:r>
              <w:rPr>
                <w:b w:val="false"/>
                <w:bCs w:val="false"/>
                <w:color w:val="000000"/>
                <w:sz w:val="17"/>
                <w:szCs w:val="17"/>
              </w:rPr>
              <w:t xml:space="preserve">KMC and Governance &amp; Compliance function</w:t>
            </w:r>
          </w:p>
        </w:tc>
        <w:tc>
          <w:tcPr>
            <w:tcW w:type="dxa" w:w="3379"/>
            <w:tcMar>
              <w:top w:type="dxa" w:w="70"/>
              <w:left w:type="dxa" w:w="90"/>
              <w:bottom w:type="dxa" w:w="70"/>
              <w:right w:type="dxa" w:w="90"/>
            </w:tcMar>
            <w:vAlign w:val="top"/>
          </w:tcPr>
          <w:p>
            <w:r>
              <w:rPr>
                <w:b w:val="false"/>
                <w:bCs w:val="false"/>
                <w:color w:val="000000"/>
                <w:sz w:val="17"/>
                <w:szCs w:val="17"/>
              </w:rPr>
              <w:t xml:space="preserve">KM and ICT Units (enforcement)</w:t>
            </w:r>
          </w:p>
        </w:tc>
      </w:tr>
    </w:tbl>
    <w:p>
      <w:pPr>
        <w:spacing w:after="160"/>
      </w:pPr>
    </w:p>
    <w:p>
      <w:pPr>
        <w:pStyle w:val="Heading1"/>
        <w:pBdr>
          <w:bottom w:val="single" w:color="1F3864" w:sz="6" w:space="4"/>
        </w:pBdr>
        <w:spacing w:after="130" w:before="320"/>
      </w:pPr>
      <w:r>
        <w:t xml:space="preserve">5.14 Data Governance</w:t>
      </w:r>
    </w:p>
    <w:p>
      <w:pPr>
        <w:spacing w:after="150" w:line="276"/>
        <w:jc w:val="both"/>
      </w:pPr>
      <w:r>
        <w:t xml:space="preserve">Information-specific data governance is the operational arm of the Data &amp; Content Governance Charter (Section 2.10) applied to the models defined in this section: the Charter's taxonomy authority clause is what makes Section 5.5 enforceable; its retention standard clause is what Section 5.19 below implements; and its federal/state decision-rights clause is what Section 5.13's ownership table operationalizes. Compliance is checked through the Governance &amp; Administration Console (Section 3.3, application #8), which runs the automated taxonomy-compliance checks referenced in Section 4.4 (Content Governance process) and produces the evidence the Audit module consumes.</w:t>
      </w:r>
    </w:p>
    <w:p>
      <w:pPr>
        <w:pStyle w:val="Heading1"/>
        <w:pBdr>
          <w:bottom w:val="single" w:color="1F3864" w:sz="6" w:space="4"/>
        </w:pBdr>
        <w:spacing w:after="130" w:before="320"/>
      </w:pPr>
      <w:r>
        <w:t xml:space="preserve">5.15 Knowledge Graph Strategy (Phase 2)</w:t>
      </w:r>
    </w:p>
    <w:p>
      <w:pPr>
        <w:spacing w:after="150" w:line="276"/>
        <w:jc w:val="both"/>
      </w:pPr>
      <w:r>
        <w:t xml:space="preserve">The Knowledge Graph is explicitly a Phase 2 roadmap item, consistent with Section 1.3 and the Solution Strategy, and is not part of the twelve-week Phase 1 baseline. Its strategy is stated here, ahead of build, specifically so that Phase 1 content capture (Section 5.12) produces graph-ready data rather than requiring costly retrofitting later. The graph's node types are drawn directly from the Enterprise Information Model (Section 5.1) — State/FCT, Component, Project, Document, Knowledge Item, User — and its edge types are drawn directly from the Ontology (Section 5.6). A representative use case: a user researching a particular state's agro-processing results would, once the graph is built, discover related reports, case studies, and contacts automatically, rather than issuing separate searches for each — the specific example the Solution Strategy itself uses to motivate this capability.</w:t>
      </w:r>
    </w:p>
    <w:p>
      <w:pPr>
        <w:pStyle w:val="Heading1"/>
        <w:pBdr>
          <w:bottom w:val="single" w:color="1F3864" w:sz="6" w:space="4"/>
        </w:pBdr>
        <w:spacing w:after="130" w:before="320"/>
      </w:pPr>
      <w:r>
        <w:t xml:space="preserve">5.16 Semantic Layer (Phase 2)</w:t>
      </w:r>
    </w:p>
    <w:p>
      <w:pPr>
        <w:spacing w:after="150" w:line="276"/>
        <w:jc w:val="both"/>
      </w:pPr>
      <w:r>
        <w:t xml:space="preserve">A semantic layer sits between the raw taxonomy/ontology structure and any natural-language interface — most directly, the AI-assisted search and summarisation capability proposed as Phase 2 in Section 9 (AI Strategy). It is scoped here, in the information architecture, rather than in the AI section, because its foundation is entirely non-AI: consistent taxonomy terms, validated classification, and the ontology's relationship types are the actual precondition for any semantic or natural-language capability to work reliably. No AI feature is proposed in this Blueprint that assumes a semantic layer the Phase 1 information architecture has not actually built the foundation for.</w:t>
      </w:r>
    </w:p>
    <w:p>
      <w:pPr>
        <w:pStyle w:val="Heading1"/>
        <w:pBdr>
          <w:bottom w:val="single" w:color="1F3864" w:sz="6" w:space="4"/>
        </w:pBdr>
        <w:spacing w:after="130" w:before="320"/>
      </w:pPr>
      <w:r>
        <w:t xml:space="preserve">5.17 Search Strategy</w:t>
      </w:r>
    </w:p>
    <w:p>
      <w:pPr>
        <w:spacing w:after="150" w:line="276"/>
        <w:jc w:val="both"/>
      </w:pPr>
      <w:r>
        <w:t xml:space="preserve">The Search Strategy set out in the Solution Strategy is restated here as an information-architecture precondition rather than a search-engine configuration choice: federated indexes, one per system, each honouring that system's own access rules, so that ESM's restricted content can never leak into CKR's public index. Relevance ranking is taxonomy-driven — results are filtered and ranked using the Section 5.5 taxonomy facets before any free-text relevance scoring is applied — which is why the Classification discipline in Section 5.7 is a precondition for Search (Section 4.3, module 12) working reliably, not a separate, optional quality improvement.</w:t>
      </w:r>
    </w:p>
    <w:p>
      <w:pPr>
        <w:pStyle w:val="Heading1"/>
        <w:pBdr>
          <w:bottom w:val="single" w:color="1F3864" w:sz="6" w:space="4"/>
        </w:pBdr>
        <w:spacing w:after="130" w:before="320"/>
      </w:pPr>
      <w:r>
        <w:t xml:space="preserve">5.18 Retention Policy</w:t>
      </w:r>
    </w:p>
    <w:p>
      <w:pPr>
        <w:spacing w:after="150" w:line="276"/>
        <w:jc w:val="both"/>
      </w:pPr>
      <w:r>
        <w:t xml:space="preserve">Every content type defined in Section 5.2 maps to exactly one retention class (Section 5.11), each with a defined period and disposition action.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3277"/>
        <w:gridCol w:w="2458"/>
        <w:gridCol w:w="2867"/>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Retention Class</w:t>
            </w:r>
          </w:p>
        </w:tc>
        <w:tc>
          <w:tcPr>
            <w:tcW w:type="dxa" w:w="3277"/>
            <w:shd w:fill="1F3864" w:val="clear"/>
            <w:tcMar>
              <w:top w:type="dxa" w:w="70"/>
              <w:left w:type="dxa" w:w="90"/>
              <w:bottom w:type="dxa" w:w="70"/>
              <w:right w:type="dxa" w:w="90"/>
            </w:tcMar>
            <w:vAlign w:val="top"/>
          </w:tcPr>
          <w:p>
            <w:r>
              <w:rPr>
                <w:b/>
                <w:bCs/>
                <w:color w:val="FFFFFF"/>
                <w:sz w:val="17"/>
                <w:szCs w:val="17"/>
              </w:rPr>
              <w:t xml:space="preserve">Applies To</w:t>
            </w:r>
          </w:p>
        </w:tc>
        <w:tc>
          <w:tcPr>
            <w:tcW w:type="dxa" w:w="2458"/>
            <w:shd w:fill="1F3864" w:val="clear"/>
            <w:tcMar>
              <w:top w:type="dxa" w:w="70"/>
              <w:left w:type="dxa" w:w="90"/>
              <w:bottom w:type="dxa" w:w="70"/>
              <w:right w:type="dxa" w:w="90"/>
            </w:tcMar>
            <w:vAlign w:val="top"/>
          </w:tcPr>
          <w:p>
            <w:r>
              <w:rPr>
                <w:b/>
                <w:bCs/>
                <w:color w:val="FFFFFF"/>
                <w:sz w:val="17"/>
                <w:szCs w:val="17"/>
              </w:rPr>
              <w:t xml:space="preserve">Retention Period</w:t>
            </w:r>
          </w:p>
        </w:tc>
        <w:tc>
          <w:tcPr>
            <w:tcW w:type="dxa" w:w="2867"/>
            <w:shd w:fill="1F3864" w:val="clear"/>
            <w:tcMar>
              <w:top w:type="dxa" w:w="70"/>
              <w:left w:type="dxa" w:w="90"/>
              <w:bottom w:type="dxa" w:w="70"/>
              <w:right w:type="dxa" w:w="90"/>
            </w:tcMar>
            <w:vAlign w:val="top"/>
          </w:tcPr>
          <w:p>
            <w:r>
              <w:rPr>
                <w:b/>
                <w:bCs/>
                <w:color w:val="FFFFFF"/>
                <w:sz w:val="17"/>
                <w:szCs w:val="17"/>
              </w:rPr>
              <w:t xml:space="preserve">Disposition Action</w:t>
            </w:r>
          </w:p>
        </w:tc>
      </w:tr>
      <w:tr>
        <w:tc>
          <w:tcPr>
            <w:tcW w:type="dxa" w:w="1638"/>
            <w:tcMar>
              <w:top w:type="dxa" w:w="70"/>
              <w:left w:type="dxa" w:w="90"/>
              <w:bottom w:type="dxa" w:w="70"/>
              <w:right w:type="dxa" w:w="90"/>
            </w:tcMar>
            <w:vAlign w:val="top"/>
          </w:tcPr>
          <w:p>
            <w:r>
              <w:rPr>
                <w:b/>
                <w:bCs/>
                <w:color w:val="000000"/>
                <w:sz w:val="17"/>
                <w:szCs w:val="17"/>
              </w:rPr>
              <w:t xml:space="preserve">Short-term</w:t>
            </w:r>
          </w:p>
        </w:tc>
        <w:tc>
          <w:tcPr>
            <w:tcW w:type="dxa" w:w="3277"/>
            <w:tcMar>
              <w:top w:type="dxa" w:w="70"/>
              <w:left w:type="dxa" w:w="90"/>
              <w:bottom w:type="dxa" w:w="70"/>
              <w:right w:type="dxa" w:w="90"/>
            </w:tcMar>
            <w:vAlign w:val="top"/>
          </w:tcPr>
          <w:p>
            <w:r>
              <w:rPr>
                <w:b w:val="false"/>
                <w:bCs w:val="false"/>
                <w:color w:val="000000"/>
                <w:sz w:val="17"/>
                <w:szCs w:val="17"/>
              </w:rPr>
              <w:t xml:space="preserve">Meeting minutes; routine internal memos.</w:t>
            </w:r>
          </w:p>
        </w:tc>
        <w:tc>
          <w:tcPr>
            <w:tcW w:type="dxa" w:w="2458"/>
            <w:tcMar>
              <w:top w:type="dxa" w:w="70"/>
              <w:left w:type="dxa" w:w="90"/>
              <w:bottom w:type="dxa" w:w="70"/>
              <w:right w:type="dxa" w:w="90"/>
            </w:tcMar>
            <w:vAlign w:val="top"/>
          </w:tcPr>
          <w:p>
            <w:r>
              <w:rPr>
                <w:b w:val="false"/>
                <w:bCs w:val="false"/>
                <w:color w:val="000000"/>
                <w:sz w:val="17"/>
                <w:szCs w:val="17"/>
              </w:rPr>
              <w:t xml:space="preserve">3 years from creation</w:t>
            </w:r>
          </w:p>
        </w:tc>
        <w:tc>
          <w:tcPr>
            <w:tcW w:type="dxa" w:w="2867"/>
            <w:tcMar>
              <w:top w:type="dxa" w:w="70"/>
              <w:left w:type="dxa" w:w="90"/>
              <w:bottom w:type="dxa" w:w="70"/>
              <w:right w:type="dxa" w:w="90"/>
            </w:tcMar>
            <w:vAlign w:val="top"/>
          </w:tcPr>
          <w:p>
            <w:r>
              <w:rPr>
                <w:b w:val="false"/>
                <w:bCs w:val="false"/>
                <w:color w:val="000000"/>
                <w:sz w:val="17"/>
                <w:szCs w:val="17"/>
              </w:rPr>
              <w:t xml:space="preserve">Archive, then review for disposal</w:t>
            </w:r>
          </w:p>
        </w:tc>
      </w:tr>
      <w:tr>
        <w:tc>
          <w:tcPr>
            <w:tcW w:type="dxa" w:w="1638"/>
            <w:tcMar>
              <w:top w:type="dxa" w:w="70"/>
              <w:left w:type="dxa" w:w="90"/>
              <w:bottom w:type="dxa" w:w="70"/>
              <w:right w:type="dxa" w:w="90"/>
            </w:tcMar>
            <w:vAlign w:val="top"/>
          </w:tcPr>
          <w:p>
            <w:r>
              <w:rPr>
                <w:b/>
                <w:bCs/>
                <w:color w:val="000000"/>
                <w:sz w:val="17"/>
                <w:szCs w:val="17"/>
              </w:rPr>
              <w:t xml:space="preserve">Standard</w:t>
            </w:r>
          </w:p>
        </w:tc>
        <w:tc>
          <w:tcPr>
            <w:tcW w:type="dxa" w:w="3277"/>
            <w:tcMar>
              <w:top w:type="dxa" w:w="70"/>
              <w:left w:type="dxa" w:w="90"/>
              <w:bottom w:type="dxa" w:w="70"/>
              <w:right w:type="dxa" w:w="90"/>
            </w:tcMar>
            <w:vAlign w:val="top"/>
          </w:tcPr>
          <w:p>
            <w:r>
              <w:rPr>
                <w:b w:val="false"/>
                <w:bCs w:val="false"/>
                <w:color w:val="000000"/>
                <w:sz w:val="17"/>
                <w:szCs w:val="17"/>
              </w:rPr>
              <w:t xml:space="preserve">Work plans; reports; procurement records.</w:t>
            </w:r>
          </w:p>
        </w:tc>
        <w:tc>
          <w:tcPr>
            <w:tcW w:type="dxa" w:w="2458"/>
            <w:tcMar>
              <w:top w:type="dxa" w:w="70"/>
              <w:left w:type="dxa" w:w="90"/>
              <w:bottom w:type="dxa" w:w="70"/>
              <w:right w:type="dxa" w:w="90"/>
            </w:tcMar>
            <w:vAlign w:val="top"/>
          </w:tcPr>
          <w:p>
            <w:r>
              <w:rPr>
                <w:b w:val="false"/>
                <w:bCs w:val="false"/>
                <w:color w:val="000000"/>
                <w:sz w:val="17"/>
                <w:szCs w:val="17"/>
              </w:rPr>
              <w:t xml:space="preserve">7 years from creation, aligned to standard donor audit windows</w:t>
            </w:r>
          </w:p>
        </w:tc>
        <w:tc>
          <w:tcPr>
            <w:tcW w:type="dxa" w:w="2867"/>
            <w:tcMar>
              <w:top w:type="dxa" w:w="70"/>
              <w:left w:type="dxa" w:w="90"/>
              <w:bottom w:type="dxa" w:w="70"/>
              <w:right w:type="dxa" w:w="90"/>
            </w:tcMar>
            <w:vAlign w:val="top"/>
          </w:tcPr>
          <w:p>
            <w:r>
              <w:rPr>
                <w:b w:val="false"/>
                <w:bCs w:val="false"/>
                <w:color w:val="000000"/>
                <w:sz w:val="17"/>
                <w:szCs w:val="17"/>
              </w:rPr>
              <w:t xml:space="preserve">Archive, then review for disposal</w:t>
            </w:r>
          </w:p>
        </w:tc>
      </w:tr>
      <w:tr>
        <w:tc>
          <w:tcPr>
            <w:tcW w:type="dxa" w:w="1638"/>
            <w:tcMar>
              <w:top w:type="dxa" w:w="70"/>
              <w:left w:type="dxa" w:w="90"/>
              <w:bottom w:type="dxa" w:w="70"/>
              <w:right w:type="dxa" w:w="90"/>
            </w:tcMar>
            <w:vAlign w:val="top"/>
          </w:tcPr>
          <w:p>
            <w:r>
              <w:rPr>
                <w:b/>
                <w:bCs/>
                <w:color w:val="000000"/>
                <w:sz w:val="17"/>
                <w:szCs w:val="17"/>
              </w:rPr>
              <w:t xml:space="preserve">Long-term</w:t>
            </w:r>
          </w:p>
        </w:tc>
        <w:tc>
          <w:tcPr>
            <w:tcW w:type="dxa" w:w="3277"/>
            <w:tcMar>
              <w:top w:type="dxa" w:w="70"/>
              <w:left w:type="dxa" w:w="90"/>
              <w:bottom w:type="dxa" w:w="70"/>
              <w:right w:type="dxa" w:w="90"/>
            </w:tcMar>
            <w:vAlign w:val="top"/>
          </w:tcPr>
          <w:p>
            <w:r>
              <w:rPr>
                <w:b w:val="false"/>
                <w:bCs w:val="false"/>
                <w:color w:val="000000"/>
                <w:sz w:val="17"/>
                <w:szCs w:val="17"/>
              </w:rPr>
              <w:t xml:space="preserve">Programme-level reports; governance charter and amendments; audit logs.</w:t>
            </w:r>
          </w:p>
        </w:tc>
        <w:tc>
          <w:tcPr>
            <w:tcW w:type="dxa" w:w="2458"/>
            <w:tcMar>
              <w:top w:type="dxa" w:w="70"/>
              <w:left w:type="dxa" w:w="90"/>
              <w:bottom w:type="dxa" w:w="70"/>
              <w:right w:type="dxa" w:w="90"/>
            </w:tcMar>
            <w:vAlign w:val="top"/>
          </w:tcPr>
          <w:p>
            <w:r>
              <w:rPr>
                <w:b w:val="false"/>
                <w:bCs w:val="false"/>
                <w:color w:val="000000"/>
                <w:sz w:val="17"/>
                <w:szCs w:val="17"/>
              </w:rPr>
              <w:t xml:space="preserve">10 years from programme component closure</w:t>
            </w:r>
          </w:p>
        </w:tc>
        <w:tc>
          <w:tcPr>
            <w:tcW w:type="dxa" w:w="2867"/>
            <w:tcMar>
              <w:top w:type="dxa" w:w="70"/>
              <w:left w:type="dxa" w:w="90"/>
              <w:bottom w:type="dxa" w:w="70"/>
              <w:right w:type="dxa" w:w="90"/>
            </w:tcMar>
            <w:vAlign w:val="top"/>
          </w:tcPr>
          <w:p>
            <w:r>
              <w:rPr>
                <w:b w:val="false"/>
                <w:bCs w:val="false"/>
                <w:color w:val="000000"/>
                <w:sz w:val="17"/>
                <w:szCs w:val="17"/>
              </w:rPr>
              <w:t xml:space="preserve">Archive; disposal requires Decision Register entry</w:t>
            </w:r>
          </w:p>
        </w:tc>
      </w:tr>
      <w:tr>
        <w:tc>
          <w:tcPr>
            <w:tcW w:type="dxa" w:w="1638"/>
            <w:tcMar>
              <w:top w:type="dxa" w:w="70"/>
              <w:left w:type="dxa" w:w="90"/>
              <w:bottom w:type="dxa" w:w="70"/>
              <w:right w:type="dxa" w:w="90"/>
            </w:tcMar>
            <w:vAlign w:val="top"/>
          </w:tcPr>
          <w:p>
            <w:r>
              <w:rPr>
                <w:b/>
                <w:bCs/>
                <w:color w:val="000000"/>
                <w:sz w:val="17"/>
                <w:szCs w:val="17"/>
              </w:rPr>
              <w:t xml:space="preserve">Permanent</w:t>
            </w:r>
          </w:p>
        </w:tc>
        <w:tc>
          <w:tcPr>
            <w:tcW w:type="dxa" w:w="3277"/>
            <w:tcMar>
              <w:top w:type="dxa" w:w="70"/>
              <w:left w:type="dxa" w:w="90"/>
              <w:bottom w:type="dxa" w:w="70"/>
              <w:right w:type="dxa" w:w="90"/>
            </w:tcMar>
            <w:vAlign w:val="top"/>
          </w:tcPr>
          <w:p>
            <w:r>
              <w:rPr>
                <w:b w:val="false"/>
                <w:bCs w:val="false"/>
                <w:color w:val="000000"/>
                <w:sz w:val="17"/>
                <w:szCs w:val="17"/>
              </w:rPr>
              <w:t xml:space="preserve">Published CKR knowledge items with continuing public value; the signed Governance Charter itself.</w:t>
            </w:r>
          </w:p>
        </w:tc>
        <w:tc>
          <w:tcPr>
            <w:tcW w:type="dxa" w:w="2458"/>
            <w:tcMar>
              <w:top w:type="dxa" w:w="70"/>
              <w:left w:type="dxa" w:w="90"/>
              <w:bottom w:type="dxa" w:w="70"/>
              <w:right w:type="dxa" w:w="90"/>
            </w:tcMar>
            <w:vAlign w:val="top"/>
          </w:tcPr>
          <w:p>
            <w:r>
              <w:rPr>
                <w:b w:val="false"/>
                <w:bCs w:val="false"/>
                <w:color w:val="000000"/>
                <w:sz w:val="17"/>
                <w:szCs w:val="17"/>
              </w:rPr>
              <w:t xml:space="preserve">Indefinite</w:t>
            </w:r>
          </w:p>
        </w:tc>
        <w:tc>
          <w:tcPr>
            <w:tcW w:type="dxa" w:w="2867"/>
            <w:tcMar>
              <w:top w:type="dxa" w:w="70"/>
              <w:left w:type="dxa" w:w="90"/>
              <w:bottom w:type="dxa" w:w="70"/>
              <w:right w:type="dxa" w:w="90"/>
            </w:tcMar>
            <w:vAlign w:val="top"/>
          </w:tcPr>
          <w:p>
            <w:r>
              <w:rPr>
                <w:b w:val="false"/>
                <w:bCs w:val="false"/>
                <w:color w:val="000000"/>
                <w:sz w:val="17"/>
                <w:szCs w:val="17"/>
              </w:rPr>
              <w:t xml:space="preserve">Not disposed; periodic relevance review only</w:t>
            </w:r>
          </w:p>
        </w:tc>
      </w:tr>
    </w:tbl>
    <w:p>
      <w:pPr>
        <w:spacing w:after="160"/>
      </w:pPr>
    </w:p>
    <w:p>
      <w:pPr>
        <w:pStyle w:val="Heading1"/>
        <w:pBdr>
          <w:bottom w:val="single" w:color="1F3864" w:sz="6" w:space="4"/>
        </w:pBdr>
        <w:spacing w:after="130" w:before="320"/>
      </w:pPr>
      <w:r>
        <w:t xml:space="preserve">5.19 Archival Strategy</w:t>
      </w:r>
    </w:p>
    <w:p>
      <w:pPr>
        <w:spacing w:after="150" w:line="276"/>
        <w:jc w:val="both"/>
      </w:pPr>
      <w:r>
        <w:t xml:space="preserve">Archived content (the Archived state in Section 5.9) remains fully retained and auditable but is deliberately excluded from default Search results, keeping day-to-day search results focused on current, actively relevant content — an explicit design choice, not an access restriction. Archived ESM content remains within its original access boundary; archived CKR content remains publicly accessible unless a specific disposition decision states otherwise. Disposal — permanent removal — is the one action in this entire information architecture that always requires a logged Decision Register entry (Section 4.4), naming the decision-maker and rationale, so that no content is ever silently deleted.</w:t>
      </w:r>
    </w:p>
    <w:p>
      <w:pPr>
        <w:pStyle w:val="Heading1"/>
        <w:pBdr>
          <w:bottom w:val="single" w:color="1F3864" w:sz="6" w:space="4"/>
        </w:pBdr>
        <w:spacing w:after="130" w:before="320"/>
      </w:pPr>
      <w:r>
        <w:t xml:space="preserve">5.20 Transition to Section 6</w:t>
      </w:r>
    </w:p>
    <w:p>
      <w:pPr>
        <w:spacing w:after="150" w:line="276"/>
        <w:jc w:val="both"/>
      </w:pPr>
      <w:r>
        <w:t xml:space="preserve">Section 6 (Data Architecture) takes the Enterprise Information Model, Content Model, and Master/Reference Data defined in this section and develops them into a logical and physical data model — entity-relationship detail, data domains, and the specific data stores and pipelines that implement everything specified here.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2026-07-18T07:37:21.335Z</dcterms:created>
  <dcterms:modified xsi:type="dcterms:W3CDTF">2026-07-18T07:37:21.335Z</dcterms:modified>
</cp:coreProperties>
</file>

<file path=docProps/custom.xml><?xml version="1.0" encoding="utf-8"?>
<Properties xmlns="http://schemas.openxmlformats.org/officeDocument/2006/custom-properties" xmlns:vt="http://schemas.openxmlformats.org/officeDocument/2006/docPropsVTypes"/>
</file>