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6 of 16 — Data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develops the Enterprise Information Model, Content Model, and Master/Reference Data fixed in Section 5 into a logical and physical data model. It stays consistent with the Technology Independence principle fixed in Section 1.7: data store types are described by class — relational, document-oriented, search index, object storage — not by named vendor product, since Section 10 (Technology Stack Evaluation) is where specific technology options are compared and selected.</w:t>
      </w:r>
    </w:p>
    <w:p>
      <w:pPr>
        <w:pStyle w:val="Heading1"/>
        <w:pBdr>
          <w:bottom w:val="single" w:color="1F3864" w:sz="6" w:space="4"/>
        </w:pBdr>
        <w:spacing w:after="130" w:before="320"/>
      </w:pPr>
      <w:r>
        <w:t xml:space="preserve">6.1 Logical Data Model</w:t>
      </w:r>
    </w:p>
    <w:p>
      <w:pPr>
        <w:spacing w:after="150" w:line="276"/>
        <w:jc w:val="both"/>
      </w:pPr>
      <w:r>
        <w:t xml:space="preserve">The fourteen entities identified in Section 5.1 are restated here with their key attributes, forming the logical data model. Attributes marked with an asterisk correspond to the mandatory metadata fields fixed in Section 5.4.</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7782"/>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Entity</w:t>
            </w:r>
          </w:p>
        </w:tc>
        <w:tc>
          <w:tcPr>
            <w:tcW w:type="dxa" w:w="7782"/>
            <w:shd w:fill="1F3864" w:val="clear"/>
            <w:tcMar>
              <w:top w:type="dxa" w:w="70"/>
              <w:left w:type="dxa" w:w="90"/>
              <w:bottom w:type="dxa" w:w="70"/>
              <w:right w:type="dxa" w:w="90"/>
            </w:tcMar>
            <w:vAlign w:val="top"/>
          </w:tcPr>
          <w:p>
            <w:r>
              <w:rPr>
                <w:b/>
                <w:bCs/>
                <w:color w:val="FFFFFF"/>
                <w:sz w:val="17"/>
                <w:szCs w:val="17"/>
              </w:rPr>
              <w:t xml:space="preserve">Key Attributes</w:t>
            </w:r>
          </w:p>
        </w:tc>
      </w:tr>
      <w:tr>
        <w:tc>
          <w:tcPr>
            <w:tcW w:type="dxa" w:w="2458"/>
            <w:tcMar>
              <w:top w:type="dxa" w:w="70"/>
              <w:left w:type="dxa" w:w="90"/>
              <w:bottom w:type="dxa" w:w="70"/>
              <w:right w:type="dxa" w:w="90"/>
            </w:tcMar>
            <w:vAlign w:val="top"/>
          </w:tcPr>
          <w:p>
            <w:r>
              <w:rPr>
                <w:b/>
                <w:bCs/>
                <w:color w:val="000000"/>
                <w:sz w:val="17"/>
                <w:szCs w:val="17"/>
              </w:rPr>
              <w:t xml:space="preserve">Programme</w:t>
            </w:r>
          </w:p>
        </w:tc>
        <w:tc>
          <w:tcPr>
            <w:tcW w:type="dxa" w:w="7782"/>
            <w:tcMar>
              <w:top w:type="dxa" w:w="70"/>
              <w:left w:type="dxa" w:w="90"/>
              <w:bottom w:type="dxa" w:w="70"/>
              <w:right w:type="dxa" w:w="90"/>
            </w:tcMar>
            <w:vAlign w:val="top"/>
          </w:tcPr>
          <w:p>
            <w:r>
              <w:rPr>
                <w:b w:val="false"/>
                <w:bCs w:val="false"/>
                <w:color w:val="000000"/>
                <w:sz w:val="17"/>
                <w:szCs w:val="17"/>
              </w:rPr>
              <w:t xml:space="preserve">Programme ID; Name; Start Date; Co-Financiers.</w:t>
            </w:r>
          </w:p>
        </w:tc>
      </w:tr>
      <w:tr>
        <w:tc>
          <w:tcPr>
            <w:tcW w:type="dxa" w:w="2458"/>
            <w:tcMar>
              <w:top w:type="dxa" w:w="70"/>
              <w:left w:type="dxa" w:w="90"/>
              <w:bottom w:type="dxa" w:w="70"/>
              <w:right w:type="dxa" w:w="90"/>
            </w:tcMar>
            <w:vAlign w:val="top"/>
          </w:tcPr>
          <w:p>
            <w:r>
              <w:rPr>
                <w:b/>
                <w:bCs/>
                <w:color w:val="000000"/>
                <w:sz w:val="17"/>
                <w:szCs w:val="17"/>
              </w:rPr>
              <w:t xml:space="preserve">Component</w:t>
            </w:r>
          </w:p>
        </w:tc>
        <w:tc>
          <w:tcPr>
            <w:tcW w:type="dxa" w:w="7782"/>
            <w:tcMar>
              <w:top w:type="dxa" w:w="70"/>
              <w:left w:type="dxa" w:w="90"/>
              <w:bottom w:type="dxa" w:w="70"/>
              <w:right w:type="dxa" w:w="90"/>
            </w:tcMar>
            <w:vAlign w:val="top"/>
          </w:tcPr>
          <w:p>
            <w:r>
              <w:rPr>
                <w:b w:val="false"/>
                <w:bCs w:val="false"/>
                <w:color w:val="000000"/>
                <w:sz w:val="17"/>
                <w:szCs w:val="17"/>
              </w:rPr>
              <w:t xml:space="preserve">Component ID; Name; Parent Programme ID; Status.</w:t>
            </w:r>
          </w:p>
        </w:tc>
      </w:tr>
      <w:tr>
        <w:tc>
          <w:tcPr>
            <w:tcW w:type="dxa" w:w="2458"/>
            <w:tcMar>
              <w:top w:type="dxa" w:w="70"/>
              <w:left w:type="dxa" w:w="90"/>
              <w:bottom w:type="dxa" w:w="70"/>
              <w:right w:type="dxa" w:w="90"/>
            </w:tcMar>
            <w:vAlign w:val="top"/>
          </w:tcPr>
          <w:p>
            <w:r>
              <w:rPr>
                <w:b/>
                <w:bCs/>
                <w:color w:val="000000"/>
                <w:sz w:val="17"/>
                <w:szCs w:val="17"/>
              </w:rPr>
              <w:t xml:space="preserve">Project</w:t>
            </w:r>
          </w:p>
        </w:tc>
        <w:tc>
          <w:tcPr>
            <w:tcW w:type="dxa" w:w="7782"/>
            <w:tcMar>
              <w:top w:type="dxa" w:w="70"/>
              <w:left w:type="dxa" w:w="90"/>
              <w:bottom w:type="dxa" w:w="70"/>
              <w:right w:type="dxa" w:w="90"/>
            </w:tcMar>
            <w:vAlign w:val="top"/>
          </w:tcPr>
          <w:p>
            <w:r>
              <w:rPr>
                <w:b w:val="false"/>
                <w:bCs w:val="false"/>
                <w:color w:val="000000"/>
                <w:sz w:val="17"/>
                <w:szCs w:val="17"/>
              </w:rPr>
              <w:t xml:space="preserve">Project ID; Name; Parent Component ID; State/FCT*; Status; Start/End Date.</w:t>
            </w:r>
          </w:p>
        </w:tc>
      </w:tr>
      <w:tr>
        <w:tc>
          <w:tcPr>
            <w:tcW w:type="dxa" w:w="2458"/>
            <w:tcMar>
              <w:top w:type="dxa" w:w="70"/>
              <w:left w:type="dxa" w:w="90"/>
              <w:bottom w:type="dxa" w:w="70"/>
              <w:right w:type="dxa" w:w="90"/>
            </w:tcMar>
            <w:vAlign w:val="top"/>
          </w:tcPr>
          <w:p>
            <w:r>
              <w:rPr>
                <w:b/>
                <w:bCs/>
                <w:color w:val="000000"/>
                <w:sz w:val="17"/>
                <w:szCs w:val="17"/>
              </w:rPr>
              <w:t xml:space="preserve">Task</w:t>
            </w:r>
          </w:p>
        </w:tc>
        <w:tc>
          <w:tcPr>
            <w:tcW w:type="dxa" w:w="7782"/>
            <w:tcMar>
              <w:top w:type="dxa" w:w="70"/>
              <w:left w:type="dxa" w:w="90"/>
              <w:bottom w:type="dxa" w:w="70"/>
              <w:right w:type="dxa" w:w="90"/>
            </w:tcMar>
            <w:vAlign w:val="top"/>
          </w:tcPr>
          <w:p>
            <w:r>
              <w:rPr>
                <w:b w:val="false"/>
                <w:bCs w:val="false"/>
                <w:color w:val="000000"/>
                <w:sz w:val="17"/>
                <w:szCs w:val="17"/>
              </w:rPr>
              <w:t xml:space="preserve">Task ID; Parent Project ID; Assignee; Due Date; Status.</w:t>
            </w:r>
          </w:p>
        </w:tc>
      </w:tr>
      <w:tr>
        <w:tc>
          <w:tcPr>
            <w:tcW w:type="dxa" w:w="2458"/>
            <w:tcMar>
              <w:top w:type="dxa" w:w="70"/>
              <w:left w:type="dxa" w:w="90"/>
              <w:bottom w:type="dxa" w:w="70"/>
              <w:right w:type="dxa" w:w="90"/>
            </w:tcMar>
            <w:vAlign w:val="top"/>
          </w:tcPr>
          <w:p>
            <w:r>
              <w:rPr>
                <w:b/>
                <w:bCs/>
                <w:color w:val="000000"/>
                <w:sz w:val="17"/>
                <w:szCs w:val="17"/>
              </w:rPr>
              <w:t xml:space="preserve">Document</w:t>
            </w:r>
          </w:p>
        </w:tc>
        <w:tc>
          <w:tcPr>
            <w:tcW w:type="dxa" w:w="7782"/>
            <w:tcMar>
              <w:top w:type="dxa" w:w="70"/>
              <w:left w:type="dxa" w:w="90"/>
              <w:bottom w:type="dxa" w:w="70"/>
              <w:right w:type="dxa" w:w="90"/>
            </w:tcMar>
            <w:vAlign w:val="top"/>
          </w:tcPr>
          <w:p>
            <w:r>
              <w:rPr>
                <w:b w:val="false"/>
                <w:bCs w:val="false"/>
                <w:color w:val="000000"/>
                <w:sz w:val="17"/>
                <w:szCs w:val="17"/>
              </w:rPr>
              <w:t xml:space="preserve">Document ID; Title*; Content Type*; Owner/Steward*; State/FCT*; Classification*; Version*; Retention Class*; Lifecycle Status.</w:t>
            </w:r>
          </w:p>
        </w:tc>
      </w:tr>
      <w:tr>
        <w:tc>
          <w:tcPr>
            <w:tcW w:type="dxa" w:w="2458"/>
            <w:tcMar>
              <w:top w:type="dxa" w:w="70"/>
              <w:left w:type="dxa" w:w="90"/>
              <w:bottom w:type="dxa" w:w="70"/>
              <w:right w:type="dxa" w:w="90"/>
            </w:tcMar>
            <w:vAlign w:val="top"/>
          </w:tcPr>
          <w:p>
            <w:r>
              <w:rPr>
                <w:b/>
                <w:bCs/>
                <w:color w:val="000000"/>
                <w:sz w:val="17"/>
                <w:szCs w:val="17"/>
              </w:rPr>
              <w:t xml:space="preserve">Workflow Instance</w:t>
            </w:r>
          </w:p>
        </w:tc>
        <w:tc>
          <w:tcPr>
            <w:tcW w:type="dxa" w:w="7782"/>
            <w:tcMar>
              <w:top w:type="dxa" w:w="70"/>
              <w:left w:type="dxa" w:w="90"/>
              <w:bottom w:type="dxa" w:w="70"/>
              <w:right w:type="dxa" w:w="90"/>
            </w:tcMar>
            <w:vAlign w:val="top"/>
          </w:tcPr>
          <w:p>
            <w:r>
              <w:rPr>
                <w:b w:val="false"/>
                <w:bCs w:val="false"/>
                <w:color w:val="000000"/>
                <w:sz w:val="17"/>
                <w:szCs w:val="17"/>
              </w:rPr>
              <w:t xml:space="preserve">Instance ID; Governed Document ID; Current Tier; Status; SLA Due Date; Audit Log Reference.</w:t>
            </w:r>
          </w:p>
        </w:tc>
      </w:tr>
      <w:tr>
        <w:tc>
          <w:tcPr>
            <w:tcW w:type="dxa" w:w="2458"/>
            <w:tcMar>
              <w:top w:type="dxa" w:w="70"/>
              <w:left w:type="dxa" w:w="90"/>
              <w:bottom w:type="dxa" w:w="70"/>
              <w:right w:type="dxa" w:w="90"/>
            </w:tcMar>
            <w:vAlign w:val="top"/>
          </w:tcPr>
          <w:p>
            <w:r>
              <w:rPr>
                <w:b/>
                <w:bCs/>
                <w:color w:val="000000"/>
                <w:sz w:val="17"/>
                <w:szCs w:val="17"/>
              </w:rPr>
              <w:t xml:space="preserve">Knowledge Item</w:t>
            </w:r>
          </w:p>
        </w:tc>
        <w:tc>
          <w:tcPr>
            <w:tcW w:type="dxa" w:w="7782"/>
            <w:tcMar>
              <w:top w:type="dxa" w:w="70"/>
              <w:left w:type="dxa" w:w="90"/>
              <w:bottom w:type="dxa" w:w="70"/>
              <w:right w:type="dxa" w:w="90"/>
            </w:tcMar>
            <w:vAlign w:val="top"/>
          </w:tcPr>
          <w:p>
            <w:r>
              <w:rPr>
                <w:b w:val="false"/>
                <w:bCs w:val="false"/>
                <w:color w:val="000000"/>
                <w:sz w:val="17"/>
                <w:szCs w:val="17"/>
              </w:rPr>
              <w:t xml:space="preserve">Item ID; Title*; Content Type*; Provenance (State/FCT, Author); Steward*; Classification*; Lifecycle Status; Usage Counters.</w:t>
            </w:r>
          </w:p>
        </w:tc>
      </w:tr>
      <w:tr>
        <w:tc>
          <w:tcPr>
            <w:tcW w:type="dxa" w:w="2458"/>
            <w:tcMar>
              <w:top w:type="dxa" w:w="70"/>
              <w:left w:type="dxa" w:w="90"/>
              <w:bottom w:type="dxa" w:w="70"/>
              <w:right w:type="dxa" w:w="90"/>
            </w:tcMar>
            <w:vAlign w:val="top"/>
          </w:tcPr>
          <w:p>
            <w:r>
              <w:rPr>
                <w:b/>
                <w:bCs/>
                <w:color w:val="000000"/>
                <w:sz w:val="17"/>
                <w:szCs w:val="17"/>
              </w:rPr>
              <w:t xml:space="preserve">Media Asset</w:t>
            </w:r>
          </w:p>
        </w:tc>
        <w:tc>
          <w:tcPr>
            <w:tcW w:type="dxa" w:w="7782"/>
            <w:tcMar>
              <w:top w:type="dxa" w:w="70"/>
              <w:left w:type="dxa" w:w="90"/>
              <w:bottom w:type="dxa" w:w="70"/>
              <w:right w:type="dxa" w:w="90"/>
            </w:tcMar>
            <w:vAlign w:val="top"/>
          </w:tcPr>
          <w:p>
            <w:r>
              <w:rPr>
                <w:b w:val="false"/>
                <w:bCs w:val="false"/>
                <w:color w:val="000000"/>
                <w:sz w:val="17"/>
                <w:szCs w:val="17"/>
              </w:rPr>
              <w:t xml:space="preserve">Asset ID; Parent Document or Knowledge Item ID; Format; Storage Reference; Classification*.</w:t>
            </w:r>
          </w:p>
        </w:tc>
      </w:tr>
      <w:tr>
        <w:tc>
          <w:tcPr>
            <w:tcW w:type="dxa" w:w="2458"/>
            <w:tcMar>
              <w:top w:type="dxa" w:w="70"/>
              <w:left w:type="dxa" w:w="90"/>
              <w:bottom w:type="dxa" w:w="70"/>
              <w:right w:type="dxa" w:w="90"/>
            </w:tcMar>
            <w:vAlign w:val="top"/>
          </w:tcPr>
          <w:p>
            <w:r>
              <w:rPr>
                <w:b/>
                <w:bCs/>
                <w:color w:val="000000"/>
                <w:sz w:val="17"/>
                <w:szCs w:val="17"/>
              </w:rPr>
              <w:t xml:space="preserve">Risk / Issue / Decision Record</w:t>
            </w:r>
          </w:p>
        </w:tc>
        <w:tc>
          <w:tcPr>
            <w:tcW w:type="dxa" w:w="7782"/>
            <w:tcMar>
              <w:top w:type="dxa" w:w="70"/>
              <w:left w:type="dxa" w:w="90"/>
              <w:bottom w:type="dxa" w:w="70"/>
              <w:right w:type="dxa" w:w="90"/>
            </w:tcMar>
            <w:vAlign w:val="top"/>
          </w:tcPr>
          <w:p>
            <w:r>
              <w:rPr>
                <w:b w:val="false"/>
                <w:bCs w:val="false"/>
                <w:color w:val="000000"/>
                <w:sz w:val="17"/>
                <w:szCs w:val="17"/>
              </w:rPr>
              <w:t xml:space="preserve">Record ID; Type; Owner; Status; Linked Component or Project ID; Resolution Date.</w:t>
            </w:r>
          </w:p>
        </w:tc>
      </w:tr>
      <w:tr>
        <w:tc>
          <w:tcPr>
            <w:tcW w:type="dxa" w:w="2458"/>
            <w:tcMar>
              <w:top w:type="dxa" w:w="70"/>
              <w:left w:type="dxa" w:w="90"/>
              <w:bottom w:type="dxa" w:w="70"/>
              <w:right w:type="dxa" w:w="90"/>
            </w:tcMar>
            <w:vAlign w:val="top"/>
          </w:tcPr>
          <w:p>
            <w:r>
              <w:rPr>
                <w:b/>
                <w:bCs/>
                <w:color w:val="000000"/>
                <w:sz w:val="17"/>
                <w:szCs w:val="17"/>
              </w:rPr>
              <w:t xml:space="preserve">State / FCT</w:t>
            </w:r>
          </w:p>
        </w:tc>
        <w:tc>
          <w:tcPr>
            <w:tcW w:type="dxa" w:w="7782"/>
            <w:tcMar>
              <w:top w:type="dxa" w:w="70"/>
              <w:left w:type="dxa" w:w="90"/>
              <w:bottom w:type="dxa" w:w="70"/>
              <w:right w:type="dxa" w:w="90"/>
            </w:tcMar>
            <w:vAlign w:val="top"/>
          </w:tcPr>
          <w:p>
            <w:r>
              <w:rPr>
                <w:b w:val="false"/>
                <w:bCs w:val="false"/>
                <w:color w:val="000000"/>
                <w:sz w:val="17"/>
                <w:szCs w:val="17"/>
              </w:rPr>
              <w:t xml:space="preserve">State Code; Name — master data, referenced, never duplicated.</w:t>
            </w:r>
          </w:p>
        </w:tc>
      </w:tr>
      <w:tr>
        <w:tc>
          <w:tcPr>
            <w:tcW w:type="dxa" w:w="2458"/>
            <w:tcMar>
              <w:top w:type="dxa" w:w="70"/>
              <w:left w:type="dxa" w:w="90"/>
              <w:bottom w:type="dxa" w:w="70"/>
              <w:right w:type="dxa" w:w="90"/>
            </w:tcMar>
            <w:vAlign w:val="top"/>
          </w:tcPr>
          <w:p>
            <w:r>
              <w:rPr>
                <w:b/>
                <w:bCs/>
                <w:color w:val="000000"/>
                <w:sz w:val="17"/>
                <w:szCs w:val="17"/>
              </w:rPr>
              <w:t xml:space="preserve">User</w:t>
            </w:r>
          </w:p>
        </w:tc>
        <w:tc>
          <w:tcPr>
            <w:tcW w:type="dxa" w:w="7782"/>
            <w:tcMar>
              <w:top w:type="dxa" w:w="70"/>
              <w:left w:type="dxa" w:w="90"/>
              <w:bottom w:type="dxa" w:w="70"/>
              <w:right w:type="dxa" w:w="90"/>
            </w:tcMar>
            <w:vAlign w:val="top"/>
          </w:tcPr>
          <w:p>
            <w:r>
              <w:rPr>
                <w:b w:val="false"/>
                <w:bCs w:val="false"/>
                <w:color w:val="000000"/>
                <w:sz w:val="17"/>
                <w:szCs w:val="17"/>
              </w:rPr>
              <w:t xml:space="preserve">User ID; Name; State/FCT Affiliation; Role ID(s); MFA Status.</w:t>
            </w:r>
          </w:p>
        </w:tc>
      </w:tr>
      <w:tr>
        <w:tc>
          <w:tcPr>
            <w:tcW w:type="dxa" w:w="2458"/>
            <w:tcMar>
              <w:top w:type="dxa" w:w="70"/>
              <w:left w:type="dxa" w:w="90"/>
              <w:bottom w:type="dxa" w:w="70"/>
              <w:right w:type="dxa" w:w="90"/>
            </w:tcMar>
            <w:vAlign w:val="top"/>
          </w:tcPr>
          <w:p>
            <w:r>
              <w:rPr>
                <w:b/>
                <w:bCs/>
                <w:color w:val="000000"/>
                <w:sz w:val="17"/>
                <w:szCs w:val="17"/>
              </w:rPr>
              <w:t xml:space="preserve">Role</w:t>
            </w:r>
          </w:p>
        </w:tc>
        <w:tc>
          <w:tcPr>
            <w:tcW w:type="dxa" w:w="7782"/>
            <w:tcMar>
              <w:top w:type="dxa" w:w="70"/>
              <w:left w:type="dxa" w:w="90"/>
              <w:bottom w:type="dxa" w:w="70"/>
              <w:right w:type="dxa" w:w="90"/>
            </w:tcMar>
            <w:vAlign w:val="top"/>
          </w:tcPr>
          <w:p>
            <w:r>
              <w:rPr>
                <w:b w:val="false"/>
                <w:bCs w:val="false"/>
                <w:color w:val="000000"/>
                <w:sz w:val="17"/>
                <w:szCs w:val="17"/>
              </w:rPr>
              <w:t xml:space="preserve">Role ID; Name; Permission Set.</w:t>
            </w:r>
          </w:p>
        </w:tc>
      </w:tr>
      <w:tr>
        <w:tc>
          <w:tcPr>
            <w:tcW w:type="dxa" w:w="2458"/>
            <w:tcMar>
              <w:top w:type="dxa" w:w="70"/>
              <w:left w:type="dxa" w:w="90"/>
              <w:bottom w:type="dxa" w:w="70"/>
              <w:right w:type="dxa" w:w="90"/>
            </w:tcMar>
            <w:vAlign w:val="top"/>
          </w:tcPr>
          <w:p>
            <w:r>
              <w:rPr>
                <w:b/>
                <w:bCs/>
                <w:color w:val="000000"/>
                <w:sz w:val="17"/>
                <w:szCs w:val="17"/>
              </w:rPr>
              <w:t xml:space="preserve">Donor / Co-Financier</w:t>
            </w:r>
          </w:p>
        </w:tc>
        <w:tc>
          <w:tcPr>
            <w:tcW w:type="dxa" w:w="7782"/>
            <w:tcMar>
              <w:top w:type="dxa" w:w="70"/>
              <w:left w:type="dxa" w:w="90"/>
              <w:bottom w:type="dxa" w:w="70"/>
              <w:right w:type="dxa" w:w="90"/>
            </w:tcMar>
            <w:vAlign w:val="top"/>
          </w:tcPr>
          <w:p>
            <w:r>
              <w:rPr>
                <w:b w:val="false"/>
                <w:bCs w:val="false"/>
                <w:color w:val="000000"/>
                <w:sz w:val="17"/>
                <w:szCs w:val="17"/>
              </w:rPr>
              <w:t xml:space="preserve">Donor ID; Name — master data, referenced by Programme and Reports.</w:t>
            </w:r>
          </w:p>
        </w:tc>
      </w:tr>
      <w:tr>
        <w:tc>
          <w:tcPr>
            <w:tcW w:type="dxa" w:w="2458"/>
            <w:tcMar>
              <w:top w:type="dxa" w:w="70"/>
              <w:left w:type="dxa" w:w="90"/>
              <w:bottom w:type="dxa" w:w="70"/>
              <w:right w:type="dxa" w:w="90"/>
            </w:tcMar>
            <w:vAlign w:val="top"/>
          </w:tcPr>
          <w:p>
            <w:r>
              <w:rPr>
                <w:b/>
                <w:bCs/>
                <w:color w:val="000000"/>
                <w:sz w:val="17"/>
                <w:szCs w:val="17"/>
              </w:rPr>
              <w:t xml:space="preserve">KPI</w:t>
            </w:r>
          </w:p>
        </w:tc>
        <w:tc>
          <w:tcPr>
            <w:tcW w:type="dxa" w:w="7782"/>
            <w:tcMar>
              <w:top w:type="dxa" w:w="70"/>
              <w:left w:type="dxa" w:w="90"/>
              <w:bottom w:type="dxa" w:w="70"/>
              <w:right w:type="dxa" w:w="90"/>
            </w:tcMar>
            <w:vAlign w:val="top"/>
          </w:tcPr>
          <w:p>
            <w:r>
              <w:rPr>
                <w:b w:val="false"/>
                <w:bCs w:val="false"/>
                <w:color w:val="000000"/>
                <w:sz w:val="17"/>
                <w:szCs w:val="17"/>
              </w:rPr>
              <w:t xml:space="preserve">KPI ID; Definition; Calculation Method; Target Value; Current Value.</w:t>
            </w:r>
          </w:p>
        </w:tc>
      </w:tr>
    </w:tbl>
    <w:p>
      <w:pPr>
        <w:spacing w:after="160"/>
      </w:pPr>
    </w:p>
    <w:p>
      <w:pPr>
        <w:pStyle w:val="Heading1"/>
        <w:pBdr>
          <w:bottom w:val="single" w:color="1F3864" w:sz="6" w:space="4"/>
        </w:pBdr>
        <w:spacing w:after="130" w:before="320"/>
      </w:pPr>
      <w:r>
        <w:t xml:space="preserve">6.2 Entity Relationship Model</w:t>
      </w:r>
    </w:p>
    <w:p>
      <w:pPr>
        <w:spacing w:after="150" w:line="276"/>
        <w:jc w:val="both"/>
      </w:pPr>
      <w:r>
        <w:t xml:space="preserve">The Ontology defined in Section 5.6 is restated here as entity-relationship cardinalities — the textual basis for the visual Entity-Relationship Diagram specified for production in Section 16 (Antigravity Handoff Package).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6758"/>
      </w:tblGrid>
      <w:tr>
        <w:trPr>
          <w:tblHeader/>
        </w:trPr>
        <w:tc>
          <w:tcPr>
            <w:tcW w:type="dxa" w:w="3482"/>
            <w:shd w:fill="1F3864" w:val="clear"/>
            <w:tcMar>
              <w:top w:type="dxa" w:w="70"/>
              <w:left w:type="dxa" w:w="90"/>
              <w:bottom w:type="dxa" w:w="70"/>
              <w:right w:type="dxa" w:w="90"/>
            </w:tcMar>
            <w:vAlign w:val="top"/>
          </w:tcPr>
          <w:p>
            <w:r>
              <w:rPr>
                <w:b/>
                <w:bCs/>
                <w:color w:val="FFFFFF"/>
                <w:sz w:val="17"/>
                <w:szCs w:val="17"/>
              </w:rPr>
              <w:t xml:space="preserve">Relationship</w:t>
            </w:r>
          </w:p>
        </w:tc>
        <w:tc>
          <w:tcPr>
            <w:tcW w:type="dxa" w:w="6758"/>
            <w:shd w:fill="1F3864" w:val="clear"/>
            <w:tcMar>
              <w:top w:type="dxa" w:w="70"/>
              <w:left w:type="dxa" w:w="90"/>
              <w:bottom w:type="dxa" w:w="70"/>
              <w:right w:type="dxa" w:w="90"/>
            </w:tcMar>
            <w:vAlign w:val="top"/>
          </w:tcPr>
          <w:p>
            <w:r>
              <w:rPr>
                <w:b/>
                <w:bCs/>
                <w:color w:val="FFFFFF"/>
                <w:sz w:val="17"/>
                <w:szCs w:val="17"/>
              </w:rPr>
              <w:t xml:space="preserve">Cardinality</w:t>
            </w:r>
          </w:p>
        </w:tc>
      </w:tr>
      <w:tr>
        <w:tc>
          <w:tcPr>
            <w:tcW w:type="dxa" w:w="3482"/>
            <w:tcMar>
              <w:top w:type="dxa" w:w="70"/>
              <w:left w:type="dxa" w:w="90"/>
              <w:bottom w:type="dxa" w:w="70"/>
              <w:right w:type="dxa" w:w="90"/>
            </w:tcMar>
            <w:vAlign w:val="top"/>
          </w:tcPr>
          <w:p>
            <w:r>
              <w:rPr>
                <w:b/>
                <w:bCs/>
                <w:color w:val="000000"/>
                <w:sz w:val="17"/>
                <w:szCs w:val="17"/>
              </w:rPr>
              <w:t xml:space="preserve">Programme to Component</w:t>
            </w:r>
          </w:p>
        </w:tc>
        <w:tc>
          <w:tcPr>
            <w:tcW w:type="dxa" w:w="6758"/>
            <w:tcMar>
              <w:top w:type="dxa" w:w="70"/>
              <w:left w:type="dxa" w:w="90"/>
              <w:bottom w:type="dxa" w:w="70"/>
              <w:right w:type="dxa" w:w="90"/>
            </w:tcMar>
            <w:vAlign w:val="top"/>
          </w:tcPr>
          <w:p>
            <w:r>
              <w:rPr>
                <w:b w:val="false"/>
                <w:bCs w:val="false"/>
                <w:color w:val="000000"/>
                <w:sz w:val="17"/>
                <w:szCs w:val="17"/>
              </w:rPr>
              <w:t xml:space="preserve">One Programme has many Components (1:N).</w:t>
            </w:r>
          </w:p>
        </w:tc>
      </w:tr>
      <w:tr>
        <w:tc>
          <w:tcPr>
            <w:tcW w:type="dxa" w:w="3482"/>
            <w:tcMar>
              <w:top w:type="dxa" w:w="70"/>
              <w:left w:type="dxa" w:w="90"/>
              <w:bottom w:type="dxa" w:w="70"/>
              <w:right w:type="dxa" w:w="90"/>
            </w:tcMar>
            <w:vAlign w:val="top"/>
          </w:tcPr>
          <w:p>
            <w:r>
              <w:rPr>
                <w:b/>
                <w:bCs/>
                <w:color w:val="000000"/>
                <w:sz w:val="17"/>
                <w:szCs w:val="17"/>
              </w:rPr>
              <w:t xml:space="preserve">Component to Project</w:t>
            </w:r>
          </w:p>
        </w:tc>
        <w:tc>
          <w:tcPr>
            <w:tcW w:type="dxa" w:w="6758"/>
            <w:tcMar>
              <w:top w:type="dxa" w:w="70"/>
              <w:left w:type="dxa" w:w="90"/>
              <w:bottom w:type="dxa" w:w="70"/>
              <w:right w:type="dxa" w:w="90"/>
            </w:tcMar>
            <w:vAlign w:val="top"/>
          </w:tcPr>
          <w:p>
            <w:r>
              <w:rPr>
                <w:b w:val="false"/>
                <w:bCs w:val="false"/>
                <w:color w:val="000000"/>
                <w:sz w:val="17"/>
                <w:szCs w:val="17"/>
              </w:rPr>
              <w:t xml:space="preserve">One Component has many Projects (1:N).</w:t>
            </w:r>
          </w:p>
        </w:tc>
      </w:tr>
      <w:tr>
        <w:tc>
          <w:tcPr>
            <w:tcW w:type="dxa" w:w="3482"/>
            <w:tcMar>
              <w:top w:type="dxa" w:w="70"/>
              <w:left w:type="dxa" w:w="90"/>
              <w:bottom w:type="dxa" w:w="70"/>
              <w:right w:type="dxa" w:w="90"/>
            </w:tcMar>
            <w:vAlign w:val="top"/>
          </w:tcPr>
          <w:p>
            <w:r>
              <w:rPr>
                <w:b/>
                <w:bCs/>
                <w:color w:val="000000"/>
                <w:sz w:val="17"/>
                <w:szCs w:val="17"/>
              </w:rPr>
              <w:t xml:space="preserve">Project to Task</w:t>
            </w:r>
          </w:p>
        </w:tc>
        <w:tc>
          <w:tcPr>
            <w:tcW w:type="dxa" w:w="6758"/>
            <w:tcMar>
              <w:top w:type="dxa" w:w="70"/>
              <w:left w:type="dxa" w:w="90"/>
              <w:bottom w:type="dxa" w:w="70"/>
              <w:right w:type="dxa" w:w="90"/>
            </w:tcMar>
            <w:vAlign w:val="top"/>
          </w:tcPr>
          <w:p>
            <w:r>
              <w:rPr>
                <w:b w:val="false"/>
                <w:bCs w:val="false"/>
                <w:color w:val="000000"/>
                <w:sz w:val="17"/>
                <w:szCs w:val="17"/>
              </w:rPr>
              <w:t xml:space="preserve">One Project has many Tasks (1:N).</w:t>
            </w:r>
          </w:p>
        </w:tc>
      </w:tr>
      <w:tr>
        <w:tc>
          <w:tcPr>
            <w:tcW w:type="dxa" w:w="3482"/>
            <w:tcMar>
              <w:top w:type="dxa" w:w="70"/>
              <w:left w:type="dxa" w:w="90"/>
              <w:bottom w:type="dxa" w:w="70"/>
              <w:right w:type="dxa" w:w="90"/>
            </w:tcMar>
            <w:vAlign w:val="top"/>
          </w:tcPr>
          <w:p>
            <w:r>
              <w:rPr>
                <w:b/>
                <w:bCs/>
                <w:color w:val="000000"/>
                <w:sz w:val="17"/>
                <w:szCs w:val="17"/>
              </w:rPr>
              <w:t xml:space="preserve">Project/Component to Document</w:t>
            </w:r>
          </w:p>
        </w:tc>
        <w:tc>
          <w:tcPr>
            <w:tcW w:type="dxa" w:w="6758"/>
            <w:tcMar>
              <w:top w:type="dxa" w:w="70"/>
              <w:left w:type="dxa" w:w="90"/>
              <w:bottom w:type="dxa" w:w="70"/>
              <w:right w:type="dxa" w:w="90"/>
            </w:tcMar>
            <w:vAlign w:val="top"/>
          </w:tcPr>
          <w:p>
            <w:r>
              <w:rPr>
                <w:b w:val="false"/>
                <w:bCs w:val="false"/>
                <w:color w:val="000000"/>
                <w:sz w:val="17"/>
                <w:szCs w:val="17"/>
              </w:rPr>
              <w:t xml:space="preserve">One Project or Component is referenced by many Documents (1:N); a Document references exactly one primary Project or Component.</w:t>
            </w:r>
          </w:p>
        </w:tc>
      </w:tr>
      <w:tr>
        <w:tc>
          <w:tcPr>
            <w:tcW w:type="dxa" w:w="3482"/>
            <w:tcMar>
              <w:top w:type="dxa" w:w="70"/>
              <w:left w:type="dxa" w:w="90"/>
              <w:bottom w:type="dxa" w:w="70"/>
              <w:right w:type="dxa" w:w="90"/>
            </w:tcMar>
            <w:vAlign w:val="top"/>
          </w:tcPr>
          <w:p>
            <w:r>
              <w:rPr>
                <w:b/>
                <w:bCs/>
                <w:color w:val="000000"/>
                <w:sz w:val="17"/>
                <w:szCs w:val="17"/>
              </w:rPr>
              <w:t xml:space="preserve">Document to Workflow Instance</w:t>
            </w:r>
          </w:p>
        </w:tc>
        <w:tc>
          <w:tcPr>
            <w:tcW w:type="dxa" w:w="6758"/>
            <w:tcMar>
              <w:top w:type="dxa" w:w="70"/>
              <w:left w:type="dxa" w:w="90"/>
              <w:bottom w:type="dxa" w:w="70"/>
              <w:right w:type="dxa" w:w="90"/>
            </w:tcMar>
            <w:vAlign w:val="top"/>
          </w:tcPr>
          <w:p>
            <w:r>
              <w:rPr>
                <w:b w:val="false"/>
                <w:bCs w:val="false"/>
                <w:color w:val="000000"/>
                <w:sz w:val="17"/>
                <w:szCs w:val="17"/>
              </w:rPr>
              <w:t xml:space="preserve">One Document has one active Workflow Instance at a time (1:1 active; 1:N historical).</w:t>
            </w:r>
          </w:p>
        </w:tc>
      </w:tr>
      <w:tr>
        <w:tc>
          <w:tcPr>
            <w:tcW w:type="dxa" w:w="3482"/>
            <w:tcMar>
              <w:top w:type="dxa" w:w="70"/>
              <w:left w:type="dxa" w:w="90"/>
              <w:bottom w:type="dxa" w:w="70"/>
              <w:right w:type="dxa" w:w="90"/>
            </w:tcMar>
            <w:vAlign w:val="top"/>
          </w:tcPr>
          <w:p>
            <w:r>
              <w:rPr>
                <w:b/>
                <w:bCs/>
                <w:color w:val="000000"/>
                <w:sz w:val="17"/>
                <w:szCs w:val="17"/>
              </w:rPr>
              <w:t xml:space="preserve">Document/Knowledge Item to Media Asset</w:t>
            </w:r>
          </w:p>
        </w:tc>
        <w:tc>
          <w:tcPr>
            <w:tcW w:type="dxa" w:w="6758"/>
            <w:tcMar>
              <w:top w:type="dxa" w:w="70"/>
              <w:left w:type="dxa" w:w="90"/>
              <w:bottom w:type="dxa" w:w="70"/>
              <w:right w:type="dxa" w:w="90"/>
            </w:tcMar>
            <w:vAlign w:val="top"/>
          </w:tcPr>
          <w:p>
            <w:r>
              <w:rPr>
                <w:b w:val="false"/>
                <w:bCs w:val="false"/>
                <w:color w:val="000000"/>
                <w:sz w:val="17"/>
                <w:szCs w:val="17"/>
              </w:rPr>
              <w:t xml:space="preserve">One Document or Knowledge Item may have many Media Assets (1:N).</w:t>
            </w:r>
          </w:p>
        </w:tc>
      </w:tr>
      <w:tr>
        <w:tc>
          <w:tcPr>
            <w:tcW w:type="dxa" w:w="3482"/>
            <w:tcMar>
              <w:top w:type="dxa" w:w="70"/>
              <w:left w:type="dxa" w:w="90"/>
              <w:bottom w:type="dxa" w:w="70"/>
              <w:right w:type="dxa" w:w="90"/>
            </w:tcMar>
            <w:vAlign w:val="top"/>
          </w:tcPr>
          <w:p>
            <w:r>
              <w:rPr>
                <w:b/>
                <w:bCs/>
                <w:color w:val="000000"/>
                <w:sz w:val="17"/>
                <w:szCs w:val="17"/>
              </w:rPr>
              <w:t xml:space="preserve">Knowledge Item to Knowledge Item</w:t>
            </w:r>
          </w:p>
        </w:tc>
        <w:tc>
          <w:tcPr>
            <w:tcW w:type="dxa" w:w="6758"/>
            <w:tcMar>
              <w:top w:type="dxa" w:w="70"/>
              <w:left w:type="dxa" w:w="90"/>
              <w:bottom w:type="dxa" w:w="70"/>
              <w:right w:type="dxa" w:w="90"/>
            </w:tcMar>
            <w:vAlign w:val="top"/>
          </w:tcPr>
          <w:p>
            <w:r>
              <w:rPr>
                <w:b w:val="false"/>
                <w:bCs w:val="false"/>
                <w:color w:val="000000"/>
                <w:sz w:val="17"/>
                <w:szCs w:val="17"/>
              </w:rPr>
              <w:t xml:space="preserve">Many-to-many self-referencing relationship, representing related-content links — the specific relationship the Phase 2 Knowledge Graph (Section 5.15) elevates into a queryable edge.</w:t>
            </w:r>
          </w:p>
        </w:tc>
      </w:tr>
      <w:tr>
        <w:tc>
          <w:tcPr>
            <w:tcW w:type="dxa" w:w="3482"/>
            <w:tcMar>
              <w:top w:type="dxa" w:w="70"/>
              <w:left w:type="dxa" w:w="90"/>
              <w:bottom w:type="dxa" w:w="70"/>
              <w:right w:type="dxa" w:w="90"/>
            </w:tcMar>
            <w:vAlign w:val="top"/>
          </w:tcPr>
          <w:p>
            <w:r>
              <w:rPr>
                <w:b/>
                <w:bCs/>
                <w:color w:val="000000"/>
                <w:sz w:val="17"/>
                <w:szCs w:val="17"/>
              </w:rPr>
              <w:t xml:space="preserve">State/FCT to Project/Document/Knowledge Item</w:t>
            </w:r>
          </w:p>
        </w:tc>
        <w:tc>
          <w:tcPr>
            <w:tcW w:type="dxa" w:w="6758"/>
            <w:tcMar>
              <w:top w:type="dxa" w:w="70"/>
              <w:left w:type="dxa" w:w="90"/>
              <w:bottom w:type="dxa" w:w="70"/>
              <w:right w:type="dxa" w:w="90"/>
            </w:tcMar>
            <w:vAlign w:val="top"/>
          </w:tcPr>
          <w:p>
            <w:r>
              <w:rPr>
                <w:b w:val="false"/>
                <w:bCs w:val="false"/>
                <w:color w:val="000000"/>
                <w:sz w:val="17"/>
                <w:szCs w:val="17"/>
              </w:rPr>
              <w:t xml:space="preserve">One State/FCT is referenced by many Projects, Documents, and Knowledge Items (1:N); each of those references exactly one primary State/FCT.</w:t>
            </w:r>
          </w:p>
        </w:tc>
      </w:tr>
      <w:tr>
        <w:tc>
          <w:tcPr>
            <w:tcW w:type="dxa" w:w="3482"/>
            <w:tcMar>
              <w:top w:type="dxa" w:w="70"/>
              <w:left w:type="dxa" w:w="90"/>
              <w:bottom w:type="dxa" w:w="70"/>
              <w:right w:type="dxa" w:w="90"/>
            </w:tcMar>
            <w:vAlign w:val="top"/>
          </w:tcPr>
          <w:p>
            <w:r>
              <w:rPr>
                <w:b/>
                <w:bCs/>
                <w:color w:val="000000"/>
                <w:sz w:val="17"/>
                <w:szCs w:val="17"/>
              </w:rPr>
              <w:t xml:space="preserve">User to Role</w:t>
            </w:r>
          </w:p>
        </w:tc>
        <w:tc>
          <w:tcPr>
            <w:tcW w:type="dxa" w:w="6758"/>
            <w:tcMar>
              <w:top w:type="dxa" w:w="70"/>
              <w:left w:type="dxa" w:w="90"/>
              <w:bottom w:type="dxa" w:w="70"/>
              <w:right w:type="dxa" w:w="90"/>
            </w:tcMar>
            <w:vAlign w:val="top"/>
          </w:tcPr>
          <w:p>
            <w:r>
              <w:rPr>
                <w:b w:val="false"/>
                <w:bCs w:val="false"/>
                <w:color w:val="000000"/>
                <w:sz w:val="17"/>
                <w:szCs w:val="17"/>
              </w:rPr>
              <w:t xml:space="preserve">Many-to-many — a User may hold multiple Roles, and a Role may be held by multiple Users.</w:t>
            </w:r>
          </w:p>
        </w:tc>
      </w:tr>
      <w:tr>
        <w:tc>
          <w:tcPr>
            <w:tcW w:type="dxa" w:w="3482"/>
            <w:tcMar>
              <w:top w:type="dxa" w:w="70"/>
              <w:left w:type="dxa" w:w="90"/>
              <w:bottom w:type="dxa" w:w="70"/>
              <w:right w:type="dxa" w:w="90"/>
            </w:tcMar>
            <w:vAlign w:val="top"/>
          </w:tcPr>
          <w:p>
            <w:r>
              <w:rPr>
                <w:b/>
                <w:bCs/>
                <w:color w:val="000000"/>
                <w:sz w:val="17"/>
                <w:szCs w:val="17"/>
              </w:rPr>
              <w:t xml:space="preserve">Component/Project to Risk/Issue/Decision Record</w:t>
            </w:r>
          </w:p>
        </w:tc>
        <w:tc>
          <w:tcPr>
            <w:tcW w:type="dxa" w:w="6758"/>
            <w:tcMar>
              <w:top w:type="dxa" w:w="70"/>
              <w:left w:type="dxa" w:w="90"/>
              <w:bottom w:type="dxa" w:w="70"/>
              <w:right w:type="dxa" w:w="90"/>
            </w:tcMar>
            <w:vAlign w:val="top"/>
          </w:tcPr>
          <w:p>
            <w:r>
              <w:rPr>
                <w:b w:val="false"/>
                <w:bCs w:val="false"/>
                <w:color w:val="000000"/>
                <w:sz w:val="17"/>
                <w:szCs w:val="17"/>
              </w:rPr>
              <w:t xml:space="preserve">One Component or Project has many governance-register records (1:N).</w:t>
            </w:r>
          </w:p>
        </w:tc>
      </w:tr>
      <w:tr>
        <w:tc>
          <w:tcPr>
            <w:tcW w:type="dxa" w:w="3482"/>
            <w:tcMar>
              <w:top w:type="dxa" w:w="70"/>
              <w:left w:type="dxa" w:w="90"/>
              <w:bottom w:type="dxa" w:w="70"/>
              <w:right w:type="dxa" w:w="90"/>
            </w:tcMar>
            <w:vAlign w:val="top"/>
          </w:tcPr>
          <w:p>
            <w:r>
              <w:rPr>
                <w:b/>
                <w:bCs/>
                <w:color w:val="000000"/>
                <w:sz w:val="17"/>
                <w:szCs w:val="17"/>
              </w:rPr>
              <w:t xml:space="preserve">Donor to Programme</w:t>
            </w:r>
          </w:p>
        </w:tc>
        <w:tc>
          <w:tcPr>
            <w:tcW w:type="dxa" w:w="6758"/>
            <w:tcMar>
              <w:top w:type="dxa" w:w="70"/>
              <w:left w:type="dxa" w:w="90"/>
              <w:bottom w:type="dxa" w:w="70"/>
              <w:right w:type="dxa" w:w="90"/>
            </w:tcMar>
            <w:vAlign w:val="top"/>
          </w:tcPr>
          <w:p>
            <w:r>
              <w:rPr>
                <w:b w:val="false"/>
                <w:bCs w:val="false"/>
                <w:color w:val="000000"/>
                <w:sz w:val="17"/>
                <w:szCs w:val="17"/>
              </w:rPr>
              <w:t xml:space="preserve">Many-to-many — a Programme may have multiple co-financing Donors, and (conceptually) a Donor may finance multiple programmes, though only one Programme is in scope here.</w:t>
            </w:r>
          </w:p>
        </w:tc>
      </w:tr>
    </w:tbl>
    <w:p>
      <w:pPr>
        <w:spacing w:after="160"/>
      </w:pPr>
    </w:p>
    <w:p>
      <w:pPr>
        <w:pStyle w:val="Heading1"/>
        <w:pBdr>
          <w:bottom w:val="single" w:color="1F3864" w:sz="6" w:space="4"/>
        </w:pBdr>
        <w:spacing w:after="130" w:before="320"/>
      </w:pPr>
      <w:r>
        <w:t xml:space="preserve">6.3 Data Domains</w:t>
      </w:r>
    </w:p>
    <w:p>
      <w:pPr>
        <w:spacing w:after="150" w:line="276"/>
        <w:jc w:val="both"/>
      </w:pPr>
      <w:r>
        <w:t xml:space="preserve">Entities from the Logical Data Model group into eight data domains, each with a clear system of record, consistent with the Organisation and Governance Models fixed in Section 2.</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3891"/>
        <w:gridCol w:w="3891"/>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Data Domain</w:t>
            </w:r>
          </w:p>
        </w:tc>
        <w:tc>
          <w:tcPr>
            <w:tcW w:type="dxa" w:w="3891"/>
            <w:shd w:fill="1F3864" w:val="clear"/>
            <w:tcMar>
              <w:top w:type="dxa" w:w="70"/>
              <w:left w:type="dxa" w:w="90"/>
              <w:bottom w:type="dxa" w:w="70"/>
              <w:right w:type="dxa" w:w="90"/>
            </w:tcMar>
            <w:vAlign w:val="top"/>
          </w:tcPr>
          <w:p>
            <w:r>
              <w:rPr>
                <w:b/>
                <w:bCs/>
                <w:color w:val="FFFFFF"/>
                <w:sz w:val="17"/>
                <w:szCs w:val="17"/>
              </w:rPr>
              <w:t xml:space="preserve">Entities</w:t>
            </w:r>
          </w:p>
        </w:tc>
        <w:tc>
          <w:tcPr>
            <w:tcW w:type="dxa" w:w="3891"/>
            <w:shd w:fill="1F3864" w:val="clear"/>
            <w:tcMar>
              <w:top w:type="dxa" w:w="70"/>
              <w:left w:type="dxa" w:w="90"/>
              <w:bottom w:type="dxa" w:w="70"/>
              <w:right w:type="dxa" w:w="90"/>
            </w:tcMar>
            <w:vAlign w:val="top"/>
          </w:tcPr>
          <w:p>
            <w:r>
              <w:rPr>
                <w:b/>
                <w:bCs/>
                <w:color w:val="FFFFFF"/>
                <w:sz w:val="17"/>
                <w:szCs w:val="17"/>
              </w:rPr>
              <w:t xml:space="preserve">System of Record</w:t>
            </w:r>
          </w:p>
        </w:tc>
      </w:tr>
      <w:tr>
        <w:tc>
          <w:tcPr>
            <w:tcW w:type="dxa" w:w="2458"/>
            <w:tcMar>
              <w:top w:type="dxa" w:w="70"/>
              <w:left w:type="dxa" w:w="90"/>
              <w:bottom w:type="dxa" w:w="70"/>
              <w:right w:type="dxa" w:w="90"/>
            </w:tcMar>
            <w:vAlign w:val="top"/>
          </w:tcPr>
          <w:p>
            <w:r>
              <w:rPr>
                <w:b/>
                <w:bCs/>
                <w:color w:val="000000"/>
                <w:sz w:val="17"/>
                <w:szCs w:val="17"/>
              </w:rPr>
              <w:t xml:space="preserve">Programme Data</w:t>
            </w:r>
          </w:p>
        </w:tc>
        <w:tc>
          <w:tcPr>
            <w:tcW w:type="dxa" w:w="3891"/>
            <w:tcMar>
              <w:top w:type="dxa" w:w="70"/>
              <w:left w:type="dxa" w:w="90"/>
              <w:bottom w:type="dxa" w:w="70"/>
              <w:right w:type="dxa" w:w="90"/>
            </w:tcMar>
            <w:vAlign w:val="top"/>
          </w:tcPr>
          <w:p>
            <w:r>
              <w:rPr>
                <w:b w:val="false"/>
                <w:bCs w:val="false"/>
                <w:color w:val="000000"/>
                <w:sz w:val="17"/>
                <w:szCs w:val="17"/>
              </w:rPr>
              <w:t xml:space="preserve">Programme, Component, Project, Task</w:t>
            </w:r>
          </w:p>
        </w:tc>
        <w:tc>
          <w:tcPr>
            <w:tcW w:type="dxa" w:w="3891"/>
            <w:tcMar>
              <w:top w:type="dxa" w:w="70"/>
              <w:left w:type="dxa" w:w="90"/>
              <w:bottom w:type="dxa" w:w="70"/>
              <w:right w:type="dxa" w:w="90"/>
            </w:tcMar>
            <w:vAlign w:val="top"/>
          </w:tcPr>
          <w:p>
            <w:r>
              <w:rPr>
                <w:b w:val="false"/>
                <w:bCs w:val="false"/>
                <w:color w:val="000000"/>
                <w:sz w:val="17"/>
                <w:szCs w:val="17"/>
              </w:rPr>
              <w:t xml:space="preserve">ESM Core Platform</w:t>
            </w:r>
          </w:p>
        </w:tc>
      </w:tr>
      <w:tr>
        <w:tc>
          <w:tcPr>
            <w:tcW w:type="dxa" w:w="2458"/>
            <w:tcMar>
              <w:top w:type="dxa" w:w="70"/>
              <w:left w:type="dxa" w:w="90"/>
              <w:bottom w:type="dxa" w:w="70"/>
              <w:right w:type="dxa" w:w="90"/>
            </w:tcMar>
            <w:vAlign w:val="top"/>
          </w:tcPr>
          <w:p>
            <w:r>
              <w:rPr>
                <w:b/>
                <w:bCs/>
                <w:color w:val="000000"/>
                <w:sz w:val="17"/>
                <w:szCs w:val="17"/>
              </w:rPr>
              <w:t xml:space="preserve">Content Data</w:t>
            </w:r>
          </w:p>
        </w:tc>
        <w:tc>
          <w:tcPr>
            <w:tcW w:type="dxa" w:w="3891"/>
            <w:tcMar>
              <w:top w:type="dxa" w:w="70"/>
              <w:left w:type="dxa" w:w="90"/>
              <w:bottom w:type="dxa" w:w="70"/>
              <w:right w:type="dxa" w:w="90"/>
            </w:tcMar>
            <w:vAlign w:val="top"/>
          </w:tcPr>
          <w:p>
            <w:r>
              <w:rPr>
                <w:b w:val="false"/>
                <w:bCs w:val="false"/>
                <w:color w:val="000000"/>
                <w:sz w:val="17"/>
                <w:szCs w:val="17"/>
              </w:rPr>
              <w:t xml:space="preserve">Document, Media Asset (ESM side)</w:t>
            </w:r>
          </w:p>
        </w:tc>
        <w:tc>
          <w:tcPr>
            <w:tcW w:type="dxa" w:w="3891"/>
            <w:tcMar>
              <w:top w:type="dxa" w:w="70"/>
              <w:left w:type="dxa" w:w="90"/>
              <w:bottom w:type="dxa" w:w="70"/>
              <w:right w:type="dxa" w:w="90"/>
            </w:tcMar>
            <w:vAlign w:val="top"/>
          </w:tcPr>
          <w:p>
            <w:r>
              <w:rPr>
                <w:b w:val="false"/>
                <w:bCs w:val="false"/>
                <w:color w:val="000000"/>
                <w:sz w:val="17"/>
                <w:szCs w:val="17"/>
              </w:rPr>
              <w:t xml:space="preserve">ESM Core Platform</w:t>
            </w:r>
          </w:p>
        </w:tc>
      </w:tr>
      <w:tr>
        <w:tc>
          <w:tcPr>
            <w:tcW w:type="dxa" w:w="2458"/>
            <w:tcMar>
              <w:top w:type="dxa" w:w="70"/>
              <w:left w:type="dxa" w:w="90"/>
              <w:bottom w:type="dxa" w:w="70"/>
              <w:right w:type="dxa" w:w="90"/>
            </w:tcMar>
            <w:vAlign w:val="top"/>
          </w:tcPr>
          <w:p>
            <w:r>
              <w:rPr>
                <w:b/>
                <w:bCs/>
                <w:color w:val="000000"/>
                <w:sz w:val="17"/>
                <w:szCs w:val="17"/>
              </w:rPr>
              <w:t xml:space="preserve">Workflow Data</w:t>
            </w:r>
          </w:p>
        </w:tc>
        <w:tc>
          <w:tcPr>
            <w:tcW w:type="dxa" w:w="3891"/>
            <w:tcMar>
              <w:top w:type="dxa" w:w="70"/>
              <w:left w:type="dxa" w:w="90"/>
              <w:bottom w:type="dxa" w:w="70"/>
              <w:right w:type="dxa" w:w="90"/>
            </w:tcMar>
            <w:vAlign w:val="top"/>
          </w:tcPr>
          <w:p>
            <w:r>
              <w:rPr>
                <w:b w:val="false"/>
                <w:bCs w:val="false"/>
                <w:color w:val="000000"/>
                <w:sz w:val="17"/>
                <w:szCs w:val="17"/>
              </w:rPr>
              <w:t xml:space="preserve">Workflow Instance</w:t>
            </w:r>
          </w:p>
        </w:tc>
        <w:tc>
          <w:tcPr>
            <w:tcW w:type="dxa" w:w="3891"/>
            <w:tcMar>
              <w:top w:type="dxa" w:w="70"/>
              <w:left w:type="dxa" w:w="90"/>
              <w:bottom w:type="dxa" w:w="70"/>
              <w:right w:type="dxa" w:w="90"/>
            </w:tcMar>
            <w:vAlign w:val="top"/>
          </w:tcPr>
          <w:p>
            <w:r>
              <w:rPr>
                <w:b w:val="false"/>
                <w:bCs w:val="false"/>
                <w:color w:val="000000"/>
                <w:sz w:val="17"/>
                <w:szCs w:val="17"/>
              </w:rPr>
              <w:t xml:space="preserve">ESM Core Platform</w:t>
            </w:r>
          </w:p>
        </w:tc>
      </w:tr>
      <w:tr>
        <w:tc>
          <w:tcPr>
            <w:tcW w:type="dxa" w:w="2458"/>
            <w:tcMar>
              <w:top w:type="dxa" w:w="70"/>
              <w:left w:type="dxa" w:w="90"/>
              <w:bottom w:type="dxa" w:w="70"/>
              <w:right w:type="dxa" w:w="90"/>
            </w:tcMar>
            <w:vAlign w:val="top"/>
          </w:tcPr>
          <w:p>
            <w:r>
              <w:rPr>
                <w:b/>
                <w:bCs/>
                <w:color w:val="000000"/>
                <w:sz w:val="17"/>
                <w:szCs w:val="17"/>
              </w:rPr>
              <w:t xml:space="preserve">Knowledge Data</w:t>
            </w:r>
          </w:p>
        </w:tc>
        <w:tc>
          <w:tcPr>
            <w:tcW w:type="dxa" w:w="3891"/>
            <w:tcMar>
              <w:top w:type="dxa" w:w="70"/>
              <w:left w:type="dxa" w:w="90"/>
              <w:bottom w:type="dxa" w:w="70"/>
              <w:right w:type="dxa" w:w="90"/>
            </w:tcMar>
            <w:vAlign w:val="top"/>
          </w:tcPr>
          <w:p>
            <w:r>
              <w:rPr>
                <w:b w:val="false"/>
                <w:bCs w:val="false"/>
                <w:color w:val="000000"/>
                <w:sz w:val="17"/>
                <w:szCs w:val="17"/>
              </w:rPr>
              <w:t xml:space="preserve">Knowledge Item, Media Asset (CKR side)</w:t>
            </w:r>
          </w:p>
        </w:tc>
        <w:tc>
          <w:tcPr>
            <w:tcW w:type="dxa" w:w="3891"/>
            <w:tcMar>
              <w:top w:type="dxa" w:w="70"/>
              <w:left w:type="dxa" w:w="90"/>
              <w:bottom w:type="dxa" w:w="70"/>
              <w:right w:type="dxa" w:w="90"/>
            </w:tcMar>
            <w:vAlign w:val="top"/>
          </w:tcPr>
          <w:p>
            <w:r>
              <w:rPr>
                <w:b w:val="false"/>
                <w:bCs w:val="false"/>
                <w:color w:val="000000"/>
                <w:sz w:val="17"/>
                <w:szCs w:val="17"/>
              </w:rPr>
              <w:t xml:space="preserve">CKR Core Platform</w:t>
            </w:r>
          </w:p>
        </w:tc>
      </w:tr>
      <w:tr>
        <w:tc>
          <w:tcPr>
            <w:tcW w:type="dxa" w:w="2458"/>
            <w:tcMar>
              <w:top w:type="dxa" w:w="70"/>
              <w:left w:type="dxa" w:w="90"/>
              <w:bottom w:type="dxa" w:w="70"/>
              <w:right w:type="dxa" w:w="90"/>
            </w:tcMar>
            <w:vAlign w:val="top"/>
          </w:tcPr>
          <w:p>
            <w:r>
              <w:rPr>
                <w:b/>
                <w:bCs/>
                <w:color w:val="000000"/>
                <w:sz w:val="17"/>
                <w:szCs w:val="17"/>
              </w:rPr>
              <w:t xml:space="preserve">Governance Data</w:t>
            </w:r>
          </w:p>
        </w:tc>
        <w:tc>
          <w:tcPr>
            <w:tcW w:type="dxa" w:w="3891"/>
            <w:tcMar>
              <w:top w:type="dxa" w:w="70"/>
              <w:left w:type="dxa" w:w="90"/>
              <w:bottom w:type="dxa" w:w="70"/>
              <w:right w:type="dxa" w:w="90"/>
            </w:tcMar>
            <w:vAlign w:val="top"/>
          </w:tcPr>
          <w:p>
            <w:r>
              <w:rPr>
                <w:b w:val="false"/>
                <w:bCs w:val="false"/>
                <w:color w:val="000000"/>
                <w:sz w:val="17"/>
                <w:szCs w:val="17"/>
              </w:rPr>
              <w:t xml:space="preserve">Risk Record, Issue Record, Decision Record</w:t>
            </w:r>
          </w:p>
        </w:tc>
        <w:tc>
          <w:tcPr>
            <w:tcW w:type="dxa" w:w="3891"/>
            <w:tcMar>
              <w:top w:type="dxa" w:w="70"/>
              <w:left w:type="dxa" w:w="90"/>
              <w:bottom w:type="dxa" w:w="70"/>
              <w:right w:type="dxa" w:w="90"/>
            </w:tcMar>
            <w:vAlign w:val="top"/>
          </w:tcPr>
          <w:p>
            <w:r>
              <w:rPr>
                <w:b w:val="false"/>
                <w:bCs w:val="false"/>
                <w:color w:val="000000"/>
                <w:sz w:val="17"/>
                <w:szCs w:val="17"/>
              </w:rPr>
              <w:t xml:space="preserve">ESM Core Platform (Governance &amp; Administration Console)</w:t>
            </w:r>
          </w:p>
        </w:tc>
      </w:tr>
      <w:tr>
        <w:tc>
          <w:tcPr>
            <w:tcW w:type="dxa" w:w="2458"/>
            <w:tcMar>
              <w:top w:type="dxa" w:w="70"/>
              <w:left w:type="dxa" w:w="90"/>
              <w:bottom w:type="dxa" w:w="70"/>
              <w:right w:type="dxa" w:w="90"/>
            </w:tcMar>
            <w:vAlign w:val="top"/>
          </w:tcPr>
          <w:p>
            <w:r>
              <w:rPr>
                <w:b/>
                <w:bCs/>
                <w:color w:val="000000"/>
                <w:sz w:val="17"/>
                <w:szCs w:val="17"/>
              </w:rPr>
              <w:t xml:space="preserve">Identity Data</w:t>
            </w:r>
          </w:p>
        </w:tc>
        <w:tc>
          <w:tcPr>
            <w:tcW w:type="dxa" w:w="3891"/>
            <w:tcMar>
              <w:top w:type="dxa" w:w="70"/>
              <w:left w:type="dxa" w:w="90"/>
              <w:bottom w:type="dxa" w:w="70"/>
              <w:right w:type="dxa" w:w="90"/>
            </w:tcMar>
            <w:vAlign w:val="top"/>
          </w:tcPr>
          <w:p>
            <w:r>
              <w:rPr>
                <w:b w:val="false"/>
                <w:bCs w:val="false"/>
                <w:color w:val="000000"/>
                <w:sz w:val="17"/>
                <w:szCs w:val="17"/>
              </w:rPr>
              <w:t xml:space="preserve">User, Role</w:t>
            </w:r>
          </w:p>
        </w:tc>
        <w:tc>
          <w:tcPr>
            <w:tcW w:type="dxa" w:w="3891"/>
            <w:tcMar>
              <w:top w:type="dxa" w:w="70"/>
              <w:left w:type="dxa" w:w="90"/>
              <w:bottom w:type="dxa" w:w="70"/>
              <w:right w:type="dxa" w:w="90"/>
            </w:tcMar>
            <w:vAlign w:val="top"/>
          </w:tcPr>
          <w:p>
            <w:r>
              <w:rPr>
                <w:b w:val="false"/>
                <w:bCs w:val="false"/>
                <w:color w:val="000000"/>
                <w:sz w:val="17"/>
                <w:szCs w:val="17"/>
              </w:rPr>
              <w:t xml:space="preserve">Identity &amp; Access Management Service</w:t>
            </w:r>
          </w:p>
        </w:tc>
      </w:tr>
      <w:tr>
        <w:tc>
          <w:tcPr>
            <w:tcW w:type="dxa" w:w="2458"/>
            <w:tcMar>
              <w:top w:type="dxa" w:w="70"/>
              <w:left w:type="dxa" w:w="90"/>
              <w:bottom w:type="dxa" w:w="70"/>
              <w:right w:type="dxa" w:w="90"/>
            </w:tcMar>
            <w:vAlign w:val="top"/>
          </w:tcPr>
          <w:p>
            <w:r>
              <w:rPr>
                <w:b/>
                <w:bCs/>
                <w:color w:val="000000"/>
                <w:sz w:val="17"/>
                <w:szCs w:val="17"/>
              </w:rPr>
              <w:t xml:space="preserve">Master / Reference Data</w:t>
            </w:r>
          </w:p>
        </w:tc>
        <w:tc>
          <w:tcPr>
            <w:tcW w:type="dxa" w:w="3891"/>
            <w:tcMar>
              <w:top w:type="dxa" w:w="70"/>
              <w:left w:type="dxa" w:w="90"/>
              <w:bottom w:type="dxa" w:w="70"/>
              <w:right w:type="dxa" w:w="90"/>
            </w:tcMar>
            <w:vAlign w:val="top"/>
          </w:tcPr>
          <w:p>
            <w:r>
              <w:rPr>
                <w:b w:val="false"/>
                <w:bCs w:val="false"/>
                <w:color w:val="000000"/>
                <w:sz w:val="17"/>
                <w:szCs w:val="17"/>
              </w:rPr>
              <w:t xml:space="preserve">State/FCT, Donor, Content Type codes, Retention classes</w:t>
            </w:r>
          </w:p>
        </w:tc>
        <w:tc>
          <w:tcPr>
            <w:tcW w:type="dxa" w:w="3891"/>
            <w:tcMar>
              <w:top w:type="dxa" w:w="70"/>
              <w:left w:type="dxa" w:w="90"/>
              <w:bottom w:type="dxa" w:w="70"/>
              <w:right w:type="dxa" w:w="90"/>
            </w:tcMar>
            <w:vAlign w:val="top"/>
          </w:tcPr>
          <w:p>
            <w:r>
              <w:rPr>
                <w:b w:val="false"/>
                <w:bCs w:val="false"/>
                <w:color w:val="000000"/>
                <w:sz w:val="17"/>
                <w:szCs w:val="17"/>
              </w:rPr>
              <w:t xml:space="preserve">Governance &amp; Administration Console (KMC-authored)</w:t>
            </w:r>
          </w:p>
        </w:tc>
      </w:tr>
      <w:tr>
        <w:tc>
          <w:tcPr>
            <w:tcW w:type="dxa" w:w="2458"/>
            <w:tcMar>
              <w:top w:type="dxa" w:w="70"/>
              <w:left w:type="dxa" w:w="90"/>
              <w:bottom w:type="dxa" w:w="70"/>
              <w:right w:type="dxa" w:w="90"/>
            </w:tcMar>
            <w:vAlign w:val="top"/>
          </w:tcPr>
          <w:p>
            <w:r>
              <w:rPr>
                <w:b/>
                <w:bCs/>
                <w:color w:val="000000"/>
                <w:sz w:val="17"/>
                <w:szCs w:val="17"/>
              </w:rPr>
              <w:t xml:space="preserve">Analytics / KPI Data</w:t>
            </w:r>
          </w:p>
        </w:tc>
        <w:tc>
          <w:tcPr>
            <w:tcW w:type="dxa" w:w="3891"/>
            <w:tcMar>
              <w:top w:type="dxa" w:w="70"/>
              <w:left w:type="dxa" w:w="90"/>
              <w:bottom w:type="dxa" w:w="70"/>
              <w:right w:type="dxa" w:w="90"/>
            </w:tcMar>
            <w:vAlign w:val="top"/>
          </w:tcPr>
          <w:p>
            <w:r>
              <w:rPr>
                <w:b w:val="false"/>
                <w:bCs w:val="false"/>
                <w:color w:val="000000"/>
                <w:sz w:val="17"/>
                <w:szCs w:val="17"/>
              </w:rPr>
              <w:t xml:space="preserve">KPI, aggregated reporting figures</w:t>
            </w:r>
          </w:p>
        </w:tc>
        <w:tc>
          <w:tcPr>
            <w:tcW w:type="dxa" w:w="3891"/>
            <w:tcMar>
              <w:top w:type="dxa" w:w="70"/>
              <w:left w:type="dxa" w:w="90"/>
              <w:bottom w:type="dxa" w:w="70"/>
              <w:right w:type="dxa" w:w="90"/>
            </w:tcMar>
            <w:vAlign w:val="top"/>
          </w:tcPr>
          <w:p>
            <w:r>
              <w:rPr>
                <w:b w:val="false"/>
                <w:bCs w:val="false"/>
                <w:color w:val="000000"/>
                <w:sz w:val="17"/>
                <w:szCs w:val="17"/>
              </w:rPr>
              <w:t xml:space="preserve">Reporting &amp; Business Intelligence Application</w:t>
            </w:r>
          </w:p>
        </w:tc>
      </w:tr>
    </w:tbl>
    <w:p>
      <w:pPr>
        <w:spacing w:after="160"/>
      </w:pPr>
    </w:p>
    <w:p>
      <w:pPr>
        <w:pStyle w:val="Heading1"/>
        <w:pBdr>
          <w:bottom w:val="single" w:color="1F3864" w:sz="6" w:space="4"/>
        </w:pBdr>
        <w:spacing w:after="130" w:before="320"/>
      </w:pPr>
      <w:r>
        <w:t xml:space="preserve">6.4 Physical Data Model</w:t>
      </w:r>
    </w:p>
    <w:p>
      <w:pPr>
        <w:spacing w:after="150" w:line="276"/>
        <w:jc w:val="both"/>
      </w:pPr>
      <w:r>
        <w:t xml:space="preserve">Five physical data store classes implement the eight data domains above. Each is described by class, per the Technology Independence principle; Section 10 selects and justifies specific technology options against this same structure.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4506"/>
        <w:gridCol w:w="3072"/>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Data Store Class</w:t>
            </w:r>
          </w:p>
        </w:tc>
        <w:tc>
          <w:tcPr>
            <w:tcW w:type="dxa" w:w="4506"/>
            <w:shd w:fill="1F3864" w:val="clear"/>
            <w:tcMar>
              <w:top w:type="dxa" w:w="70"/>
              <w:left w:type="dxa" w:w="90"/>
              <w:bottom w:type="dxa" w:w="70"/>
              <w:right w:type="dxa" w:w="90"/>
            </w:tcMar>
            <w:vAlign w:val="top"/>
          </w:tcPr>
          <w:p>
            <w:r>
              <w:rPr>
                <w:b/>
                <w:bCs/>
                <w:color w:val="FFFFFF"/>
                <w:sz w:val="17"/>
                <w:szCs w:val="17"/>
              </w:rPr>
              <w:t xml:space="preserve">Purpose</w:t>
            </w:r>
          </w:p>
        </w:tc>
        <w:tc>
          <w:tcPr>
            <w:tcW w:type="dxa" w:w="3072"/>
            <w:shd w:fill="1F3864" w:val="clear"/>
            <w:tcMar>
              <w:top w:type="dxa" w:w="70"/>
              <w:left w:type="dxa" w:w="90"/>
              <w:bottom w:type="dxa" w:w="70"/>
              <w:right w:type="dxa" w:w="90"/>
            </w:tcMar>
            <w:vAlign w:val="top"/>
          </w:tcPr>
          <w:p>
            <w:r>
              <w:rPr>
                <w:b/>
                <w:bCs/>
                <w:color w:val="FFFFFF"/>
                <w:sz w:val="17"/>
                <w:szCs w:val="17"/>
              </w:rPr>
              <w:t xml:space="preserve">Domains Served</w:t>
            </w:r>
          </w:p>
        </w:tc>
      </w:tr>
      <w:tr>
        <w:tc>
          <w:tcPr>
            <w:tcW w:type="dxa" w:w="2662"/>
            <w:tcMar>
              <w:top w:type="dxa" w:w="70"/>
              <w:left w:type="dxa" w:w="90"/>
              <w:bottom w:type="dxa" w:w="70"/>
              <w:right w:type="dxa" w:w="90"/>
            </w:tcMar>
            <w:vAlign w:val="top"/>
          </w:tcPr>
          <w:p>
            <w:r>
              <w:rPr>
                <w:b/>
                <w:bCs/>
                <w:color w:val="000000"/>
                <w:sz w:val="17"/>
                <w:szCs w:val="17"/>
              </w:rPr>
              <w:t xml:space="preserve">Operational (relational) database</w:t>
            </w:r>
          </w:p>
        </w:tc>
        <w:tc>
          <w:tcPr>
            <w:tcW w:type="dxa" w:w="4506"/>
            <w:tcMar>
              <w:top w:type="dxa" w:w="70"/>
              <w:left w:type="dxa" w:w="90"/>
              <w:bottom w:type="dxa" w:w="70"/>
              <w:right w:type="dxa" w:w="90"/>
            </w:tcMar>
            <w:vAlign w:val="top"/>
          </w:tcPr>
          <w:p>
            <w:r>
              <w:rPr>
                <w:b w:val="false"/>
                <w:bCs w:val="false"/>
                <w:color w:val="000000"/>
                <w:sz w:val="17"/>
                <w:szCs w:val="17"/>
              </w:rPr>
              <w:t xml:space="preserve">Structured, transactional data with strong consistency requirements — programme structure, workflow state, governance registers, identity.</w:t>
            </w:r>
          </w:p>
        </w:tc>
        <w:tc>
          <w:tcPr>
            <w:tcW w:type="dxa" w:w="3072"/>
            <w:tcMar>
              <w:top w:type="dxa" w:w="70"/>
              <w:left w:type="dxa" w:w="90"/>
              <w:bottom w:type="dxa" w:w="70"/>
              <w:right w:type="dxa" w:w="90"/>
            </w:tcMar>
            <w:vAlign w:val="top"/>
          </w:tcPr>
          <w:p>
            <w:r>
              <w:rPr>
                <w:b w:val="false"/>
                <w:bCs w:val="false"/>
                <w:color w:val="000000"/>
                <w:sz w:val="17"/>
                <w:szCs w:val="17"/>
              </w:rPr>
              <w:t xml:space="preserve">Programme, Workflow, Governance, Identity</w:t>
            </w:r>
          </w:p>
        </w:tc>
      </w:tr>
      <w:tr>
        <w:tc>
          <w:tcPr>
            <w:tcW w:type="dxa" w:w="2662"/>
            <w:tcMar>
              <w:top w:type="dxa" w:w="70"/>
              <w:left w:type="dxa" w:w="90"/>
              <w:bottom w:type="dxa" w:w="70"/>
              <w:right w:type="dxa" w:w="90"/>
            </w:tcMar>
            <w:vAlign w:val="top"/>
          </w:tcPr>
          <w:p>
            <w:r>
              <w:rPr>
                <w:b/>
                <w:bCs/>
                <w:color w:val="000000"/>
                <w:sz w:val="17"/>
                <w:szCs w:val="17"/>
              </w:rPr>
              <w:t xml:space="preserve">Document-oriented content store</w:t>
            </w:r>
          </w:p>
        </w:tc>
        <w:tc>
          <w:tcPr>
            <w:tcW w:type="dxa" w:w="4506"/>
            <w:tcMar>
              <w:top w:type="dxa" w:w="70"/>
              <w:left w:type="dxa" w:w="90"/>
              <w:bottom w:type="dxa" w:w="70"/>
              <w:right w:type="dxa" w:w="90"/>
            </w:tcMar>
            <w:vAlign w:val="top"/>
          </w:tcPr>
          <w:p>
            <w:r>
              <w:rPr>
                <w:b w:val="false"/>
                <w:bCs w:val="false"/>
                <w:color w:val="000000"/>
                <w:sz w:val="17"/>
                <w:szCs w:val="17"/>
              </w:rPr>
              <w:t xml:space="preserve">Flexible-schema storage for document and knowledge-item bodies and their variable metadata, underlying the configured ECM/CMS platforms (Section 3).</w:t>
            </w:r>
          </w:p>
        </w:tc>
        <w:tc>
          <w:tcPr>
            <w:tcW w:type="dxa" w:w="3072"/>
            <w:tcMar>
              <w:top w:type="dxa" w:w="70"/>
              <w:left w:type="dxa" w:w="90"/>
              <w:bottom w:type="dxa" w:w="70"/>
              <w:right w:type="dxa" w:w="90"/>
            </w:tcMar>
            <w:vAlign w:val="top"/>
          </w:tcPr>
          <w:p>
            <w:r>
              <w:rPr>
                <w:b w:val="false"/>
                <w:bCs w:val="false"/>
                <w:color w:val="000000"/>
                <w:sz w:val="17"/>
                <w:szCs w:val="17"/>
              </w:rPr>
              <w:t xml:space="preserve">Content, Knowledge</w:t>
            </w:r>
          </w:p>
        </w:tc>
      </w:tr>
      <w:tr>
        <w:tc>
          <w:tcPr>
            <w:tcW w:type="dxa" w:w="2662"/>
            <w:tcMar>
              <w:top w:type="dxa" w:w="70"/>
              <w:left w:type="dxa" w:w="90"/>
              <w:bottom w:type="dxa" w:w="70"/>
              <w:right w:type="dxa" w:w="90"/>
            </w:tcMar>
            <w:vAlign w:val="top"/>
          </w:tcPr>
          <w:p>
            <w:r>
              <w:rPr>
                <w:b/>
                <w:bCs/>
                <w:color w:val="000000"/>
                <w:sz w:val="17"/>
                <w:szCs w:val="17"/>
              </w:rPr>
              <w:t xml:space="preserve">Search index</w:t>
            </w:r>
          </w:p>
        </w:tc>
        <w:tc>
          <w:tcPr>
            <w:tcW w:type="dxa" w:w="4506"/>
            <w:tcMar>
              <w:top w:type="dxa" w:w="70"/>
              <w:left w:type="dxa" w:w="90"/>
              <w:bottom w:type="dxa" w:w="70"/>
              <w:right w:type="dxa" w:w="90"/>
            </w:tcMar>
            <w:vAlign w:val="top"/>
          </w:tcPr>
          <w:p>
            <w:r>
              <w:rPr>
                <w:b w:val="false"/>
                <w:bCs w:val="false"/>
                <w:color w:val="000000"/>
                <w:sz w:val="17"/>
                <w:szCs w:val="17"/>
              </w:rPr>
              <w:t xml:space="preserve">Federated, access-aware indexes over Content and Knowledge Data, per the Search Strategy (Section 5.17).</w:t>
            </w:r>
          </w:p>
        </w:tc>
        <w:tc>
          <w:tcPr>
            <w:tcW w:type="dxa" w:w="3072"/>
            <w:tcMar>
              <w:top w:type="dxa" w:w="70"/>
              <w:left w:type="dxa" w:w="90"/>
              <w:bottom w:type="dxa" w:w="70"/>
              <w:right w:type="dxa" w:w="90"/>
            </w:tcMar>
            <w:vAlign w:val="top"/>
          </w:tcPr>
          <w:p>
            <w:r>
              <w:rPr>
                <w:b w:val="false"/>
                <w:bCs w:val="false"/>
                <w:color w:val="000000"/>
                <w:sz w:val="17"/>
                <w:szCs w:val="17"/>
              </w:rPr>
              <w:t xml:space="preserve">Content, Knowledge (read-optimized copy)</w:t>
            </w:r>
          </w:p>
        </w:tc>
      </w:tr>
      <w:tr>
        <w:tc>
          <w:tcPr>
            <w:tcW w:type="dxa" w:w="2662"/>
            <w:tcMar>
              <w:top w:type="dxa" w:w="70"/>
              <w:left w:type="dxa" w:w="90"/>
              <w:bottom w:type="dxa" w:w="70"/>
              <w:right w:type="dxa" w:w="90"/>
            </w:tcMar>
            <w:vAlign w:val="top"/>
          </w:tcPr>
          <w:p>
            <w:r>
              <w:rPr>
                <w:b/>
                <w:bCs/>
                <w:color w:val="000000"/>
                <w:sz w:val="17"/>
                <w:szCs w:val="17"/>
              </w:rPr>
              <w:t xml:space="preserve">Object storage</w:t>
            </w:r>
          </w:p>
        </w:tc>
        <w:tc>
          <w:tcPr>
            <w:tcW w:type="dxa" w:w="4506"/>
            <w:tcMar>
              <w:top w:type="dxa" w:w="70"/>
              <w:left w:type="dxa" w:w="90"/>
              <w:bottom w:type="dxa" w:w="70"/>
              <w:right w:type="dxa" w:w="90"/>
            </w:tcMar>
            <w:vAlign w:val="top"/>
          </w:tcPr>
          <w:p>
            <w:r>
              <w:rPr>
                <w:b w:val="false"/>
                <w:bCs w:val="false"/>
                <w:color w:val="000000"/>
                <w:sz w:val="17"/>
                <w:szCs w:val="17"/>
              </w:rPr>
              <w:t xml:space="preserve">Binary storage for Media Assets — images, video, audio, datasets.</w:t>
            </w:r>
          </w:p>
        </w:tc>
        <w:tc>
          <w:tcPr>
            <w:tcW w:type="dxa" w:w="3072"/>
            <w:tcMar>
              <w:top w:type="dxa" w:w="70"/>
              <w:left w:type="dxa" w:w="90"/>
              <w:bottom w:type="dxa" w:w="70"/>
              <w:right w:type="dxa" w:w="90"/>
            </w:tcMar>
            <w:vAlign w:val="top"/>
          </w:tcPr>
          <w:p>
            <w:r>
              <w:rPr>
                <w:b w:val="false"/>
                <w:bCs w:val="false"/>
                <w:color w:val="000000"/>
                <w:sz w:val="17"/>
                <w:szCs w:val="17"/>
              </w:rPr>
              <w:t xml:space="preserve">Content, Knowledge (media)</w:t>
            </w:r>
          </w:p>
        </w:tc>
      </w:tr>
      <w:tr>
        <w:tc>
          <w:tcPr>
            <w:tcW w:type="dxa" w:w="2662"/>
            <w:tcMar>
              <w:top w:type="dxa" w:w="70"/>
              <w:left w:type="dxa" w:w="90"/>
              <w:bottom w:type="dxa" w:w="70"/>
              <w:right w:type="dxa" w:w="90"/>
            </w:tcMar>
            <w:vAlign w:val="top"/>
          </w:tcPr>
          <w:p>
            <w:r>
              <w:rPr>
                <w:b/>
                <w:bCs/>
                <w:color w:val="000000"/>
                <w:sz w:val="17"/>
                <w:szCs w:val="17"/>
              </w:rPr>
              <w:t xml:space="preserve">Analytics / reporting store</w:t>
            </w:r>
          </w:p>
        </w:tc>
        <w:tc>
          <w:tcPr>
            <w:tcW w:type="dxa" w:w="4506"/>
            <w:tcMar>
              <w:top w:type="dxa" w:w="70"/>
              <w:left w:type="dxa" w:w="90"/>
              <w:bottom w:type="dxa" w:w="70"/>
              <w:right w:type="dxa" w:w="90"/>
            </w:tcMar>
            <w:vAlign w:val="top"/>
          </w:tcPr>
          <w:p>
            <w:r>
              <w:rPr>
                <w:b w:val="false"/>
                <w:bCs w:val="false"/>
                <w:color w:val="000000"/>
                <w:sz w:val="17"/>
                <w:szCs w:val="17"/>
              </w:rPr>
              <w:t xml:space="preserve">Aggregated, query-optimized store separated from operational stores to avoid performance contention, feeding Reports, Analytics, and Business Intelligence.</w:t>
            </w:r>
          </w:p>
        </w:tc>
        <w:tc>
          <w:tcPr>
            <w:tcW w:type="dxa" w:w="3072"/>
            <w:tcMar>
              <w:top w:type="dxa" w:w="70"/>
              <w:left w:type="dxa" w:w="90"/>
              <w:bottom w:type="dxa" w:w="70"/>
              <w:right w:type="dxa" w:w="90"/>
            </w:tcMar>
            <w:vAlign w:val="top"/>
          </w:tcPr>
          <w:p>
            <w:r>
              <w:rPr>
                <w:b w:val="false"/>
                <w:bCs w:val="false"/>
                <w:color w:val="000000"/>
                <w:sz w:val="17"/>
                <w:szCs w:val="17"/>
              </w:rPr>
              <w:t xml:space="preserve">Analytics/KPI</w:t>
            </w:r>
          </w:p>
        </w:tc>
      </w:tr>
    </w:tbl>
    <w:p>
      <w:pPr>
        <w:spacing w:after="160"/>
      </w:pPr>
    </w:p>
    <w:p>
      <w:pPr>
        <w:pStyle w:val="Heading1"/>
        <w:pBdr>
          <w:bottom w:val="single" w:color="1F3864" w:sz="6" w:space="4"/>
        </w:pBdr>
        <w:spacing w:after="130" w:before="320"/>
      </w:pPr>
      <w:r>
        <w:t xml:space="preserve">6.5 Data Pipelines</w:t>
      </w:r>
    </w:p>
    <w:p>
      <w:pPr>
        <w:spacing w:after="150" w:line="276"/>
        <w:jc w:val="both"/>
      </w:pPr>
      <w:r>
        <w:t xml:space="preserve">Four pipelines move data between the stores above, each with a distinct latency requirement.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1638"/>
        <w:gridCol w:w="6349"/>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Pipeline</w:t>
            </w:r>
          </w:p>
        </w:tc>
        <w:tc>
          <w:tcPr>
            <w:tcW w:type="dxa" w:w="1638"/>
            <w:shd w:fill="1F3864" w:val="clear"/>
            <w:tcMar>
              <w:top w:type="dxa" w:w="70"/>
              <w:left w:type="dxa" w:w="90"/>
              <w:bottom w:type="dxa" w:w="70"/>
              <w:right w:type="dxa" w:w="90"/>
            </w:tcMar>
            <w:vAlign w:val="top"/>
          </w:tcPr>
          <w:p>
            <w:r>
              <w:rPr>
                <w:b/>
                <w:bCs/>
                <w:color w:val="FFFFFF"/>
                <w:sz w:val="17"/>
                <w:szCs w:val="17"/>
              </w:rPr>
              <w:t xml:space="preserve">Latency</w:t>
            </w:r>
          </w:p>
        </w:tc>
        <w:tc>
          <w:tcPr>
            <w:tcW w:type="dxa" w:w="6349"/>
            <w:shd w:fill="1F3864" w:val="clear"/>
            <w:tcMar>
              <w:top w:type="dxa" w:w="70"/>
              <w:left w:type="dxa" w:w="90"/>
              <w:bottom w:type="dxa" w:w="70"/>
              <w:right w:type="dxa" w:w="90"/>
            </w:tcMar>
            <w:vAlign w:val="top"/>
          </w:tcPr>
          <w:p>
            <w:r>
              <w:rPr>
                <w:b/>
                <w:bCs/>
                <w:color w:val="FFFFFF"/>
                <w:sz w:val="17"/>
                <w:szCs w:val="17"/>
              </w:rPr>
              <w:t xml:space="preserve">Description</w:t>
            </w:r>
          </w:p>
        </w:tc>
      </w:tr>
      <w:tr>
        <w:tc>
          <w:tcPr>
            <w:tcW w:type="dxa" w:w="2253"/>
            <w:tcMar>
              <w:top w:type="dxa" w:w="70"/>
              <w:left w:type="dxa" w:w="90"/>
              <w:bottom w:type="dxa" w:w="70"/>
              <w:right w:type="dxa" w:w="90"/>
            </w:tcMar>
            <w:vAlign w:val="top"/>
          </w:tcPr>
          <w:p>
            <w:r>
              <w:rPr>
                <w:b/>
                <w:bCs/>
                <w:color w:val="000000"/>
                <w:sz w:val="17"/>
                <w:szCs w:val="17"/>
              </w:rPr>
              <w:t xml:space="preserve">Capture-to-Store</w:t>
            </w:r>
          </w:p>
        </w:tc>
        <w:tc>
          <w:tcPr>
            <w:tcW w:type="dxa" w:w="1638"/>
            <w:tcMar>
              <w:top w:type="dxa" w:w="70"/>
              <w:left w:type="dxa" w:w="90"/>
              <w:bottom w:type="dxa" w:w="70"/>
              <w:right w:type="dxa" w:w="90"/>
            </w:tcMar>
            <w:vAlign w:val="top"/>
          </w:tcPr>
          <w:p>
            <w:r>
              <w:rPr>
                <w:b w:val="false"/>
                <w:bCs w:val="false"/>
                <w:color w:val="000000"/>
                <w:sz w:val="17"/>
                <w:szCs w:val="17"/>
              </w:rPr>
              <w:t xml:space="preserve">Real-time (transactional)</w:t>
            </w:r>
          </w:p>
        </w:tc>
        <w:tc>
          <w:tcPr>
            <w:tcW w:type="dxa" w:w="6349"/>
            <w:tcMar>
              <w:top w:type="dxa" w:w="70"/>
              <w:left w:type="dxa" w:w="90"/>
              <w:bottom w:type="dxa" w:w="70"/>
              <w:right w:type="dxa" w:w="90"/>
            </w:tcMar>
            <w:vAlign w:val="top"/>
          </w:tcPr>
          <w:p>
            <w:r>
              <w:rPr>
                <w:b w:val="false"/>
                <w:bCs w:val="false"/>
                <w:color w:val="000000"/>
                <w:sz w:val="17"/>
                <w:szCs w:val="17"/>
              </w:rPr>
              <w:t xml:space="preserve">A user's capture action (Section 5.12, Stage 1) writes directly to the operational database or content store within the same request.</w:t>
            </w:r>
          </w:p>
        </w:tc>
      </w:tr>
      <w:tr>
        <w:tc>
          <w:tcPr>
            <w:tcW w:type="dxa" w:w="2253"/>
            <w:tcMar>
              <w:top w:type="dxa" w:w="70"/>
              <w:left w:type="dxa" w:w="90"/>
              <w:bottom w:type="dxa" w:w="70"/>
              <w:right w:type="dxa" w:w="90"/>
            </w:tcMar>
            <w:vAlign w:val="top"/>
          </w:tcPr>
          <w:p>
            <w:r>
              <w:rPr>
                <w:b/>
                <w:bCs/>
                <w:color w:val="000000"/>
                <w:sz w:val="17"/>
                <w:szCs w:val="17"/>
              </w:rPr>
              <w:t xml:space="preserve">Content-to-Search-Index</w:t>
            </w:r>
          </w:p>
        </w:tc>
        <w:tc>
          <w:tcPr>
            <w:tcW w:type="dxa" w:w="1638"/>
            <w:tcMar>
              <w:top w:type="dxa" w:w="70"/>
              <w:left w:type="dxa" w:w="90"/>
              <w:bottom w:type="dxa" w:w="70"/>
              <w:right w:type="dxa" w:w="90"/>
            </w:tcMar>
            <w:vAlign w:val="top"/>
          </w:tcPr>
          <w:p>
            <w:r>
              <w:rPr>
                <w:b w:val="false"/>
                <w:bCs w:val="false"/>
                <w:color w:val="000000"/>
                <w:sz w:val="17"/>
                <w:szCs w:val="17"/>
              </w:rPr>
              <w:t xml:space="preserve">Near-real-time</w:t>
            </w:r>
          </w:p>
        </w:tc>
        <w:tc>
          <w:tcPr>
            <w:tcW w:type="dxa" w:w="6349"/>
            <w:tcMar>
              <w:top w:type="dxa" w:w="70"/>
              <w:left w:type="dxa" w:w="90"/>
              <w:bottom w:type="dxa" w:w="70"/>
              <w:right w:type="dxa" w:w="90"/>
            </w:tcMar>
            <w:vAlign w:val="top"/>
          </w:tcPr>
          <w:p>
            <w:r>
              <w:rPr>
                <w:b w:val="false"/>
                <w:bCs w:val="false"/>
                <w:color w:val="000000"/>
                <w:sz w:val="17"/>
                <w:szCs w:val="17"/>
              </w:rPr>
              <w:t xml:space="preserve">Newly published or approved content is indexed within minutes, honouring the ESM/CKR access boundary at index-build time, not merely at query time.</w:t>
            </w:r>
          </w:p>
        </w:tc>
      </w:tr>
      <w:tr>
        <w:tc>
          <w:tcPr>
            <w:tcW w:type="dxa" w:w="2253"/>
            <w:tcMar>
              <w:top w:type="dxa" w:w="70"/>
              <w:left w:type="dxa" w:w="90"/>
              <w:bottom w:type="dxa" w:w="70"/>
              <w:right w:type="dxa" w:w="90"/>
            </w:tcMar>
            <w:vAlign w:val="top"/>
          </w:tcPr>
          <w:p>
            <w:r>
              <w:rPr>
                <w:b/>
                <w:bCs/>
                <w:color w:val="000000"/>
                <w:sz w:val="17"/>
                <w:szCs w:val="17"/>
              </w:rPr>
              <w:t xml:space="preserve">Operational-to-Analytics</w:t>
            </w:r>
          </w:p>
        </w:tc>
        <w:tc>
          <w:tcPr>
            <w:tcW w:type="dxa" w:w="1638"/>
            <w:tcMar>
              <w:top w:type="dxa" w:w="70"/>
              <w:left w:type="dxa" w:w="90"/>
              <w:bottom w:type="dxa" w:w="70"/>
              <w:right w:type="dxa" w:w="90"/>
            </w:tcMar>
            <w:vAlign w:val="top"/>
          </w:tcPr>
          <w:p>
            <w:r>
              <w:rPr>
                <w:b w:val="false"/>
                <w:bCs w:val="false"/>
                <w:color w:val="000000"/>
                <w:sz w:val="17"/>
                <w:szCs w:val="17"/>
              </w:rPr>
              <w:t xml:space="preserve">Scheduled (batch)</w:t>
            </w:r>
          </w:p>
        </w:tc>
        <w:tc>
          <w:tcPr>
            <w:tcW w:type="dxa" w:w="6349"/>
            <w:tcMar>
              <w:top w:type="dxa" w:w="70"/>
              <w:left w:type="dxa" w:w="90"/>
              <w:bottom w:type="dxa" w:w="70"/>
              <w:right w:type="dxa" w:w="90"/>
            </w:tcMar>
            <w:vAlign w:val="top"/>
          </w:tcPr>
          <w:p>
            <w:r>
              <w:rPr>
                <w:b w:val="false"/>
                <w:bCs w:val="false"/>
                <w:color w:val="000000"/>
                <w:sz w:val="17"/>
                <w:szCs w:val="17"/>
              </w:rPr>
              <w:t xml:space="preserve">KPI and status data is aggregated into the analytics store on a defined refresh cycle, consistent with the 'real-time where infrastructure supports it, near-real-time fallback elsewhere' principle (Section 1.7).</w:t>
            </w:r>
          </w:p>
        </w:tc>
      </w:tr>
      <w:tr>
        <w:tc>
          <w:tcPr>
            <w:tcW w:type="dxa" w:w="2253"/>
            <w:tcMar>
              <w:top w:type="dxa" w:w="70"/>
              <w:left w:type="dxa" w:w="90"/>
              <w:bottom w:type="dxa" w:w="70"/>
              <w:right w:type="dxa" w:w="90"/>
            </w:tcMar>
            <w:vAlign w:val="top"/>
          </w:tcPr>
          <w:p>
            <w:r>
              <w:rPr>
                <w:b/>
                <w:bCs/>
                <w:color w:val="000000"/>
                <w:sz w:val="17"/>
                <w:szCs w:val="17"/>
              </w:rPr>
              <w:t xml:space="preserve">Legacy-to-Migration</w:t>
            </w:r>
          </w:p>
        </w:tc>
        <w:tc>
          <w:tcPr>
            <w:tcW w:type="dxa" w:w="1638"/>
            <w:tcMar>
              <w:top w:type="dxa" w:w="70"/>
              <w:left w:type="dxa" w:w="90"/>
              <w:bottom w:type="dxa" w:w="70"/>
              <w:right w:type="dxa" w:w="90"/>
            </w:tcMar>
            <w:vAlign w:val="top"/>
          </w:tcPr>
          <w:p>
            <w:r>
              <w:rPr>
                <w:b w:val="false"/>
                <w:bCs w:val="false"/>
                <w:color w:val="000000"/>
                <w:sz w:val="17"/>
                <w:szCs w:val="17"/>
              </w:rPr>
              <w:t xml:space="preserve">One-time, phased</w:t>
            </w:r>
          </w:p>
        </w:tc>
        <w:tc>
          <w:tcPr>
            <w:tcW w:type="dxa" w:w="6349"/>
            <w:tcMar>
              <w:top w:type="dxa" w:w="70"/>
              <w:left w:type="dxa" w:w="90"/>
              <w:bottom w:type="dxa" w:w="70"/>
              <w:right w:type="dxa" w:w="90"/>
            </w:tcMar>
            <w:vAlign w:val="top"/>
          </w:tcPr>
          <w:p>
            <w:r>
              <w:rPr>
                <w:b w:val="false"/>
                <w:bCs w:val="false"/>
                <w:color w:val="000000"/>
                <w:sz w:val="17"/>
                <w:szCs w:val="17"/>
              </w:rPr>
              <w:t xml:space="preserve">The Inception-phase content and data audit (Section 2.6 Value Stream 4) feeds a one-time, phased bulk-load pipeline, detailed in Section 6.8 (Data Migration) below.</w:t>
            </w:r>
          </w:p>
        </w:tc>
      </w:tr>
    </w:tbl>
    <w:p>
      <w:pPr>
        <w:spacing w:after="160"/>
      </w:pPr>
    </w:p>
    <w:p>
      <w:pPr>
        <w:pStyle w:val="Heading1"/>
        <w:pBdr>
          <w:bottom w:val="single" w:color="1F3864" w:sz="6" w:space="4"/>
        </w:pBdr>
        <w:spacing w:after="130" w:before="320"/>
      </w:pPr>
      <w:r>
        <w:t xml:space="preserve">6.6 Data Quality</w:t>
      </w:r>
    </w:p>
    <w:p>
      <w:pPr>
        <w:spacing w:after="150" w:line="276"/>
        <w:jc w:val="both"/>
      </w:pPr>
      <w:r>
        <w:t xml:space="preserve">Five data-quality dimensions are actively managed rather than assumed, since the Current State Assessment (Section 1.2) found the present environment lacks any systematic quality control.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rPr>
          <w:tblHeader/>
        </w:trPr>
        <w:tc>
          <w:tcPr>
            <w:tcW w:type="dxa" w:w="1843"/>
            <w:shd w:fill="1F3864" w:val="clear"/>
            <w:tcMar>
              <w:top w:type="dxa" w:w="70"/>
              <w:left w:type="dxa" w:w="90"/>
              <w:bottom w:type="dxa" w:w="70"/>
              <w:right w:type="dxa" w:w="90"/>
            </w:tcMar>
            <w:vAlign w:val="top"/>
          </w:tcPr>
          <w:p>
            <w:r>
              <w:rPr>
                <w:b/>
                <w:bCs/>
                <w:color w:val="FFFFFF"/>
                <w:sz w:val="17"/>
                <w:szCs w:val="17"/>
              </w:rPr>
              <w:t xml:space="preserve">Dimension</w:t>
            </w:r>
          </w:p>
        </w:tc>
        <w:tc>
          <w:tcPr>
            <w:tcW w:type="dxa" w:w="8397"/>
            <w:shd w:fill="1F3864" w:val="clear"/>
            <w:tcMar>
              <w:top w:type="dxa" w:w="70"/>
              <w:left w:type="dxa" w:w="90"/>
              <w:bottom w:type="dxa" w:w="70"/>
              <w:right w:type="dxa" w:w="90"/>
            </w:tcMar>
            <w:vAlign w:val="top"/>
          </w:tcPr>
          <w:p>
            <w:r>
              <w:rPr>
                <w:b/>
                <w:bCs/>
                <w:color w:val="FFFFFF"/>
                <w:sz w:val="17"/>
                <w:szCs w:val="17"/>
              </w:rPr>
              <w:t xml:space="preserve">Control</w:t>
            </w:r>
          </w:p>
        </w:tc>
      </w:tr>
      <w:tr>
        <w:tc>
          <w:tcPr>
            <w:tcW w:type="dxa" w:w="1843"/>
            <w:tcMar>
              <w:top w:type="dxa" w:w="70"/>
              <w:left w:type="dxa" w:w="90"/>
              <w:bottom w:type="dxa" w:w="70"/>
              <w:right w:type="dxa" w:w="90"/>
            </w:tcMar>
            <w:vAlign w:val="top"/>
          </w:tcPr>
          <w:p>
            <w:r>
              <w:rPr>
                <w:b/>
                <w:bCs/>
                <w:color w:val="000000"/>
                <w:sz w:val="17"/>
                <w:szCs w:val="17"/>
              </w:rPr>
              <w:t xml:space="preserve">Completeness</w:t>
            </w:r>
          </w:p>
        </w:tc>
        <w:tc>
          <w:tcPr>
            <w:tcW w:type="dxa" w:w="8397"/>
            <w:tcMar>
              <w:top w:type="dxa" w:w="70"/>
              <w:left w:type="dxa" w:w="90"/>
              <w:bottom w:type="dxa" w:w="70"/>
              <w:right w:type="dxa" w:w="90"/>
            </w:tcMar>
            <w:vAlign w:val="top"/>
          </w:tcPr>
          <w:p>
            <w:r>
              <w:rPr>
                <w:b w:val="false"/>
                <w:bCs w:val="false"/>
                <w:color w:val="000000"/>
                <w:sz w:val="17"/>
                <w:szCs w:val="17"/>
              </w:rPr>
              <w:t xml:space="preserve">Mandatory metadata fields (Section 5.4) block submission until populated, enforced at the Document Management and Knowledge Repository modules.</w:t>
            </w:r>
          </w:p>
        </w:tc>
      </w:tr>
      <w:tr>
        <w:tc>
          <w:tcPr>
            <w:tcW w:type="dxa" w:w="1843"/>
            <w:tcMar>
              <w:top w:type="dxa" w:w="70"/>
              <w:left w:type="dxa" w:w="90"/>
              <w:bottom w:type="dxa" w:w="70"/>
              <w:right w:type="dxa" w:w="90"/>
            </w:tcMar>
            <w:vAlign w:val="top"/>
          </w:tcPr>
          <w:p>
            <w:r>
              <w:rPr>
                <w:b/>
                <w:bCs/>
                <w:color w:val="000000"/>
                <w:sz w:val="17"/>
                <w:szCs w:val="17"/>
              </w:rPr>
              <w:t xml:space="preserve">Accuracy</w:t>
            </w:r>
          </w:p>
        </w:tc>
        <w:tc>
          <w:tcPr>
            <w:tcW w:type="dxa" w:w="8397"/>
            <w:tcMar>
              <w:top w:type="dxa" w:w="70"/>
              <w:left w:type="dxa" w:w="90"/>
              <w:bottom w:type="dxa" w:w="70"/>
              <w:right w:type="dxa" w:w="90"/>
            </w:tcMar>
            <w:vAlign w:val="top"/>
          </w:tcPr>
          <w:p>
            <w:r>
              <w:rPr>
                <w:b w:val="false"/>
                <w:bCs w:val="false"/>
                <w:color w:val="000000"/>
                <w:sz w:val="17"/>
                <w:szCs w:val="17"/>
              </w:rPr>
              <w:t xml:space="preserve">Steward and editorial review (Section 5.7 Classification) validates content and metadata before publication or approval.</w:t>
            </w:r>
          </w:p>
        </w:tc>
      </w:tr>
      <w:tr>
        <w:tc>
          <w:tcPr>
            <w:tcW w:type="dxa" w:w="1843"/>
            <w:tcMar>
              <w:top w:type="dxa" w:w="70"/>
              <w:left w:type="dxa" w:w="90"/>
              <w:bottom w:type="dxa" w:w="70"/>
              <w:right w:type="dxa" w:w="90"/>
            </w:tcMar>
            <w:vAlign w:val="top"/>
          </w:tcPr>
          <w:p>
            <w:r>
              <w:rPr>
                <w:b/>
                <w:bCs/>
                <w:color w:val="000000"/>
                <w:sz w:val="17"/>
                <w:szCs w:val="17"/>
              </w:rPr>
              <w:t xml:space="preserve">Consistency</w:t>
            </w:r>
          </w:p>
        </w:tc>
        <w:tc>
          <w:tcPr>
            <w:tcW w:type="dxa" w:w="8397"/>
            <w:tcMar>
              <w:top w:type="dxa" w:w="70"/>
              <w:left w:type="dxa" w:w="90"/>
              <w:bottom w:type="dxa" w:w="70"/>
              <w:right w:type="dxa" w:w="90"/>
            </w:tcMar>
            <w:vAlign w:val="top"/>
          </w:tcPr>
          <w:p>
            <w:r>
              <w:rPr>
                <w:b w:val="false"/>
                <w:bCs w:val="false"/>
                <w:color w:val="000000"/>
                <w:sz w:val="17"/>
                <w:szCs w:val="17"/>
              </w:rPr>
              <w:t xml:space="preserve">The single, KMC-authored taxonomy (Section 5.5) applied identically across all seven states and the FCT prevents state-by-state definitional drift.</w:t>
            </w:r>
          </w:p>
        </w:tc>
      </w:tr>
      <w:tr>
        <w:tc>
          <w:tcPr>
            <w:tcW w:type="dxa" w:w="1843"/>
            <w:tcMar>
              <w:top w:type="dxa" w:w="70"/>
              <w:left w:type="dxa" w:w="90"/>
              <w:bottom w:type="dxa" w:w="70"/>
              <w:right w:type="dxa" w:w="90"/>
            </w:tcMar>
            <w:vAlign w:val="top"/>
          </w:tcPr>
          <w:p>
            <w:r>
              <w:rPr>
                <w:b/>
                <w:bCs/>
                <w:color w:val="000000"/>
                <w:sz w:val="17"/>
                <w:szCs w:val="17"/>
              </w:rPr>
              <w:t xml:space="preserve">Timeliness</w:t>
            </w:r>
          </w:p>
        </w:tc>
        <w:tc>
          <w:tcPr>
            <w:tcW w:type="dxa" w:w="8397"/>
            <w:tcMar>
              <w:top w:type="dxa" w:w="70"/>
              <w:left w:type="dxa" w:w="90"/>
              <w:bottom w:type="dxa" w:w="70"/>
              <w:right w:type="dxa" w:w="90"/>
            </w:tcMar>
            <w:vAlign w:val="top"/>
          </w:tcPr>
          <w:p>
            <w:r>
              <w:rPr>
                <w:b w:val="false"/>
                <w:bCs w:val="false"/>
                <w:color w:val="000000"/>
                <w:sz w:val="17"/>
                <w:szCs w:val="17"/>
              </w:rPr>
              <w:t xml:space="preserve">Workflow SLA timers (Section 4.3, Workflow module) surface stale, unprocessed items before they age silently.</w:t>
            </w:r>
          </w:p>
        </w:tc>
      </w:tr>
      <w:tr>
        <w:tc>
          <w:tcPr>
            <w:tcW w:type="dxa" w:w="1843"/>
            <w:tcMar>
              <w:top w:type="dxa" w:w="70"/>
              <w:left w:type="dxa" w:w="90"/>
              <w:bottom w:type="dxa" w:w="70"/>
              <w:right w:type="dxa" w:w="90"/>
            </w:tcMar>
            <w:vAlign w:val="top"/>
          </w:tcPr>
          <w:p>
            <w:r>
              <w:rPr>
                <w:b/>
                <w:bCs/>
                <w:color w:val="000000"/>
                <w:sz w:val="17"/>
                <w:szCs w:val="17"/>
              </w:rPr>
              <w:t xml:space="preserve">Uniqueness</w:t>
            </w:r>
          </w:p>
        </w:tc>
        <w:tc>
          <w:tcPr>
            <w:tcW w:type="dxa" w:w="8397"/>
            <w:tcMar>
              <w:top w:type="dxa" w:w="70"/>
              <w:left w:type="dxa" w:w="90"/>
              <w:bottom w:type="dxa" w:w="70"/>
              <w:right w:type="dxa" w:w="90"/>
            </w:tcMar>
            <w:vAlign w:val="top"/>
          </w:tcPr>
          <w:p>
            <w:r>
              <w:rPr>
                <w:b w:val="false"/>
                <w:bCs w:val="false"/>
                <w:color w:val="000000"/>
                <w:sz w:val="17"/>
                <w:szCs w:val="17"/>
              </w:rPr>
              <w:t xml:space="preserve">Version control within Document Management prevents duplicate, competing versions of the same document from being treated as independent records.</w:t>
            </w:r>
          </w:p>
        </w:tc>
      </w:tr>
    </w:tbl>
    <w:p>
      <w:pPr>
        <w:spacing w:after="160"/>
      </w:pPr>
    </w:p>
    <w:p>
      <w:pPr>
        <w:pStyle w:val="Heading1"/>
        <w:pBdr>
          <w:bottom w:val="single" w:color="1F3864" w:sz="6" w:space="4"/>
        </w:pBdr>
        <w:spacing w:after="130" w:before="320"/>
      </w:pPr>
      <w:r>
        <w:t xml:space="preserve">6.7 Data Integration</w:t>
      </w:r>
    </w:p>
    <w:p>
      <w:pPr>
        <w:spacing w:after="150" w:line="276"/>
        <w:jc w:val="both"/>
      </w:pPr>
      <w:r>
        <w:t xml:space="preserve">Data integration follows the same 'connect at the edges, not the core' principle already fixed at the application layer (Section 3.5): the Integration &amp; API Gateway is the only path by which data enters or leaves this architecture from an external system, principally the SAPZ Public Website. No integration point writes directly to another system's operational database; every cross-system data exchange passes through a documented interface contract, governed by the Data &amp; Content Governance Charter (Section 2.10), so that integration remains a controlled, deliberate decision rather than a source of the data duplication the TOR itself warns against.</w:t>
      </w:r>
    </w:p>
    <w:p>
      <w:pPr>
        <w:pStyle w:val="Heading1"/>
        <w:pBdr>
          <w:bottom w:val="single" w:color="1F3864" w:sz="6" w:space="4"/>
        </w:pBdr>
        <w:spacing w:after="130" w:before="320"/>
      </w:pPr>
      <w:r>
        <w:t xml:space="preserve">6.8 Data Migration</w:t>
      </w:r>
    </w:p>
    <w:p>
      <w:pPr>
        <w:spacing w:after="150" w:line="276"/>
        <w:jc w:val="both"/>
      </w:pPr>
      <w:r>
        <w:t xml:space="preserve">Migration is the highest-risk data activity in the entire architecture, since it runs once, under schedule pressure, against a legacy document base the Master Bid &amp; Delivery Strategy's own scenario planning expects to be 'messier than ideal.' A five-stage, phased approach governs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34"/>
        <w:gridCol w:w="5325"/>
        <w:gridCol w:w="3482"/>
      </w:tblGrid>
      <w:tr>
        <w:trPr>
          <w:tblHeader/>
        </w:trPr>
        <w:tc>
          <w:tcPr>
            <w:tcW w:type="dxa" w:w="1434"/>
            <w:shd w:fill="1F3864" w:val="clear"/>
            <w:tcMar>
              <w:top w:type="dxa" w:w="70"/>
              <w:left w:type="dxa" w:w="90"/>
              <w:bottom w:type="dxa" w:w="70"/>
              <w:right w:type="dxa" w:w="90"/>
            </w:tcMar>
            <w:vAlign w:val="top"/>
          </w:tcPr>
          <w:p>
            <w:r>
              <w:rPr>
                <w:b/>
                <w:bCs/>
                <w:color w:val="FFFFFF"/>
                <w:sz w:val="17"/>
                <w:szCs w:val="17"/>
              </w:rPr>
              <w:t xml:space="preserve">Stage</w:t>
            </w:r>
          </w:p>
        </w:tc>
        <w:tc>
          <w:tcPr>
            <w:tcW w:type="dxa" w:w="5325"/>
            <w:shd w:fill="1F3864" w:val="clear"/>
            <w:tcMar>
              <w:top w:type="dxa" w:w="70"/>
              <w:left w:type="dxa" w:w="90"/>
              <w:bottom w:type="dxa" w:w="70"/>
              <w:right w:type="dxa" w:w="90"/>
            </w:tcMar>
            <w:vAlign w:val="top"/>
          </w:tcPr>
          <w:p>
            <w:r>
              <w:rPr>
                <w:b/>
                <w:bCs/>
                <w:color w:val="FFFFFF"/>
                <w:sz w:val="17"/>
                <w:szCs w:val="17"/>
              </w:rPr>
              <w:t xml:space="preserve">Activity</w:t>
            </w:r>
          </w:p>
        </w:tc>
        <w:tc>
          <w:tcPr>
            <w:tcW w:type="dxa" w:w="3482"/>
            <w:shd w:fill="1F3864" w:val="clear"/>
            <w:tcMar>
              <w:top w:type="dxa" w:w="70"/>
              <w:left w:type="dxa" w:w="90"/>
              <w:bottom w:type="dxa" w:w="70"/>
              <w:right w:type="dxa" w:w="90"/>
            </w:tcMar>
            <w:vAlign w:val="top"/>
          </w:tcPr>
          <w:p>
            <w:r>
              <w:rPr>
                <w:b/>
                <w:bCs/>
                <w:color w:val="FFFFFF"/>
                <w:sz w:val="17"/>
                <w:szCs w:val="17"/>
              </w:rPr>
              <w:t xml:space="preserve">Accountable Party</w:t>
            </w:r>
          </w:p>
        </w:tc>
      </w:tr>
      <w:tr>
        <w:tc>
          <w:tcPr>
            <w:tcW w:type="dxa" w:w="1434"/>
            <w:tcMar>
              <w:top w:type="dxa" w:w="70"/>
              <w:left w:type="dxa" w:w="90"/>
              <w:bottom w:type="dxa" w:w="70"/>
              <w:right w:type="dxa" w:w="90"/>
            </w:tcMar>
            <w:vAlign w:val="top"/>
          </w:tcPr>
          <w:p>
            <w:r>
              <w:rPr>
                <w:b/>
                <w:bCs/>
                <w:color w:val="000000"/>
                <w:sz w:val="17"/>
                <w:szCs w:val="17"/>
              </w:rPr>
              <w:t xml:space="preserve">1. Audit</w:t>
            </w:r>
          </w:p>
        </w:tc>
        <w:tc>
          <w:tcPr>
            <w:tcW w:type="dxa" w:w="5325"/>
            <w:tcMar>
              <w:top w:type="dxa" w:w="70"/>
              <w:left w:type="dxa" w:w="90"/>
              <w:bottom w:type="dxa" w:w="70"/>
              <w:right w:type="dxa" w:w="90"/>
            </w:tcMar>
            <w:vAlign w:val="top"/>
          </w:tcPr>
          <w:p>
            <w:r>
              <w:rPr>
                <w:b w:val="false"/>
                <w:bCs w:val="false"/>
                <w:color w:val="000000"/>
                <w:sz w:val="17"/>
                <w:szCs w:val="17"/>
              </w:rPr>
              <w:t xml:space="preserve">Inventory the legacy document base across all seven states and the FCT during Weeks 1–2, per the Content &amp; Data Audit process (Section 2.13 RACI).</w:t>
            </w:r>
          </w:p>
        </w:tc>
        <w:tc>
          <w:tcPr>
            <w:tcW w:type="dxa" w:w="3482"/>
            <w:tcMar>
              <w:top w:type="dxa" w:w="70"/>
              <w:left w:type="dxa" w:w="90"/>
              <w:bottom w:type="dxa" w:w="70"/>
              <w:right w:type="dxa" w:w="90"/>
            </w:tcMar>
            <w:vAlign w:val="top"/>
          </w:tcPr>
          <w:p>
            <w:r>
              <w:rPr>
                <w:b w:val="false"/>
                <w:bCs w:val="false"/>
                <w:color w:val="000000"/>
                <w:sz w:val="17"/>
                <w:szCs w:val="17"/>
              </w:rPr>
              <w:t xml:space="preserve">Consultant (Responsible); KMC (Accountable)</w:t>
            </w:r>
          </w:p>
        </w:tc>
      </w:tr>
      <w:tr>
        <w:tc>
          <w:tcPr>
            <w:tcW w:type="dxa" w:w="1434"/>
            <w:tcMar>
              <w:top w:type="dxa" w:w="70"/>
              <w:left w:type="dxa" w:w="90"/>
              <w:bottom w:type="dxa" w:w="70"/>
              <w:right w:type="dxa" w:w="90"/>
            </w:tcMar>
            <w:vAlign w:val="top"/>
          </w:tcPr>
          <w:p>
            <w:r>
              <w:rPr>
                <w:b/>
                <w:bCs/>
                <w:color w:val="000000"/>
                <w:sz w:val="17"/>
                <w:szCs w:val="17"/>
              </w:rPr>
              <w:t xml:space="preserve">2. Classify</w:t>
            </w:r>
          </w:p>
        </w:tc>
        <w:tc>
          <w:tcPr>
            <w:tcW w:type="dxa" w:w="5325"/>
            <w:tcMar>
              <w:top w:type="dxa" w:w="70"/>
              <w:left w:type="dxa" w:w="90"/>
              <w:bottom w:type="dxa" w:w="70"/>
              <w:right w:type="dxa" w:w="90"/>
            </w:tcMar>
            <w:vAlign w:val="top"/>
          </w:tcPr>
          <w:p>
            <w:r>
              <w:rPr>
                <w:b w:val="false"/>
                <w:bCs w:val="false"/>
                <w:color w:val="000000"/>
                <w:sz w:val="17"/>
                <w:szCs w:val="17"/>
              </w:rPr>
              <w:t xml:space="preserve">Apply the shared taxonomy retrospectively to legacy content, prioritizing the Must Have content types (Section 3.2 MoSCoW).</w:t>
            </w:r>
          </w:p>
        </w:tc>
        <w:tc>
          <w:tcPr>
            <w:tcW w:type="dxa" w:w="3482"/>
            <w:tcMar>
              <w:top w:type="dxa" w:w="70"/>
              <w:left w:type="dxa" w:w="90"/>
              <w:bottom w:type="dxa" w:w="70"/>
              <w:right w:type="dxa" w:w="90"/>
            </w:tcMar>
            <w:vAlign w:val="top"/>
          </w:tcPr>
          <w:p>
            <w:r>
              <w:rPr>
                <w:b w:val="false"/>
                <w:bCs w:val="false"/>
                <w:color w:val="000000"/>
                <w:sz w:val="17"/>
                <w:szCs w:val="17"/>
              </w:rPr>
              <w:t xml:space="preserve">Consultant, with state-level focal points consulted</w:t>
            </w:r>
          </w:p>
        </w:tc>
      </w:tr>
      <w:tr>
        <w:tc>
          <w:tcPr>
            <w:tcW w:type="dxa" w:w="1434"/>
            <w:tcMar>
              <w:top w:type="dxa" w:w="70"/>
              <w:left w:type="dxa" w:w="90"/>
              <w:bottom w:type="dxa" w:w="70"/>
              <w:right w:type="dxa" w:w="90"/>
            </w:tcMar>
            <w:vAlign w:val="top"/>
          </w:tcPr>
          <w:p>
            <w:r>
              <w:rPr>
                <w:b/>
                <w:bCs/>
                <w:color w:val="000000"/>
                <w:sz w:val="17"/>
                <w:szCs w:val="17"/>
              </w:rPr>
              <w:t xml:space="preserve">3. Migrate</w:t>
            </w:r>
          </w:p>
        </w:tc>
        <w:tc>
          <w:tcPr>
            <w:tcW w:type="dxa" w:w="5325"/>
            <w:tcMar>
              <w:top w:type="dxa" w:w="70"/>
              <w:left w:type="dxa" w:w="90"/>
              <w:bottom w:type="dxa" w:w="70"/>
              <w:right w:type="dxa" w:w="90"/>
            </w:tcMar>
            <w:vAlign w:val="top"/>
          </w:tcPr>
          <w:p>
            <w:r>
              <w:rPr>
                <w:b w:val="false"/>
                <w:bCs w:val="false"/>
                <w:color w:val="000000"/>
                <w:sz w:val="17"/>
                <w:szCs w:val="17"/>
              </w:rPr>
              <w:t xml:space="preserve">Bulk-load classified content into the appropriate physical data store (Section 6.4), in prioritized batches by state and content type.</w:t>
            </w:r>
          </w:p>
        </w:tc>
        <w:tc>
          <w:tcPr>
            <w:tcW w:type="dxa" w:w="3482"/>
            <w:tcMar>
              <w:top w:type="dxa" w:w="70"/>
              <w:left w:type="dxa" w:w="90"/>
              <w:bottom w:type="dxa" w:w="70"/>
              <w:right w:type="dxa" w:w="90"/>
            </w:tcMar>
            <w:vAlign w:val="top"/>
          </w:tcPr>
          <w:p>
            <w:r>
              <w:rPr>
                <w:b w:val="false"/>
                <w:bCs w:val="false"/>
                <w:color w:val="000000"/>
                <w:sz w:val="17"/>
                <w:szCs w:val="17"/>
              </w:rPr>
              <w:t xml:space="preserve">Consultant (Responsible); KMC (Accountable, per Section 2.9 content-migration decision authority)</w:t>
            </w:r>
          </w:p>
        </w:tc>
      </w:tr>
      <w:tr>
        <w:tc>
          <w:tcPr>
            <w:tcW w:type="dxa" w:w="1434"/>
            <w:tcMar>
              <w:top w:type="dxa" w:w="70"/>
              <w:left w:type="dxa" w:w="90"/>
              <w:bottom w:type="dxa" w:w="70"/>
              <w:right w:type="dxa" w:w="90"/>
            </w:tcMar>
            <w:vAlign w:val="top"/>
          </w:tcPr>
          <w:p>
            <w:r>
              <w:rPr>
                <w:b/>
                <w:bCs/>
                <w:color w:val="000000"/>
                <w:sz w:val="17"/>
                <w:szCs w:val="17"/>
              </w:rPr>
              <w:t xml:space="preserve">4. Validate</w:t>
            </w:r>
          </w:p>
        </w:tc>
        <w:tc>
          <w:tcPr>
            <w:tcW w:type="dxa" w:w="5325"/>
            <w:tcMar>
              <w:top w:type="dxa" w:w="70"/>
              <w:left w:type="dxa" w:w="90"/>
              <w:bottom w:type="dxa" w:w="70"/>
              <w:right w:type="dxa" w:w="90"/>
            </w:tcMar>
            <w:vAlign w:val="top"/>
          </w:tcPr>
          <w:p>
            <w:r>
              <w:rPr>
                <w:b w:val="false"/>
                <w:bCs w:val="false"/>
                <w:color w:val="000000"/>
                <w:sz w:val="17"/>
                <w:szCs w:val="17"/>
              </w:rPr>
              <w:t xml:space="preserve">Reconcile migrated record counts against the audit inventory; spot-check a sample of migrated items against their source for accuracy.</w:t>
            </w:r>
          </w:p>
        </w:tc>
        <w:tc>
          <w:tcPr>
            <w:tcW w:type="dxa" w:w="3482"/>
            <w:tcMar>
              <w:top w:type="dxa" w:w="70"/>
              <w:left w:type="dxa" w:w="90"/>
              <w:bottom w:type="dxa" w:w="70"/>
              <w:right w:type="dxa" w:w="90"/>
            </w:tcMar>
            <w:vAlign w:val="top"/>
          </w:tcPr>
          <w:p>
            <w:r>
              <w:rPr>
                <w:b w:val="false"/>
                <w:bCs w:val="false"/>
                <w:color w:val="000000"/>
                <w:sz w:val="17"/>
                <w:szCs w:val="17"/>
              </w:rPr>
              <w:t xml:space="preserve">Consultant (execution); KMC (sign-off)</w:t>
            </w:r>
          </w:p>
        </w:tc>
      </w:tr>
      <w:tr>
        <w:tc>
          <w:tcPr>
            <w:tcW w:type="dxa" w:w="1434"/>
            <w:tcMar>
              <w:top w:type="dxa" w:w="70"/>
              <w:left w:type="dxa" w:w="90"/>
              <w:bottom w:type="dxa" w:w="70"/>
              <w:right w:type="dxa" w:w="90"/>
            </w:tcMar>
            <w:vAlign w:val="top"/>
          </w:tcPr>
          <w:p>
            <w:r>
              <w:rPr>
                <w:b/>
                <w:bCs/>
                <w:color w:val="000000"/>
                <w:sz w:val="17"/>
                <w:szCs w:val="17"/>
              </w:rPr>
              <w:t xml:space="preserve">5. Retire Legacy</w:t>
            </w:r>
          </w:p>
        </w:tc>
        <w:tc>
          <w:tcPr>
            <w:tcW w:type="dxa" w:w="5325"/>
            <w:tcMar>
              <w:top w:type="dxa" w:w="70"/>
              <w:left w:type="dxa" w:w="90"/>
              <w:bottom w:type="dxa" w:w="70"/>
              <w:right w:type="dxa" w:w="90"/>
            </w:tcMar>
            <w:vAlign w:val="top"/>
          </w:tcPr>
          <w:p>
            <w:r>
              <w:rPr>
                <w:b w:val="false"/>
                <w:bCs w:val="false"/>
                <w:color w:val="000000"/>
                <w:sz w:val="17"/>
                <w:szCs w:val="17"/>
              </w:rPr>
              <w:t xml:space="preserve">Decommission or archive the legacy storage location once validation confirms successful migration.</w:t>
            </w:r>
          </w:p>
        </w:tc>
        <w:tc>
          <w:tcPr>
            <w:tcW w:type="dxa" w:w="3482"/>
            <w:tcMar>
              <w:top w:type="dxa" w:w="70"/>
              <w:left w:type="dxa" w:w="90"/>
              <w:bottom w:type="dxa" w:w="70"/>
              <w:right w:type="dxa" w:w="90"/>
            </w:tcMar>
            <w:vAlign w:val="top"/>
          </w:tcPr>
          <w:p>
            <w:r>
              <w:rPr>
                <w:b w:val="false"/>
                <w:bCs w:val="false"/>
                <w:color w:val="000000"/>
                <w:sz w:val="17"/>
                <w:szCs w:val="17"/>
              </w:rPr>
              <w:t xml:space="preserve">KM and ICT Units, on KMC authorization</w:t>
            </w:r>
          </w:p>
        </w:tc>
      </w:tr>
    </w:tbl>
    <w:p>
      <w:pPr>
        <w:spacing w:after="100"/>
      </w:pPr>
    </w:p>
    <w:p>
      <w:pPr>
        <w:spacing w:after="160" w:line="264"/>
      </w:pPr>
      <w:r>
        <w:rPr>
          <w:i/>
          <w:iCs/>
          <w:color w:val="555555"/>
          <w:sz w:val="18"/>
          <w:szCs w:val="18"/>
        </w:rPr>
        <w:t xml:space="preserve">Consistent with the MoSCoW pass in Section 3.2, complete migration coverage for every legacy document is a Should Have, not a Must Have: the Must Have commitment is a prioritized subset covering the centralized document repository's core content, with full coverage pursued as schedule allows within the twelve-week engagement.</w:t>
      </w:r>
    </w:p>
    <w:p>
      <w:pPr>
        <w:spacing w:after="160"/>
      </w:pPr>
    </w:p>
    <w:p>
      <w:pPr>
        <w:pStyle w:val="Heading1"/>
        <w:pBdr>
          <w:bottom w:val="single" w:color="1F3864" w:sz="6" w:space="4"/>
        </w:pBdr>
        <w:spacing w:after="130" w:before="320"/>
      </w:pPr>
      <w:r>
        <w:t xml:space="preserve">6.9 Data Validation</w:t>
      </w:r>
    </w:p>
    <w:p>
      <w:pPr>
        <w:spacing w:after="150" w:line="276"/>
        <w:jc w:val="both"/>
      </w:pPr>
      <w:r>
        <w:t xml:space="preserve">Validation occurs at four distinct points, each catching a different class of error.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7782"/>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Validation Point</w:t>
            </w:r>
          </w:p>
        </w:tc>
        <w:tc>
          <w:tcPr>
            <w:tcW w:type="dxa" w:w="7782"/>
            <w:shd w:fill="1F3864" w:val="clear"/>
            <w:tcMar>
              <w:top w:type="dxa" w:w="70"/>
              <w:left w:type="dxa" w:w="90"/>
              <w:bottom w:type="dxa" w:w="70"/>
              <w:right w:type="dxa" w:w="90"/>
            </w:tcMar>
            <w:vAlign w:val="top"/>
          </w:tcPr>
          <w:p>
            <w:r>
              <w:rPr>
                <w:b/>
                <w:bCs/>
                <w:color w:val="FFFFFF"/>
                <w:sz w:val="17"/>
                <w:szCs w:val="17"/>
              </w:rPr>
              <w:t xml:space="preserve">What Is Checked</w:t>
            </w:r>
          </w:p>
        </w:tc>
      </w:tr>
      <w:tr>
        <w:tc>
          <w:tcPr>
            <w:tcW w:type="dxa" w:w="2458"/>
            <w:tcMar>
              <w:top w:type="dxa" w:w="70"/>
              <w:left w:type="dxa" w:w="90"/>
              <w:bottom w:type="dxa" w:w="70"/>
              <w:right w:type="dxa" w:w="90"/>
            </w:tcMar>
            <w:vAlign w:val="top"/>
          </w:tcPr>
          <w:p>
            <w:r>
              <w:rPr>
                <w:b/>
                <w:bCs/>
                <w:color w:val="000000"/>
                <w:sz w:val="17"/>
                <w:szCs w:val="17"/>
              </w:rPr>
              <w:t xml:space="preserve">Capture-time</w:t>
            </w:r>
          </w:p>
        </w:tc>
        <w:tc>
          <w:tcPr>
            <w:tcW w:type="dxa" w:w="7782"/>
            <w:tcMar>
              <w:top w:type="dxa" w:w="70"/>
              <w:left w:type="dxa" w:w="90"/>
              <w:bottom w:type="dxa" w:w="70"/>
              <w:right w:type="dxa" w:w="90"/>
            </w:tcMar>
            <w:vAlign w:val="top"/>
          </w:tcPr>
          <w:p>
            <w:r>
              <w:rPr>
                <w:b w:val="false"/>
                <w:bCs w:val="false"/>
                <w:color w:val="000000"/>
                <w:sz w:val="17"/>
                <w:szCs w:val="17"/>
              </w:rPr>
              <w:t xml:space="preserve">Mandatory metadata completeness; format validation (for example, date fields, file types).</w:t>
            </w:r>
          </w:p>
        </w:tc>
      </w:tr>
      <w:tr>
        <w:tc>
          <w:tcPr>
            <w:tcW w:type="dxa" w:w="2458"/>
            <w:tcMar>
              <w:top w:type="dxa" w:w="70"/>
              <w:left w:type="dxa" w:w="90"/>
              <w:bottom w:type="dxa" w:w="70"/>
              <w:right w:type="dxa" w:w="90"/>
            </w:tcMar>
            <w:vAlign w:val="top"/>
          </w:tcPr>
          <w:p>
            <w:r>
              <w:rPr>
                <w:b/>
                <w:bCs/>
                <w:color w:val="000000"/>
                <w:sz w:val="17"/>
                <w:szCs w:val="17"/>
              </w:rPr>
              <w:t xml:space="preserve">Classification-time</w:t>
            </w:r>
          </w:p>
        </w:tc>
        <w:tc>
          <w:tcPr>
            <w:tcW w:type="dxa" w:w="7782"/>
            <w:tcMar>
              <w:top w:type="dxa" w:w="70"/>
              <w:left w:type="dxa" w:w="90"/>
              <w:bottom w:type="dxa" w:w="70"/>
              <w:right w:type="dxa" w:w="90"/>
            </w:tcMar>
            <w:vAlign w:val="top"/>
          </w:tcPr>
          <w:p>
            <w:r>
              <w:rPr>
                <w:b w:val="false"/>
                <w:bCs w:val="false"/>
                <w:color w:val="000000"/>
                <w:sz w:val="17"/>
                <w:szCs w:val="17"/>
              </w:rPr>
              <w:t xml:space="preserve">Taxonomy term validity against the controlled vocabulary; steward confirmation.</w:t>
            </w:r>
          </w:p>
        </w:tc>
      </w:tr>
      <w:tr>
        <w:tc>
          <w:tcPr>
            <w:tcW w:type="dxa" w:w="2458"/>
            <w:tcMar>
              <w:top w:type="dxa" w:w="70"/>
              <w:left w:type="dxa" w:w="90"/>
              <w:bottom w:type="dxa" w:w="70"/>
              <w:right w:type="dxa" w:w="90"/>
            </w:tcMar>
            <w:vAlign w:val="top"/>
          </w:tcPr>
          <w:p>
            <w:r>
              <w:rPr>
                <w:b/>
                <w:bCs/>
                <w:color w:val="000000"/>
                <w:sz w:val="17"/>
                <w:szCs w:val="17"/>
              </w:rPr>
              <w:t xml:space="preserve">Migration-time</w:t>
            </w:r>
          </w:p>
        </w:tc>
        <w:tc>
          <w:tcPr>
            <w:tcW w:type="dxa" w:w="7782"/>
            <w:tcMar>
              <w:top w:type="dxa" w:w="70"/>
              <w:left w:type="dxa" w:w="90"/>
              <w:bottom w:type="dxa" w:w="70"/>
              <w:right w:type="dxa" w:w="90"/>
            </w:tcMar>
            <w:vAlign w:val="top"/>
          </w:tcPr>
          <w:p>
            <w:r>
              <w:rPr>
                <w:b w:val="false"/>
                <w:bCs w:val="false"/>
                <w:color w:val="000000"/>
                <w:sz w:val="17"/>
                <w:szCs w:val="17"/>
              </w:rPr>
              <w:t xml:space="preserve">Record-count reconciliation and sample accuracy checks, per Section 6.8 Stage 4.</w:t>
            </w:r>
          </w:p>
        </w:tc>
      </w:tr>
      <w:tr>
        <w:tc>
          <w:tcPr>
            <w:tcW w:type="dxa" w:w="2458"/>
            <w:tcMar>
              <w:top w:type="dxa" w:w="70"/>
              <w:left w:type="dxa" w:w="90"/>
              <w:bottom w:type="dxa" w:w="70"/>
              <w:right w:type="dxa" w:w="90"/>
            </w:tcMar>
            <w:vAlign w:val="top"/>
          </w:tcPr>
          <w:p>
            <w:r>
              <w:rPr>
                <w:b/>
                <w:bCs/>
                <w:color w:val="000000"/>
                <w:sz w:val="17"/>
                <w:szCs w:val="17"/>
              </w:rPr>
              <w:t xml:space="preserve">Workflow-time</w:t>
            </w:r>
          </w:p>
        </w:tc>
        <w:tc>
          <w:tcPr>
            <w:tcW w:type="dxa" w:w="7782"/>
            <w:tcMar>
              <w:top w:type="dxa" w:w="70"/>
              <w:left w:type="dxa" w:w="90"/>
              <w:bottom w:type="dxa" w:w="70"/>
              <w:right w:type="dxa" w:w="90"/>
            </w:tcMar>
            <w:vAlign w:val="top"/>
          </w:tcPr>
          <w:p>
            <w:r>
              <w:rPr>
                <w:b w:val="false"/>
                <w:bCs w:val="false"/>
                <w:color w:val="000000"/>
                <w:sz w:val="17"/>
                <w:szCs w:val="17"/>
              </w:rPr>
              <w:t xml:space="preserve">Business-rule validation — for example, that a document cannot be published without completing all required approval tiers.</w:t>
            </w:r>
          </w:p>
        </w:tc>
      </w:tr>
    </w:tbl>
    <w:p>
      <w:pPr>
        <w:spacing w:after="160"/>
      </w:pPr>
    </w:p>
    <w:p>
      <w:pPr>
        <w:pStyle w:val="Heading1"/>
        <w:pBdr>
          <w:bottom w:val="single" w:color="1F3864" w:sz="6" w:space="4"/>
        </w:pBdr>
        <w:spacing w:after="130" w:before="320"/>
      </w:pPr>
      <w:r>
        <w:t xml:space="preserve">6.10 Data Security</w:t>
      </w:r>
    </w:p>
    <w:p>
      <w:pPr>
        <w:spacing w:after="150" w:line="276"/>
        <w:jc w:val="both"/>
      </w:pPr>
      <w:r>
        <w:t xml:space="preserve">Data-layer security is scoped here to what the physical data model itself must guarantee; the full Security Architecture — identity, network, application, and operational controls — is developed in Section 8. At the data layer specifically: encryption at rest applies to every physical data store identified in Section 6.4, without exception; encryption in transit applies to every pipeline identified in Section 6.5; and field-level access control is driven directly by the Classification/Sensitivity metadata field fixed in Section 5.4, so that a record tagged Restricted is enforced as restricted at the database query level, not only at the application's user-interface level.</w:t>
      </w:r>
    </w:p>
    <w:p>
      <w:pPr>
        <w:pStyle w:val="Heading1"/>
        <w:pBdr>
          <w:bottom w:val="single" w:color="1F3864" w:sz="6" w:space="4"/>
        </w:pBdr>
        <w:spacing w:after="130" w:before="320"/>
      </w:pPr>
      <w:r>
        <w:t xml:space="preserve">6.11 Data Privacy</w:t>
      </w:r>
    </w:p>
    <w:p>
      <w:pPr>
        <w:spacing w:after="150" w:line="276"/>
        <w:jc w:val="both"/>
      </w:pPr>
      <w:r>
        <w:t xml:space="preserve">The Nigeria Data Protection Regulation governs any personal data this architecture holds — principally, contact details of state focal points, content stewards, and named individuals appearing in case studies or event records. Three practical controls apply: a personal-data inventory is maintained as part of the Governance &amp; Administration Console's compliance checklist (Section 4.4); a documented lawful basis is recorded for each category of personal data retained, consistent with the Records Management basis fixed in Section 5.8; and, specifically for CKR public content, editorial review (Section 5.7) includes a redaction check so that personal data not necessary for the knowledge item's public value is removed before publication, rather than published by default because it happened to be present in the source material.</w:t>
      </w:r>
    </w:p>
    <w:p>
      <w:pPr>
        <w:pStyle w:val="Heading1"/>
        <w:pBdr>
          <w:bottom w:val="single" w:color="1F3864" w:sz="6" w:space="4"/>
        </w:pBdr>
        <w:spacing w:after="130" w:before="320"/>
      </w:pPr>
      <w:r>
        <w:t xml:space="preserve">6.12 Backup and Recovery</w:t>
      </w:r>
    </w:p>
    <w:p>
      <w:pPr>
        <w:spacing w:after="150" w:line="276"/>
        <w:jc w:val="both"/>
      </w:pPr>
      <w:r>
        <w:t xml:space="preserve">Backup and recovery targets are stated as design commitments here; Section 13 (Implementation Blueprint) formalizes them into service-level commitments.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6758"/>
      </w:tblGrid>
      <w:tr>
        <w:trPr>
          <w:tblHeader/>
        </w:trPr>
        <w:tc>
          <w:tcPr>
            <w:tcW w:type="dxa" w:w="3482"/>
            <w:shd w:fill="1F3864" w:val="clear"/>
            <w:tcMar>
              <w:top w:type="dxa" w:w="70"/>
              <w:left w:type="dxa" w:w="90"/>
              <w:bottom w:type="dxa" w:w="70"/>
              <w:right w:type="dxa" w:w="90"/>
            </w:tcMar>
            <w:vAlign w:val="top"/>
          </w:tcPr>
          <w:p>
            <w:r>
              <w:rPr>
                <w:b/>
                <w:bCs/>
                <w:color w:val="FFFFFF"/>
                <w:sz w:val="17"/>
                <w:szCs w:val="17"/>
              </w:rPr>
              <w:t xml:space="preserve">Parameter</w:t>
            </w:r>
          </w:p>
        </w:tc>
        <w:tc>
          <w:tcPr>
            <w:tcW w:type="dxa" w:w="6758"/>
            <w:shd w:fill="1F3864" w:val="clear"/>
            <w:tcMar>
              <w:top w:type="dxa" w:w="70"/>
              <w:left w:type="dxa" w:w="90"/>
              <w:bottom w:type="dxa" w:w="70"/>
              <w:right w:type="dxa" w:w="90"/>
            </w:tcMar>
            <w:vAlign w:val="top"/>
          </w:tcPr>
          <w:p>
            <w:r>
              <w:rPr>
                <w:b/>
                <w:bCs/>
                <w:color w:val="FFFFFF"/>
                <w:sz w:val="17"/>
                <w:szCs w:val="17"/>
              </w:rPr>
              <w:t xml:space="preserve">Target</w:t>
            </w:r>
          </w:p>
        </w:tc>
      </w:tr>
      <w:tr>
        <w:tc>
          <w:tcPr>
            <w:tcW w:type="dxa" w:w="3482"/>
            <w:tcMar>
              <w:top w:type="dxa" w:w="70"/>
              <w:left w:type="dxa" w:w="90"/>
              <w:bottom w:type="dxa" w:w="70"/>
              <w:right w:type="dxa" w:w="90"/>
            </w:tcMar>
            <w:vAlign w:val="top"/>
          </w:tcPr>
          <w:p>
            <w:r>
              <w:rPr>
                <w:b/>
                <w:bCs/>
                <w:color w:val="000000"/>
                <w:sz w:val="17"/>
                <w:szCs w:val="17"/>
              </w:rPr>
              <w:t xml:space="preserve">Backup frequency</w:t>
            </w:r>
          </w:p>
        </w:tc>
        <w:tc>
          <w:tcPr>
            <w:tcW w:type="dxa" w:w="6758"/>
            <w:tcMar>
              <w:top w:type="dxa" w:w="70"/>
              <w:left w:type="dxa" w:w="90"/>
              <w:bottom w:type="dxa" w:w="70"/>
              <w:right w:type="dxa" w:w="90"/>
            </w:tcMar>
            <w:vAlign w:val="top"/>
          </w:tcPr>
          <w:p>
            <w:r>
              <w:rPr>
                <w:b w:val="false"/>
                <w:bCs w:val="false"/>
                <w:color w:val="000000"/>
                <w:sz w:val="17"/>
                <w:szCs w:val="17"/>
              </w:rPr>
              <w:t xml:space="preserve">Daily incremental backup of all operational and content stores; weekly full backup.</w:t>
            </w:r>
          </w:p>
        </w:tc>
      </w:tr>
      <w:tr>
        <w:tc>
          <w:tcPr>
            <w:tcW w:type="dxa" w:w="3482"/>
            <w:tcMar>
              <w:top w:type="dxa" w:w="70"/>
              <w:left w:type="dxa" w:w="90"/>
              <w:bottom w:type="dxa" w:w="70"/>
              <w:right w:type="dxa" w:w="90"/>
            </w:tcMar>
            <w:vAlign w:val="top"/>
          </w:tcPr>
          <w:p>
            <w:r>
              <w:rPr>
                <w:b/>
                <w:bCs/>
                <w:color w:val="000000"/>
                <w:sz w:val="17"/>
                <w:szCs w:val="17"/>
              </w:rPr>
              <w:t xml:space="preserve">Backup retention</w:t>
            </w:r>
          </w:p>
        </w:tc>
        <w:tc>
          <w:tcPr>
            <w:tcW w:type="dxa" w:w="6758"/>
            <w:tcMar>
              <w:top w:type="dxa" w:w="70"/>
              <w:left w:type="dxa" w:w="90"/>
              <w:bottom w:type="dxa" w:w="70"/>
              <w:right w:type="dxa" w:w="90"/>
            </w:tcMar>
            <w:vAlign w:val="top"/>
          </w:tcPr>
          <w:p>
            <w:r>
              <w:rPr>
                <w:b w:val="false"/>
                <w:bCs w:val="false"/>
                <w:color w:val="000000"/>
                <w:sz w:val="17"/>
                <w:szCs w:val="17"/>
              </w:rPr>
              <w:t xml:space="preserve">Rolling 90-day retention of daily backups, aligned to the Short-term retention class (Section 5.18) as a floor, not a ceiling.</w:t>
            </w:r>
          </w:p>
        </w:tc>
      </w:tr>
      <w:tr>
        <w:tc>
          <w:tcPr>
            <w:tcW w:type="dxa" w:w="3482"/>
            <w:tcMar>
              <w:top w:type="dxa" w:w="70"/>
              <w:left w:type="dxa" w:w="90"/>
              <w:bottom w:type="dxa" w:w="70"/>
              <w:right w:type="dxa" w:w="90"/>
            </w:tcMar>
            <w:vAlign w:val="top"/>
          </w:tcPr>
          <w:p>
            <w:r>
              <w:rPr>
                <w:b/>
                <w:bCs/>
                <w:color w:val="000000"/>
                <w:sz w:val="17"/>
                <w:szCs w:val="17"/>
              </w:rPr>
              <w:t xml:space="preserve">Backup segregation</w:t>
            </w:r>
          </w:p>
        </w:tc>
        <w:tc>
          <w:tcPr>
            <w:tcW w:type="dxa" w:w="6758"/>
            <w:tcMar>
              <w:top w:type="dxa" w:w="70"/>
              <w:left w:type="dxa" w:w="90"/>
              <w:bottom w:type="dxa" w:w="70"/>
              <w:right w:type="dxa" w:w="90"/>
            </w:tcMar>
            <w:vAlign w:val="top"/>
          </w:tcPr>
          <w:p>
            <w:r>
              <w:rPr>
                <w:b w:val="false"/>
                <w:bCs w:val="false"/>
                <w:color w:val="000000"/>
                <w:sz w:val="17"/>
                <w:szCs w:val="17"/>
              </w:rPr>
              <w:t xml:space="preserve">Backups are stored separately from primary systems, consistent with standard resilience practice for donor-financed platforms.</w:t>
            </w:r>
          </w:p>
        </w:tc>
      </w:tr>
      <w:tr>
        <w:tc>
          <w:tcPr>
            <w:tcW w:type="dxa" w:w="3482"/>
            <w:tcMar>
              <w:top w:type="dxa" w:w="70"/>
              <w:left w:type="dxa" w:w="90"/>
              <w:bottom w:type="dxa" w:w="70"/>
              <w:right w:type="dxa" w:w="90"/>
            </w:tcMar>
            <w:vAlign w:val="top"/>
          </w:tcPr>
          <w:p>
            <w:r>
              <w:rPr>
                <w:b/>
                <w:bCs/>
                <w:color w:val="000000"/>
                <w:sz w:val="17"/>
                <w:szCs w:val="17"/>
              </w:rPr>
              <w:t xml:space="preserve">Recovery Point Objective (RPO)</w:t>
            </w:r>
          </w:p>
        </w:tc>
        <w:tc>
          <w:tcPr>
            <w:tcW w:type="dxa" w:w="6758"/>
            <w:tcMar>
              <w:top w:type="dxa" w:w="70"/>
              <w:left w:type="dxa" w:w="90"/>
              <w:bottom w:type="dxa" w:w="70"/>
              <w:right w:type="dxa" w:w="90"/>
            </w:tcMar>
            <w:vAlign w:val="top"/>
          </w:tcPr>
          <w:p>
            <w:r>
              <w:rPr>
                <w:b w:val="false"/>
                <w:bCs w:val="false"/>
                <w:color w:val="000000"/>
                <w:sz w:val="17"/>
                <w:szCs w:val="17"/>
              </w:rPr>
              <w:t xml:space="preserve">24 hours — the maximum acceptable data loss window in a failure scenario.</w:t>
            </w:r>
          </w:p>
        </w:tc>
      </w:tr>
      <w:tr>
        <w:tc>
          <w:tcPr>
            <w:tcW w:type="dxa" w:w="3482"/>
            <w:tcMar>
              <w:top w:type="dxa" w:w="70"/>
              <w:left w:type="dxa" w:w="90"/>
              <w:bottom w:type="dxa" w:w="70"/>
              <w:right w:type="dxa" w:w="90"/>
            </w:tcMar>
            <w:vAlign w:val="top"/>
          </w:tcPr>
          <w:p>
            <w:r>
              <w:rPr>
                <w:b/>
                <w:bCs/>
                <w:color w:val="000000"/>
                <w:sz w:val="17"/>
                <w:szCs w:val="17"/>
              </w:rPr>
              <w:t xml:space="preserve">Recovery Time Objective (RTO)</w:t>
            </w:r>
          </w:p>
        </w:tc>
        <w:tc>
          <w:tcPr>
            <w:tcW w:type="dxa" w:w="6758"/>
            <w:tcMar>
              <w:top w:type="dxa" w:w="70"/>
              <w:left w:type="dxa" w:w="90"/>
              <w:bottom w:type="dxa" w:w="70"/>
              <w:right w:type="dxa" w:w="90"/>
            </w:tcMar>
            <w:vAlign w:val="top"/>
          </w:tcPr>
          <w:p>
            <w:r>
              <w:rPr>
                <w:b w:val="false"/>
                <w:bCs w:val="false"/>
                <w:color w:val="000000"/>
                <w:sz w:val="17"/>
                <w:szCs w:val="17"/>
              </w:rPr>
              <w:t xml:space="preserve">8 business hours for the ESM and CKR core platforms, reflecting their status as Must Have applications (Section 3.2).</w:t>
            </w:r>
          </w:p>
        </w:tc>
      </w:tr>
      <w:tr>
        <w:tc>
          <w:tcPr>
            <w:tcW w:type="dxa" w:w="3482"/>
            <w:tcMar>
              <w:top w:type="dxa" w:w="70"/>
              <w:left w:type="dxa" w:w="90"/>
              <w:bottom w:type="dxa" w:w="70"/>
              <w:right w:type="dxa" w:w="90"/>
            </w:tcMar>
            <w:vAlign w:val="top"/>
          </w:tcPr>
          <w:p>
            <w:r>
              <w:rPr>
                <w:b/>
                <w:bCs/>
                <w:color w:val="000000"/>
                <w:sz w:val="17"/>
                <w:szCs w:val="17"/>
              </w:rPr>
              <w:t xml:space="preserve">Recovery testing</w:t>
            </w:r>
          </w:p>
        </w:tc>
        <w:tc>
          <w:tcPr>
            <w:tcW w:type="dxa" w:w="6758"/>
            <w:tcMar>
              <w:top w:type="dxa" w:w="70"/>
              <w:left w:type="dxa" w:w="90"/>
              <w:bottom w:type="dxa" w:w="70"/>
              <w:right w:type="dxa" w:w="90"/>
            </w:tcMar>
            <w:vAlign w:val="top"/>
          </w:tcPr>
          <w:p>
            <w:r>
              <w:rPr>
                <w:b w:val="false"/>
                <w:bCs w:val="false"/>
                <w:color w:val="000000"/>
                <w:sz w:val="17"/>
                <w:szCs w:val="17"/>
              </w:rPr>
              <w:t xml:space="preserve">Restore drills at least twice per year, with results logged to the Audit module (Section 4.4).</w:t>
            </w:r>
          </w:p>
        </w:tc>
      </w:tr>
    </w:tbl>
    <w:p>
      <w:pPr>
        <w:spacing w:after="160"/>
      </w:pPr>
    </w:p>
    <w:p>
      <w:pPr>
        <w:pStyle w:val="Heading1"/>
        <w:pBdr>
          <w:bottom w:val="single" w:color="1F3864" w:sz="6" w:space="4"/>
        </w:pBdr>
        <w:spacing w:after="130" w:before="320"/>
      </w:pPr>
      <w:r>
        <w:t xml:space="preserve">6.13 Analytics, Data Warehouse, Operational Database, Document Database, Search Index, and Caching</w:t>
      </w:r>
    </w:p>
    <w:p>
      <w:pPr>
        <w:spacing w:after="150" w:line="276"/>
        <w:jc w:val="both"/>
      </w:pPr>
      <w:r>
        <w:t xml:space="preserve">Six specific store-and-service concerns close the Data Architecture, each already introduced structurally in Section 6.4 and elaborated here to the level of detail Section 10's technology evaluation requires as input.</w:t>
      </w:r>
    </w:p>
    <w:p>
      <w:pPr>
        <w:pStyle w:val="Heading2"/>
        <w:spacing w:after="70" w:before="200"/>
      </w:pPr>
      <w:r>
        <w:t xml:space="preserve">Analytics</w:t>
      </w:r>
    </w:p>
    <w:p>
      <w:pPr>
        <w:spacing w:after="150" w:line="276"/>
        <w:jc w:val="both"/>
      </w:pPr>
      <w:r>
        <w:t xml:space="preserve">The Analytics store is read-optimized and deliberately decoupled from the operational database, so that a state team submitting a document never competes for database capacity with a donor pulling a supervision-mission report. It is refreshed on the schedule fixed in the Operational-to-Analytics pipeline (Section 6.5).</w:t>
      </w:r>
    </w:p>
    <w:p>
      <w:pPr>
        <w:pStyle w:val="Heading2"/>
        <w:spacing w:after="70" w:before="200"/>
      </w:pPr>
      <w:r>
        <w:t xml:space="preserve">Data Warehouse</w:t>
      </w:r>
    </w:p>
    <w:p>
      <w:pPr>
        <w:spacing w:after="150" w:line="276"/>
        <w:jc w:val="both"/>
      </w:pPr>
      <w:r>
        <w:t xml:space="preserve">A lightweight reporting warehouse — a query-optimized schema over aggregated KPI and status data, rather than a large-scale enterprise data warehouse — is the Phase 1 baseline, sized to the TOR's own Section 10 KPI set. A fuller data warehouse, supporting the deeper predictive analytics named in Section 9 (AI Strategy), is a Phase 2 consideration, consistent with the Should Have/Could Have boundary fixed in Section 3.2.</w:t>
      </w:r>
    </w:p>
    <w:p>
      <w:pPr>
        <w:pStyle w:val="Heading2"/>
        <w:spacing w:after="70" w:before="200"/>
      </w:pPr>
      <w:r>
        <w:t xml:space="preserve">Operational Database</w:t>
      </w:r>
    </w:p>
    <w:p>
      <w:pPr>
        <w:spacing w:after="150" w:line="276"/>
        <w:jc w:val="both"/>
      </w:pPr>
      <w:r>
        <w:t xml:space="preserve">The relational operational database is the system of record for Programme, Workflow, Governance, and Identity Data (Section 6.3). It is the store with the strongest consistency requirement in the architecture, since a workflow approval or an identity change cannot tolerate eventual consistency without undermining the audit trail the TOR itself requires.</w:t>
      </w:r>
    </w:p>
    <w:p>
      <w:pPr>
        <w:pStyle w:val="Heading2"/>
        <w:spacing w:after="70" w:before="200"/>
      </w:pPr>
      <w:r>
        <w:t xml:space="preserve">Document Database</w:t>
      </w:r>
    </w:p>
    <w:p>
      <w:pPr>
        <w:spacing w:after="150" w:line="276"/>
        <w:jc w:val="both"/>
      </w:pPr>
      <w:r>
        <w:t xml:space="preserve">The document-oriented content store underlies the configured ECM (ESM) and CMS (CKR) platforms (Section 3.4), chosen specifically because Content and Knowledge Data (Section 6.3) have a variable schema by content type — a Procurement Record and a Case Study share the common metadata schema (Section 5.4) but differ in body structure, which a rigid relational schema would handle poorly.</w:t>
      </w:r>
    </w:p>
    <w:p>
      <w:pPr>
        <w:pStyle w:val="Heading2"/>
        <w:spacing w:after="70" w:before="200"/>
      </w:pPr>
      <w:r>
        <w:t xml:space="preserve">Search Index</w:t>
      </w:r>
    </w:p>
    <w:p>
      <w:pPr>
        <w:spacing w:after="150" w:line="276"/>
        <w:jc w:val="both"/>
      </w:pPr>
      <w:r>
        <w:t xml:space="preserve">The search index is a read-optimized, denormalized copy of Content and Knowledge Data, rebuilt or updated through the Content-to-Search-Index pipeline (Section 6.5). It exists as two logically separate indexes — one per system — enforcing the same ESM/CKR access boundary at the data layer that Section 5.17 fixes as a search-strategy principle.</w:t>
      </w:r>
    </w:p>
    <w:p>
      <w:pPr>
        <w:pStyle w:val="Heading2"/>
        <w:spacing w:after="70" w:before="200"/>
      </w:pPr>
      <w:r>
        <w:t xml:space="preserve">Caching</w:t>
      </w:r>
    </w:p>
    <w:p>
      <w:pPr>
        <w:spacing w:after="150" w:line="276"/>
        <w:jc w:val="both"/>
      </w:pPr>
      <w:r>
        <w:t xml:space="preserve">A caching layer sits in front of the Analytics store and the Public Portal (Section 4.3, module 13) specifically, improving response time for frequently accessed dashboards and public CKR content under the real network variability across seven states and the FCT acknowledged in the Digital Government Principles (Section 1.7). Caching is not applied to Workflow or Approvals data, where currency matters more than response time.</w:t>
      </w:r>
    </w:p>
    <w:p>
      <w:pPr>
        <w:pStyle w:val="Heading1"/>
        <w:pBdr>
          <w:bottom w:val="single" w:color="1F3864" w:sz="6" w:space="4"/>
        </w:pBdr>
        <w:spacing w:after="130" w:before="320"/>
      </w:pPr>
      <w:r>
        <w:t xml:space="preserve">6.14 Transition to Section 7</w:t>
      </w:r>
    </w:p>
    <w:p>
      <w:pPr>
        <w:spacing w:after="150" w:line="276"/>
        <w:jc w:val="both"/>
      </w:pPr>
      <w:r>
        <w:t xml:space="preserve">Section 7 (Integration Architecture) takes the Integration &amp; API Gateway introduced in Section 3 and the data-integration principle fixed in Section 6.7 and specifies every integration point in full — protocols, authentication, and the specific external systems and standards this architecture connects to.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60" w:before="18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2026-07-18T07:41:56.700Z</dcterms:created>
  <dcterms:modified xsi:type="dcterms:W3CDTF">2026-07-18T07:41:56.700Z</dcterms:modified>
</cp:coreProperties>
</file>

<file path=docProps/custom.xml><?xml version="1.0" encoding="utf-8"?>
<Properties xmlns="http://schemas.openxmlformats.org/officeDocument/2006/custom-properties" xmlns:vt="http://schemas.openxmlformats.org/officeDocument/2006/docPropsVTypes"/>
</file>