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7 of 16 — Integration Architecture</w:t>
      </w:r>
    </w:p>
    <w:p>
      <w:pPr>
        <w:spacing w:after="260"/>
        <w:jc w:val="center"/>
      </w:pPr>
      <w:r>
        <w:rPr>
          <w:i/>
          <w:iCs/>
          <w:color w:val="555555"/>
          <w:sz w:val="19"/>
          <w:szCs w:val="19"/>
        </w:rPr>
        <w:t xml:space="preserve">Prepared for the SAPZ National Programme Coordination Office — Consultant: Ahmed Babajide Olanrewaju</w:t>
      </w:r>
    </w:p>
    <w:p>
      <w:pPr>
        <w:spacing w:after="150" w:line="276"/>
        <w:jc w:val="both"/>
      </w:pPr>
      <w:r>
        <w:t xml:space="preserve">This section specifies every integration point the ESM/CKR architecture connects to — protocols, authentication, and the specific external systems and standards involved — building directly on the Integration &amp; API Gateway identified in Section 3.3 (application #7) and the data-integration principle fixed in Section 6.7. Eleven integration points cover every system and standard named in the governing prompt, several consolidated where they share a single underlying mechanism (Email and SMS as notification channels; REST, GraphQL, and Webhooks as API standards, not separate integration points).</w:t>
      </w:r>
    </w:p>
    <w:p>
      <w:pPr>
        <w:pStyle w:val="Heading1"/>
        <w:pBdr>
          <w:bottom w:val="single" w:color="1F3864" w:sz="6" w:space="4"/>
        </w:pBdr>
        <w:spacing w:after="130" w:before="320"/>
      </w:pPr>
      <w:r>
        <w:t xml:space="preserve">7.1 Integration Pattern and Topology</w:t>
      </w:r>
    </w:p>
    <w:p>
      <w:pPr>
        <w:spacing w:after="150" w:line="276"/>
        <w:jc w:val="both"/>
      </w:pPr>
      <w:r>
        <w:t xml:space="preserve">A hub-and-spoke topology governs every integration in this architecture: the Integration &amp; API Gateway is the single hub, and every external system is a spoke connected through it, never directly to ESM's or CKR's core data stores. This is the direct topological expression of the 'connect at the edges, not the core' principle fixed in Section 3.5 and Section 6.7, and it is what prevents the point-to-point integration sprawl that would otherwise make the Governance Charter's oversight of integration points unenforceable in practice — a hub-and-spoke topology has a fixed, enumerable set of integration points; a point-to-point mesh does not.</w:t>
      </w:r>
    </w:p>
    <w:p>
      <w:pPr>
        <w:spacing w:after="150" w:line="276"/>
        <w:jc w:val="both"/>
      </w:pPr>
      <w:r>
        <w:t xml:space="preserve">Two exchange patterns are used, selected per integration point rather than applied uniformly: synchronous REST calls for integrations requiring an immediate response (for example, an authentication check), and asynchronous event-driven webhooks for integrations where the receiving system should be notified of a change without the originating action waiting on it (for example, notifying the SAPZ Public Website that new CKR content has been published). This mirrors the real-time-versus-batch distinction already established for data pipelines in Section 6.5.</w:t>
      </w:r>
    </w:p>
    <w:p>
      <w:pPr>
        <w:pStyle w:val="Heading1"/>
        <w:pBdr>
          <w:bottom w:val="single" w:color="1F3864" w:sz="6" w:space="4"/>
        </w:pBdr>
        <w:spacing w:after="130" w:before="320"/>
      </w:pPr>
      <w:r>
        <w:t xml:space="preserve">7.2 Integration Point Inventory</w:t>
      </w:r>
    </w:p>
    <w:p>
      <w:pPr>
        <w:spacing w:after="150" w:line="276"/>
        <w:jc w:val="both"/>
      </w:pPr>
      <w:r>
        <w:t xml:space="preserve">Eleven integration points, each profiled in full in Sections 7.3–7.4, are inventoried here against direction, protocol, and priority using the same MoSCoW scale applied throughout this Blueprint (Section 3.2).</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
        <w:gridCol w:w="2867"/>
        <w:gridCol w:w="1946"/>
        <w:gridCol w:w="2867"/>
        <w:gridCol w:w="2048"/>
      </w:tblGrid>
      <w:tr>
        <w:trPr>
          <w:tblHeader/>
        </w:trPr>
        <w:tc>
          <w:tcPr>
            <w:tcW w:type="dxa" w:w="512"/>
            <w:shd w:fill="1F3864" w:val="clear"/>
            <w:tcMar>
              <w:top w:type="dxa" w:w="70"/>
              <w:left w:type="dxa" w:w="90"/>
              <w:bottom w:type="dxa" w:w="70"/>
              <w:right w:type="dxa" w:w="90"/>
            </w:tcMar>
            <w:vAlign w:val="top"/>
          </w:tcPr>
          <w:p>
            <w:r>
              <w:rPr>
                <w:b/>
                <w:bCs/>
                <w:color w:val="FFFFFF"/>
                <w:sz w:val="17"/>
                <w:szCs w:val="17"/>
              </w:rPr>
              <w:t xml:space="preserve">#</w:t>
            </w:r>
          </w:p>
        </w:tc>
        <w:tc>
          <w:tcPr>
            <w:tcW w:type="dxa" w:w="2867"/>
            <w:shd w:fill="1F3864" w:val="clear"/>
            <w:tcMar>
              <w:top w:type="dxa" w:w="70"/>
              <w:left w:type="dxa" w:w="90"/>
              <w:bottom w:type="dxa" w:w="70"/>
              <w:right w:type="dxa" w:w="90"/>
            </w:tcMar>
            <w:vAlign w:val="top"/>
          </w:tcPr>
          <w:p>
            <w:r>
              <w:rPr>
                <w:b/>
                <w:bCs/>
                <w:color w:val="FFFFFF"/>
                <w:sz w:val="17"/>
                <w:szCs w:val="17"/>
              </w:rPr>
              <w:t xml:space="preserve">Integration Point</w:t>
            </w:r>
          </w:p>
        </w:tc>
        <w:tc>
          <w:tcPr>
            <w:tcW w:type="dxa" w:w="1946"/>
            <w:shd w:fill="1F3864" w:val="clear"/>
            <w:tcMar>
              <w:top w:type="dxa" w:w="70"/>
              <w:left w:type="dxa" w:w="90"/>
              <w:bottom w:type="dxa" w:w="70"/>
              <w:right w:type="dxa" w:w="90"/>
            </w:tcMar>
            <w:vAlign w:val="top"/>
          </w:tcPr>
          <w:p>
            <w:r>
              <w:rPr>
                <w:b/>
                <w:bCs/>
                <w:color w:val="FFFFFF"/>
                <w:sz w:val="17"/>
                <w:szCs w:val="17"/>
              </w:rPr>
              <w:t xml:space="preserve">Direction</w:t>
            </w:r>
          </w:p>
        </w:tc>
        <w:tc>
          <w:tcPr>
            <w:tcW w:type="dxa" w:w="2867"/>
            <w:shd w:fill="1F3864" w:val="clear"/>
            <w:tcMar>
              <w:top w:type="dxa" w:w="70"/>
              <w:left w:type="dxa" w:w="90"/>
              <w:bottom w:type="dxa" w:w="70"/>
              <w:right w:type="dxa" w:w="90"/>
            </w:tcMar>
            <w:vAlign w:val="top"/>
          </w:tcPr>
          <w:p>
            <w:r>
              <w:rPr>
                <w:b/>
                <w:bCs/>
                <w:color w:val="FFFFFF"/>
                <w:sz w:val="17"/>
                <w:szCs w:val="17"/>
              </w:rPr>
              <w:t xml:space="preserve">Primary Protocol</w:t>
            </w:r>
          </w:p>
        </w:tc>
        <w:tc>
          <w:tcPr>
            <w:tcW w:type="dxa" w:w="2048"/>
            <w:shd w:fill="1F3864" w:val="clear"/>
            <w:tcMar>
              <w:top w:type="dxa" w:w="70"/>
              <w:left w:type="dxa" w:w="90"/>
              <w:bottom w:type="dxa" w:w="70"/>
              <w:right w:type="dxa" w:w="90"/>
            </w:tcMar>
            <w:vAlign w:val="top"/>
          </w:tcPr>
          <w:p>
            <w:r>
              <w:rPr>
                <w:b/>
                <w:bCs/>
                <w:color w:val="FFFFFF"/>
                <w:sz w:val="17"/>
                <w:szCs w:val="17"/>
              </w:rPr>
              <w:t xml:space="preserve">Priority</w:t>
            </w:r>
          </w:p>
        </w:tc>
      </w:tr>
      <w:tr>
        <w:tc>
          <w:tcPr>
            <w:tcW w:type="dxa" w:w="512"/>
            <w:tcMar>
              <w:top w:type="dxa" w:w="70"/>
              <w:left w:type="dxa" w:w="90"/>
              <w:bottom w:type="dxa" w:w="70"/>
              <w:right w:type="dxa" w:w="90"/>
            </w:tcMar>
            <w:vAlign w:val="top"/>
          </w:tcPr>
          <w:p>
            <w:r>
              <w:rPr>
                <w:b/>
                <w:bCs/>
                <w:color w:val="000000"/>
                <w:sz w:val="16"/>
                <w:szCs w:val="16"/>
              </w:rPr>
              <w:t xml:space="preserve">1</w:t>
            </w:r>
          </w:p>
        </w:tc>
        <w:tc>
          <w:tcPr>
            <w:tcW w:type="dxa" w:w="2867"/>
            <w:tcMar>
              <w:top w:type="dxa" w:w="70"/>
              <w:left w:type="dxa" w:w="90"/>
              <w:bottom w:type="dxa" w:w="70"/>
              <w:right w:type="dxa" w:w="90"/>
            </w:tcMar>
            <w:vAlign w:val="top"/>
          </w:tcPr>
          <w:p>
            <w:r>
              <w:rPr>
                <w:b w:val="false"/>
                <w:bCs w:val="false"/>
                <w:color w:val="000000"/>
                <w:sz w:val="16"/>
                <w:szCs w:val="16"/>
              </w:rPr>
              <w:t xml:space="preserve">SAPZ Public Website</w:t>
            </w:r>
          </w:p>
        </w:tc>
        <w:tc>
          <w:tcPr>
            <w:tcW w:type="dxa" w:w="1946"/>
            <w:tcMar>
              <w:top w:type="dxa" w:w="70"/>
              <w:left w:type="dxa" w:w="90"/>
              <w:bottom w:type="dxa" w:w="70"/>
              <w:right w:type="dxa" w:w="90"/>
            </w:tcMar>
            <w:vAlign w:val="top"/>
          </w:tcPr>
          <w:p>
            <w:r>
              <w:rPr>
                <w:b w:val="false"/>
                <w:bCs w:val="false"/>
                <w:color w:val="000000"/>
                <w:sz w:val="16"/>
                <w:szCs w:val="16"/>
              </w:rPr>
              <w:t xml:space="preserve">Outbound (CKR → Website)</w:t>
            </w:r>
          </w:p>
        </w:tc>
        <w:tc>
          <w:tcPr>
            <w:tcW w:type="dxa" w:w="2867"/>
            <w:tcMar>
              <w:top w:type="dxa" w:w="70"/>
              <w:left w:type="dxa" w:w="90"/>
              <w:bottom w:type="dxa" w:w="70"/>
              <w:right w:type="dxa" w:w="90"/>
            </w:tcMar>
            <w:vAlign w:val="top"/>
          </w:tcPr>
          <w:p>
            <w:r>
              <w:rPr>
                <w:b w:val="false"/>
                <w:bCs w:val="false"/>
                <w:color w:val="000000"/>
                <w:sz w:val="16"/>
                <w:szCs w:val="16"/>
              </w:rPr>
              <w:t xml:space="preserve">REST / Webhook</w:t>
            </w:r>
          </w:p>
        </w:tc>
        <w:tc>
          <w:tcPr>
            <w:tcW w:type="dxa" w:w="2048"/>
            <w:tcMar>
              <w:top w:type="dxa" w:w="70"/>
              <w:left w:type="dxa" w:w="90"/>
              <w:bottom w:type="dxa" w:w="70"/>
              <w:right w:type="dxa" w:w="90"/>
            </w:tcMar>
            <w:vAlign w:val="top"/>
          </w:tcPr>
          <w:p>
            <w:r>
              <w:rPr>
                <w:b w:val="false"/>
                <w:bCs w:val="false"/>
                <w:color w:val="000000"/>
                <w:sz w:val="16"/>
                <w:szCs w:val="16"/>
              </w:rPr>
              <w:t xml:space="preserve">Must Have</w:t>
            </w:r>
          </w:p>
        </w:tc>
      </w:tr>
      <w:tr>
        <w:tc>
          <w:tcPr>
            <w:tcW w:type="dxa" w:w="512"/>
            <w:tcMar>
              <w:top w:type="dxa" w:w="70"/>
              <w:left w:type="dxa" w:w="90"/>
              <w:bottom w:type="dxa" w:w="70"/>
              <w:right w:type="dxa" w:w="90"/>
            </w:tcMar>
            <w:vAlign w:val="top"/>
          </w:tcPr>
          <w:p>
            <w:r>
              <w:rPr>
                <w:b/>
                <w:bCs/>
                <w:color w:val="000000"/>
                <w:sz w:val="16"/>
                <w:szCs w:val="16"/>
              </w:rPr>
              <w:t xml:space="preserve">2</w:t>
            </w:r>
          </w:p>
        </w:tc>
        <w:tc>
          <w:tcPr>
            <w:tcW w:type="dxa" w:w="2867"/>
            <w:tcMar>
              <w:top w:type="dxa" w:w="70"/>
              <w:left w:type="dxa" w:w="90"/>
              <w:bottom w:type="dxa" w:w="70"/>
              <w:right w:type="dxa" w:w="90"/>
            </w:tcMar>
            <w:vAlign w:val="top"/>
          </w:tcPr>
          <w:p>
            <w:r>
              <w:rPr>
                <w:b w:val="false"/>
                <w:bCs w:val="false"/>
                <w:color w:val="000000"/>
                <w:sz w:val="16"/>
                <w:szCs w:val="16"/>
              </w:rPr>
              <w:t xml:space="preserve">Authentication &amp; Identity Providers</w:t>
            </w:r>
          </w:p>
        </w:tc>
        <w:tc>
          <w:tcPr>
            <w:tcW w:type="dxa" w:w="1946"/>
            <w:tcMar>
              <w:top w:type="dxa" w:w="70"/>
              <w:left w:type="dxa" w:w="90"/>
              <w:bottom w:type="dxa" w:w="70"/>
              <w:right w:type="dxa" w:w="90"/>
            </w:tcMar>
            <w:vAlign w:val="top"/>
          </w:tcPr>
          <w:p>
            <w:r>
              <w:rPr>
                <w:b w:val="false"/>
                <w:bCs w:val="false"/>
                <w:color w:val="000000"/>
                <w:sz w:val="16"/>
                <w:szCs w:val="16"/>
              </w:rPr>
              <w:t xml:space="preserve">Bidirectional</w:t>
            </w:r>
          </w:p>
        </w:tc>
        <w:tc>
          <w:tcPr>
            <w:tcW w:type="dxa" w:w="2867"/>
            <w:tcMar>
              <w:top w:type="dxa" w:w="70"/>
              <w:left w:type="dxa" w:w="90"/>
              <w:bottom w:type="dxa" w:w="70"/>
              <w:right w:type="dxa" w:w="90"/>
            </w:tcMar>
            <w:vAlign w:val="top"/>
          </w:tcPr>
          <w:p>
            <w:r>
              <w:rPr>
                <w:b w:val="false"/>
                <w:bCs w:val="false"/>
                <w:color w:val="000000"/>
                <w:sz w:val="16"/>
                <w:szCs w:val="16"/>
              </w:rPr>
              <w:t xml:space="preserve">OAuth 2.0 / SAML</w:t>
            </w:r>
          </w:p>
        </w:tc>
        <w:tc>
          <w:tcPr>
            <w:tcW w:type="dxa" w:w="2048"/>
            <w:tcMar>
              <w:top w:type="dxa" w:w="70"/>
              <w:left w:type="dxa" w:w="90"/>
              <w:bottom w:type="dxa" w:w="70"/>
              <w:right w:type="dxa" w:w="90"/>
            </w:tcMar>
            <w:vAlign w:val="top"/>
          </w:tcPr>
          <w:p>
            <w:r>
              <w:rPr>
                <w:b w:val="false"/>
                <w:bCs w:val="false"/>
                <w:color w:val="000000"/>
                <w:sz w:val="16"/>
                <w:szCs w:val="16"/>
              </w:rPr>
              <w:t xml:space="preserve">Must Have</w:t>
            </w:r>
          </w:p>
        </w:tc>
      </w:tr>
      <w:tr>
        <w:tc>
          <w:tcPr>
            <w:tcW w:type="dxa" w:w="512"/>
            <w:tcMar>
              <w:top w:type="dxa" w:w="70"/>
              <w:left w:type="dxa" w:w="90"/>
              <w:bottom w:type="dxa" w:w="70"/>
              <w:right w:type="dxa" w:w="90"/>
            </w:tcMar>
            <w:vAlign w:val="top"/>
          </w:tcPr>
          <w:p>
            <w:r>
              <w:rPr>
                <w:b/>
                <w:bCs/>
                <w:color w:val="000000"/>
                <w:sz w:val="16"/>
                <w:szCs w:val="16"/>
              </w:rPr>
              <w:t xml:space="preserve">3</w:t>
            </w:r>
          </w:p>
        </w:tc>
        <w:tc>
          <w:tcPr>
            <w:tcW w:type="dxa" w:w="2867"/>
            <w:tcMar>
              <w:top w:type="dxa" w:w="70"/>
              <w:left w:type="dxa" w:w="90"/>
              <w:bottom w:type="dxa" w:w="70"/>
              <w:right w:type="dxa" w:w="90"/>
            </w:tcMar>
            <w:vAlign w:val="top"/>
          </w:tcPr>
          <w:p>
            <w:r>
              <w:rPr>
                <w:b w:val="false"/>
                <w:bCs w:val="false"/>
                <w:color w:val="000000"/>
                <w:sz w:val="16"/>
                <w:szCs w:val="16"/>
              </w:rPr>
              <w:t xml:space="preserve">Email Gateway</w:t>
            </w:r>
          </w:p>
        </w:tc>
        <w:tc>
          <w:tcPr>
            <w:tcW w:type="dxa" w:w="1946"/>
            <w:tcMar>
              <w:top w:type="dxa" w:w="70"/>
              <w:left w:type="dxa" w:w="90"/>
              <w:bottom w:type="dxa" w:w="70"/>
              <w:right w:type="dxa" w:w="90"/>
            </w:tcMar>
            <w:vAlign w:val="top"/>
          </w:tcPr>
          <w:p>
            <w:r>
              <w:rPr>
                <w:b w:val="false"/>
                <w:bCs w:val="false"/>
                <w:color w:val="000000"/>
                <w:sz w:val="16"/>
                <w:szCs w:val="16"/>
              </w:rPr>
              <w:t xml:space="preserve">Outbound</w:t>
            </w:r>
          </w:p>
        </w:tc>
        <w:tc>
          <w:tcPr>
            <w:tcW w:type="dxa" w:w="2867"/>
            <w:tcMar>
              <w:top w:type="dxa" w:w="70"/>
              <w:left w:type="dxa" w:w="90"/>
              <w:bottom w:type="dxa" w:w="70"/>
              <w:right w:type="dxa" w:w="90"/>
            </w:tcMar>
            <w:vAlign w:val="top"/>
          </w:tcPr>
          <w:p>
            <w:r>
              <w:rPr>
                <w:b w:val="false"/>
                <w:bCs w:val="false"/>
                <w:color w:val="000000"/>
                <w:sz w:val="16"/>
                <w:szCs w:val="16"/>
              </w:rPr>
              <w:t xml:space="preserve">SMTP / REST API</w:t>
            </w:r>
          </w:p>
        </w:tc>
        <w:tc>
          <w:tcPr>
            <w:tcW w:type="dxa" w:w="2048"/>
            <w:tcMar>
              <w:top w:type="dxa" w:w="70"/>
              <w:left w:type="dxa" w:w="90"/>
              <w:bottom w:type="dxa" w:w="70"/>
              <w:right w:type="dxa" w:w="90"/>
            </w:tcMar>
            <w:vAlign w:val="top"/>
          </w:tcPr>
          <w:p>
            <w:r>
              <w:rPr>
                <w:b w:val="false"/>
                <w:bCs w:val="false"/>
                <w:color w:val="000000"/>
                <w:sz w:val="16"/>
                <w:szCs w:val="16"/>
              </w:rPr>
              <w:t xml:space="preserve">Must Have</w:t>
            </w:r>
          </w:p>
        </w:tc>
      </w:tr>
      <w:tr>
        <w:tc>
          <w:tcPr>
            <w:tcW w:type="dxa" w:w="512"/>
            <w:tcMar>
              <w:top w:type="dxa" w:w="70"/>
              <w:left w:type="dxa" w:w="90"/>
              <w:bottom w:type="dxa" w:w="70"/>
              <w:right w:type="dxa" w:w="90"/>
            </w:tcMar>
            <w:vAlign w:val="top"/>
          </w:tcPr>
          <w:p>
            <w:r>
              <w:rPr>
                <w:b/>
                <w:bCs/>
                <w:color w:val="000000"/>
                <w:sz w:val="16"/>
                <w:szCs w:val="16"/>
              </w:rPr>
              <w:t xml:space="preserve">4</w:t>
            </w:r>
          </w:p>
        </w:tc>
        <w:tc>
          <w:tcPr>
            <w:tcW w:type="dxa" w:w="2867"/>
            <w:tcMar>
              <w:top w:type="dxa" w:w="70"/>
              <w:left w:type="dxa" w:w="90"/>
              <w:bottom w:type="dxa" w:w="70"/>
              <w:right w:type="dxa" w:w="90"/>
            </w:tcMar>
            <w:vAlign w:val="top"/>
          </w:tcPr>
          <w:p>
            <w:r>
              <w:rPr>
                <w:b w:val="false"/>
                <w:bCs w:val="false"/>
                <w:color w:val="000000"/>
                <w:sz w:val="16"/>
                <w:szCs w:val="16"/>
              </w:rPr>
              <w:t xml:space="preserve">SMS Gateway</w:t>
            </w:r>
          </w:p>
        </w:tc>
        <w:tc>
          <w:tcPr>
            <w:tcW w:type="dxa" w:w="1946"/>
            <w:tcMar>
              <w:top w:type="dxa" w:w="70"/>
              <w:left w:type="dxa" w:w="90"/>
              <w:bottom w:type="dxa" w:w="70"/>
              <w:right w:type="dxa" w:w="90"/>
            </w:tcMar>
            <w:vAlign w:val="top"/>
          </w:tcPr>
          <w:p>
            <w:r>
              <w:rPr>
                <w:b w:val="false"/>
                <w:bCs w:val="false"/>
                <w:color w:val="000000"/>
                <w:sz w:val="16"/>
                <w:szCs w:val="16"/>
              </w:rPr>
              <w:t xml:space="preserve">Outbound</w:t>
            </w:r>
          </w:p>
        </w:tc>
        <w:tc>
          <w:tcPr>
            <w:tcW w:type="dxa" w:w="2867"/>
            <w:tcMar>
              <w:top w:type="dxa" w:w="70"/>
              <w:left w:type="dxa" w:w="90"/>
              <w:bottom w:type="dxa" w:w="70"/>
              <w:right w:type="dxa" w:w="90"/>
            </w:tcMar>
            <w:vAlign w:val="top"/>
          </w:tcPr>
          <w:p>
            <w:r>
              <w:rPr>
                <w:b w:val="false"/>
                <w:bCs w:val="false"/>
                <w:color w:val="000000"/>
                <w:sz w:val="16"/>
                <w:szCs w:val="16"/>
              </w:rPr>
              <w:t xml:space="preserve">REST API</w:t>
            </w:r>
          </w:p>
        </w:tc>
        <w:tc>
          <w:tcPr>
            <w:tcW w:type="dxa" w:w="2048"/>
            <w:tcMar>
              <w:top w:type="dxa" w:w="70"/>
              <w:left w:type="dxa" w:w="90"/>
              <w:bottom w:type="dxa" w:w="70"/>
              <w:right w:type="dxa" w:w="90"/>
            </w:tcMar>
            <w:vAlign w:val="top"/>
          </w:tcPr>
          <w:p>
            <w:r>
              <w:rPr>
                <w:b w:val="false"/>
                <w:bCs w:val="false"/>
                <w:color w:val="000000"/>
                <w:sz w:val="16"/>
                <w:szCs w:val="16"/>
              </w:rPr>
              <w:t xml:space="preserve">Should Have</w:t>
            </w:r>
          </w:p>
        </w:tc>
      </w:tr>
      <w:tr>
        <w:tc>
          <w:tcPr>
            <w:tcW w:type="dxa" w:w="512"/>
            <w:tcMar>
              <w:top w:type="dxa" w:w="70"/>
              <w:left w:type="dxa" w:w="90"/>
              <w:bottom w:type="dxa" w:w="70"/>
              <w:right w:type="dxa" w:w="90"/>
            </w:tcMar>
            <w:vAlign w:val="top"/>
          </w:tcPr>
          <w:p>
            <w:r>
              <w:rPr>
                <w:b/>
                <w:bCs/>
                <w:color w:val="000000"/>
                <w:sz w:val="16"/>
                <w:szCs w:val="16"/>
              </w:rPr>
              <w:t xml:space="preserve">5</w:t>
            </w:r>
          </w:p>
        </w:tc>
        <w:tc>
          <w:tcPr>
            <w:tcW w:type="dxa" w:w="2867"/>
            <w:tcMar>
              <w:top w:type="dxa" w:w="70"/>
              <w:left w:type="dxa" w:w="90"/>
              <w:bottom w:type="dxa" w:w="70"/>
              <w:right w:type="dxa" w:w="90"/>
            </w:tcMar>
            <w:vAlign w:val="top"/>
          </w:tcPr>
          <w:p>
            <w:r>
              <w:rPr>
                <w:b w:val="false"/>
                <w:bCs w:val="false"/>
                <w:color w:val="000000"/>
                <w:sz w:val="16"/>
                <w:szCs w:val="16"/>
              </w:rPr>
              <w:t xml:space="preserve">Geographic Information System (GIS)</w:t>
            </w:r>
          </w:p>
        </w:tc>
        <w:tc>
          <w:tcPr>
            <w:tcW w:type="dxa" w:w="1946"/>
            <w:tcMar>
              <w:top w:type="dxa" w:w="70"/>
              <w:left w:type="dxa" w:w="90"/>
              <w:bottom w:type="dxa" w:w="70"/>
              <w:right w:type="dxa" w:w="90"/>
            </w:tcMar>
            <w:vAlign w:val="top"/>
          </w:tcPr>
          <w:p>
            <w:r>
              <w:rPr>
                <w:b w:val="false"/>
                <w:bCs w:val="false"/>
                <w:color w:val="000000"/>
                <w:sz w:val="16"/>
                <w:szCs w:val="16"/>
              </w:rPr>
              <w:t xml:space="preserve">Outbound (data → map view)</w:t>
            </w:r>
          </w:p>
        </w:tc>
        <w:tc>
          <w:tcPr>
            <w:tcW w:type="dxa" w:w="2867"/>
            <w:tcMar>
              <w:top w:type="dxa" w:w="70"/>
              <w:left w:type="dxa" w:w="90"/>
              <w:bottom w:type="dxa" w:w="70"/>
              <w:right w:type="dxa" w:w="90"/>
            </w:tcMar>
            <w:vAlign w:val="top"/>
          </w:tcPr>
          <w:p>
            <w:r>
              <w:rPr>
                <w:b w:val="false"/>
                <w:bCs w:val="false"/>
                <w:color w:val="000000"/>
                <w:sz w:val="16"/>
                <w:szCs w:val="16"/>
              </w:rPr>
              <w:t xml:space="preserve">REST / GeoJSON</w:t>
            </w:r>
          </w:p>
        </w:tc>
        <w:tc>
          <w:tcPr>
            <w:tcW w:type="dxa" w:w="2048"/>
            <w:tcMar>
              <w:top w:type="dxa" w:w="70"/>
              <w:left w:type="dxa" w:w="90"/>
              <w:bottom w:type="dxa" w:w="70"/>
              <w:right w:type="dxa" w:w="90"/>
            </w:tcMar>
            <w:vAlign w:val="top"/>
          </w:tcPr>
          <w:p>
            <w:r>
              <w:rPr>
                <w:b w:val="false"/>
                <w:bCs w:val="false"/>
                <w:color w:val="000000"/>
                <w:sz w:val="16"/>
                <w:szCs w:val="16"/>
              </w:rPr>
              <w:t xml:space="preserve">Should Have</w:t>
            </w:r>
          </w:p>
        </w:tc>
      </w:tr>
      <w:tr>
        <w:tc>
          <w:tcPr>
            <w:tcW w:type="dxa" w:w="512"/>
            <w:tcMar>
              <w:top w:type="dxa" w:w="70"/>
              <w:left w:type="dxa" w:w="90"/>
              <w:bottom w:type="dxa" w:w="70"/>
              <w:right w:type="dxa" w:w="90"/>
            </w:tcMar>
            <w:vAlign w:val="top"/>
          </w:tcPr>
          <w:p>
            <w:r>
              <w:rPr>
                <w:b/>
                <w:bCs/>
                <w:color w:val="000000"/>
                <w:sz w:val="16"/>
                <w:szCs w:val="16"/>
              </w:rPr>
              <w:t xml:space="preserve">6</w:t>
            </w:r>
          </w:p>
        </w:tc>
        <w:tc>
          <w:tcPr>
            <w:tcW w:type="dxa" w:w="2867"/>
            <w:tcMar>
              <w:top w:type="dxa" w:w="70"/>
              <w:left w:type="dxa" w:w="90"/>
              <w:bottom w:type="dxa" w:w="70"/>
              <w:right w:type="dxa" w:w="90"/>
            </w:tcMar>
            <w:vAlign w:val="top"/>
          </w:tcPr>
          <w:p>
            <w:r>
              <w:rPr>
                <w:b w:val="false"/>
                <w:bCs w:val="false"/>
                <w:color w:val="000000"/>
                <w:sz w:val="16"/>
                <w:szCs w:val="16"/>
              </w:rPr>
              <w:t xml:space="preserve">Power BI / Donor Reporting Export</w:t>
            </w:r>
          </w:p>
        </w:tc>
        <w:tc>
          <w:tcPr>
            <w:tcW w:type="dxa" w:w="1946"/>
            <w:tcMar>
              <w:top w:type="dxa" w:w="70"/>
              <w:left w:type="dxa" w:w="90"/>
              <w:bottom w:type="dxa" w:w="70"/>
              <w:right w:type="dxa" w:w="90"/>
            </w:tcMar>
            <w:vAlign w:val="top"/>
          </w:tcPr>
          <w:p>
            <w:r>
              <w:rPr>
                <w:b w:val="false"/>
                <w:bCs w:val="false"/>
                <w:color w:val="000000"/>
                <w:sz w:val="16"/>
                <w:szCs w:val="16"/>
              </w:rPr>
              <w:t xml:space="preserve">Outbound</w:t>
            </w:r>
          </w:p>
        </w:tc>
        <w:tc>
          <w:tcPr>
            <w:tcW w:type="dxa" w:w="2867"/>
            <w:tcMar>
              <w:top w:type="dxa" w:w="70"/>
              <w:left w:type="dxa" w:w="90"/>
              <w:bottom w:type="dxa" w:w="70"/>
              <w:right w:type="dxa" w:w="90"/>
            </w:tcMar>
            <w:vAlign w:val="top"/>
          </w:tcPr>
          <w:p>
            <w:r>
              <w:rPr>
                <w:b w:val="false"/>
                <w:bCs w:val="false"/>
                <w:color w:val="000000"/>
                <w:sz w:val="16"/>
                <w:szCs w:val="16"/>
              </w:rPr>
              <w:t xml:space="preserve">REST API / OData export</w:t>
            </w:r>
          </w:p>
        </w:tc>
        <w:tc>
          <w:tcPr>
            <w:tcW w:type="dxa" w:w="2048"/>
            <w:tcMar>
              <w:top w:type="dxa" w:w="70"/>
              <w:left w:type="dxa" w:w="90"/>
              <w:bottom w:type="dxa" w:w="70"/>
              <w:right w:type="dxa" w:w="90"/>
            </w:tcMar>
            <w:vAlign w:val="top"/>
          </w:tcPr>
          <w:p>
            <w:r>
              <w:rPr>
                <w:b w:val="false"/>
                <w:bCs w:val="false"/>
                <w:color w:val="000000"/>
                <w:sz w:val="16"/>
                <w:szCs w:val="16"/>
              </w:rPr>
              <w:t xml:space="preserve">Should Have</w:t>
            </w:r>
          </w:p>
        </w:tc>
      </w:tr>
      <w:tr>
        <w:tc>
          <w:tcPr>
            <w:tcW w:type="dxa" w:w="512"/>
            <w:tcMar>
              <w:top w:type="dxa" w:w="70"/>
              <w:left w:type="dxa" w:w="90"/>
              <w:bottom w:type="dxa" w:w="70"/>
              <w:right w:type="dxa" w:w="90"/>
            </w:tcMar>
            <w:vAlign w:val="top"/>
          </w:tcPr>
          <w:p>
            <w:r>
              <w:rPr>
                <w:b/>
                <w:bCs/>
                <w:color w:val="000000"/>
                <w:sz w:val="16"/>
                <w:szCs w:val="16"/>
              </w:rPr>
              <w:t xml:space="preserve">7</w:t>
            </w:r>
          </w:p>
        </w:tc>
        <w:tc>
          <w:tcPr>
            <w:tcW w:type="dxa" w:w="2867"/>
            <w:tcMar>
              <w:top w:type="dxa" w:w="70"/>
              <w:left w:type="dxa" w:w="90"/>
              <w:bottom w:type="dxa" w:w="70"/>
              <w:right w:type="dxa" w:w="90"/>
            </w:tcMar>
            <w:vAlign w:val="top"/>
          </w:tcPr>
          <w:p>
            <w:r>
              <w:rPr>
                <w:b w:val="false"/>
                <w:bCs w:val="false"/>
                <w:color w:val="000000"/>
                <w:sz w:val="16"/>
                <w:szCs w:val="16"/>
              </w:rPr>
              <w:t xml:space="preserve">Microsoft 365 / Google Workspace</w:t>
            </w:r>
          </w:p>
        </w:tc>
        <w:tc>
          <w:tcPr>
            <w:tcW w:type="dxa" w:w="1946"/>
            <w:tcMar>
              <w:top w:type="dxa" w:w="70"/>
              <w:left w:type="dxa" w:w="90"/>
              <w:bottom w:type="dxa" w:w="70"/>
              <w:right w:type="dxa" w:w="90"/>
            </w:tcMar>
            <w:vAlign w:val="top"/>
          </w:tcPr>
          <w:p>
            <w:r>
              <w:rPr>
                <w:b w:val="false"/>
                <w:bCs w:val="false"/>
                <w:color w:val="000000"/>
                <w:sz w:val="16"/>
                <w:szCs w:val="16"/>
              </w:rPr>
              <w:t xml:space="preserve">Bidirectional</w:t>
            </w:r>
          </w:p>
        </w:tc>
        <w:tc>
          <w:tcPr>
            <w:tcW w:type="dxa" w:w="2867"/>
            <w:tcMar>
              <w:top w:type="dxa" w:w="70"/>
              <w:left w:type="dxa" w:w="90"/>
              <w:bottom w:type="dxa" w:w="70"/>
              <w:right w:type="dxa" w:w="90"/>
            </w:tcMar>
            <w:vAlign w:val="top"/>
          </w:tcPr>
          <w:p>
            <w:r>
              <w:rPr>
                <w:b w:val="false"/>
                <w:bCs w:val="false"/>
                <w:color w:val="000000"/>
                <w:sz w:val="16"/>
                <w:szCs w:val="16"/>
              </w:rPr>
              <w:t xml:space="preserve">REST API (Graph API or equivalent)</w:t>
            </w:r>
          </w:p>
        </w:tc>
        <w:tc>
          <w:tcPr>
            <w:tcW w:type="dxa" w:w="2048"/>
            <w:tcMar>
              <w:top w:type="dxa" w:w="70"/>
              <w:left w:type="dxa" w:w="90"/>
              <w:bottom w:type="dxa" w:w="70"/>
              <w:right w:type="dxa" w:w="90"/>
            </w:tcMar>
            <w:vAlign w:val="top"/>
          </w:tcPr>
          <w:p>
            <w:r>
              <w:rPr>
                <w:b w:val="false"/>
                <w:bCs w:val="false"/>
                <w:color w:val="000000"/>
                <w:sz w:val="16"/>
                <w:szCs w:val="16"/>
              </w:rPr>
              <w:t xml:space="preserve">Should Have</w:t>
            </w:r>
          </w:p>
        </w:tc>
      </w:tr>
      <w:tr>
        <w:tc>
          <w:tcPr>
            <w:tcW w:type="dxa" w:w="512"/>
            <w:tcMar>
              <w:top w:type="dxa" w:w="70"/>
              <w:left w:type="dxa" w:w="90"/>
              <w:bottom w:type="dxa" w:w="70"/>
              <w:right w:type="dxa" w:w="90"/>
            </w:tcMar>
            <w:vAlign w:val="top"/>
          </w:tcPr>
          <w:p>
            <w:r>
              <w:rPr>
                <w:b/>
                <w:bCs/>
                <w:color w:val="000000"/>
                <w:sz w:val="16"/>
                <w:szCs w:val="16"/>
              </w:rPr>
              <w:t xml:space="preserve">8</w:t>
            </w:r>
          </w:p>
        </w:tc>
        <w:tc>
          <w:tcPr>
            <w:tcW w:type="dxa" w:w="2867"/>
            <w:tcMar>
              <w:top w:type="dxa" w:w="70"/>
              <w:left w:type="dxa" w:w="90"/>
              <w:bottom w:type="dxa" w:w="70"/>
              <w:right w:type="dxa" w:w="90"/>
            </w:tcMar>
            <w:vAlign w:val="top"/>
          </w:tcPr>
          <w:p>
            <w:r>
              <w:rPr>
                <w:b w:val="false"/>
                <w:bCs w:val="false"/>
                <w:color w:val="000000"/>
                <w:sz w:val="16"/>
                <w:szCs w:val="16"/>
              </w:rPr>
              <w:t xml:space="preserve">API Standards (REST, GraphQL, Webhooks)</w:t>
            </w:r>
          </w:p>
        </w:tc>
        <w:tc>
          <w:tcPr>
            <w:tcW w:type="dxa" w:w="1946"/>
            <w:tcMar>
              <w:top w:type="dxa" w:w="70"/>
              <w:left w:type="dxa" w:w="90"/>
              <w:bottom w:type="dxa" w:w="70"/>
              <w:right w:type="dxa" w:w="90"/>
            </w:tcMar>
            <w:vAlign w:val="top"/>
          </w:tcPr>
          <w:p>
            <w:r>
              <w:rPr>
                <w:b w:val="false"/>
                <w:bCs w:val="false"/>
                <w:color w:val="000000"/>
                <w:sz w:val="16"/>
                <w:szCs w:val="16"/>
              </w:rPr>
              <w:t xml:space="preserve">N/A — governs all other integrations</w:t>
            </w:r>
          </w:p>
        </w:tc>
        <w:tc>
          <w:tcPr>
            <w:tcW w:type="dxa" w:w="2867"/>
            <w:tcMar>
              <w:top w:type="dxa" w:w="70"/>
              <w:left w:type="dxa" w:w="90"/>
              <w:bottom w:type="dxa" w:w="70"/>
              <w:right w:type="dxa" w:w="90"/>
            </w:tcMar>
            <w:vAlign w:val="top"/>
          </w:tcPr>
          <w:p>
            <w:r>
              <w:rPr>
                <w:b w:val="false"/>
                <w:bCs w:val="false"/>
                <w:color w:val="000000"/>
                <w:sz w:val="16"/>
                <w:szCs w:val="16"/>
              </w:rPr>
              <w:t xml:space="preserve">REST (baseline); GraphQL (Phase 2)</w:t>
            </w:r>
          </w:p>
        </w:tc>
        <w:tc>
          <w:tcPr>
            <w:tcW w:type="dxa" w:w="2048"/>
            <w:tcMar>
              <w:top w:type="dxa" w:w="70"/>
              <w:left w:type="dxa" w:w="90"/>
              <w:bottom w:type="dxa" w:w="70"/>
              <w:right w:type="dxa" w:w="90"/>
            </w:tcMar>
            <w:vAlign w:val="top"/>
          </w:tcPr>
          <w:p>
            <w:r>
              <w:rPr>
                <w:b w:val="false"/>
                <w:bCs w:val="false"/>
                <w:color w:val="000000"/>
                <w:sz w:val="16"/>
                <w:szCs w:val="16"/>
              </w:rPr>
              <w:t xml:space="preserve">Must Have</w:t>
            </w:r>
          </w:p>
        </w:tc>
      </w:tr>
      <w:tr>
        <w:tc>
          <w:tcPr>
            <w:tcW w:type="dxa" w:w="512"/>
            <w:tcMar>
              <w:top w:type="dxa" w:w="70"/>
              <w:left w:type="dxa" w:w="90"/>
              <w:bottom w:type="dxa" w:w="70"/>
              <w:right w:type="dxa" w:w="90"/>
            </w:tcMar>
            <w:vAlign w:val="top"/>
          </w:tcPr>
          <w:p>
            <w:r>
              <w:rPr>
                <w:b/>
                <w:bCs/>
                <w:color w:val="000000"/>
                <w:sz w:val="16"/>
                <w:szCs w:val="16"/>
              </w:rPr>
              <w:t xml:space="preserve">9</w:t>
            </w:r>
          </w:p>
        </w:tc>
        <w:tc>
          <w:tcPr>
            <w:tcW w:type="dxa" w:w="2867"/>
            <w:tcMar>
              <w:top w:type="dxa" w:w="70"/>
              <w:left w:type="dxa" w:w="90"/>
              <w:bottom w:type="dxa" w:w="70"/>
              <w:right w:type="dxa" w:w="90"/>
            </w:tcMar>
            <w:vAlign w:val="top"/>
          </w:tcPr>
          <w:p>
            <w:r>
              <w:rPr>
                <w:b w:val="false"/>
                <w:bCs w:val="false"/>
                <w:color w:val="000000"/>
                <w:sz w:val="16"/>
                <w:szCs w:val="16"/>
              </w:rPr>
              <w:t xml:space="preserve">File Storage Integration</w:t>
            </w:r>
          </w:p>
        </w:tc>
        <w:tc>
          <w:tcPr>
            <w:tcW w:type="dxa" w:w="1946"/>
            <w:tcMar>
              <w:top w:type="dxa" w:w="70"/>
              <w:left w:type="dxa" w:w="90"/>
              <w:bottom w:type="dxa" w:w="70"/>
              <w:right w:type="dxa" w:w="90"/>
            </w:tcMar>
            <w:vAlign w:val="top"/>
          </w:tcPr>
          <w:p>
            <w:r>
              <w:rPr>
                <w:b w:val="false"/>
                <w:bCs w:val="false"/>
                <w:color w:val="000000"/>
                <w:sz w:val="16"/>
                <w:szCs w:val="16"/>
              </w:rPr>
              <w:t xml:space="preserve">Bidirectional</w:t>
            </w:r>
          </w:p>
        </w:tc>
        <w:tc>
          <w:tcPr>
            <w:tcW w:type="dxa" w:w="2867"/>
            <w:tcMar>
              <w:top w:type="dxa" w:w="70"/>
              <w:left w:type="dxa" w:w="90"/>
              <w:bottom w:type="dxa" w:w="70"/>
              <w:right w:type="dxa" w:w="90"/>
            </w:tcMar>
            <w:vAlign w:val="top"/>
          </w:tcPr>
          <w:p>
            <w:r>
              <w:rPr>
                <w:b w:val="false"/>
                <w:bCs w:val="false"/>
                <w:color w:val="000000"/>
                <w:sz w:val="16"/>
                <w:szCs w:val="16"/>
              </w:rPr>
              <w:t xml:space="preserve">REST API</w:t>
            </w:r>
          </w:p>
        </w:tc>
        <w:tc>
          <w:tcPr>
            <w:tcW w:type="dxa" w:w="2048"/>
            <w:tcMar>
              <w:top w:type="dxa" w:w="70"/>
              <w:left w:type="dxa" w:w="90"/>
              <w:bottom w:type="dxa" w:w="70"/>
              <w:right w:type="dxa" w:w="90"/>
            </w:tcMar>
            <w:vAlign w:val="top"/>
          </w:tcPr>
          <w:p>
            <w:r>
              <w:rPr>
                <w:b w:val="false"/>
                <w:bCs w:val="false"/>
                <w:color w:val="000000"/>
                <w:sz w:val="16"/>
                <w:szCs w:val="16"/>
              </w:rPr>
              <w:t xml:space="preserve">Should Have</w:t>
            </w:r>
          </w:p>
        </w:tc>
      </w:tr>
      <w:tr>
        <w:tc>
          <w:tcPr>
            <w:tcW w:type="dxa" w:w="512"/>
            <w:tcMar>
              <w:top w:type="dxa" w:w="70"/>
              <w:left w:type="dxa" w:w="90"/>
              <w:bottom w:type="dxa" w:w="70"/>
              <w:right w:type="dxa" w:w="90"/>
            </w:tcMar>
            <w:vAlign w:val="top"/>
          </w:tcPr>
          <w:p>
            <w:r>
              <w:rPr>
                <w:b/>
                <w:bCs/>
                <w:color w:val="000000"/>
                <w:sz w:val="16"/>
                <w:szCs w:val="16"/>
              </w:rPr>
              <w:t xml:space="preserve">10</w:t>
            </w:r>
          </w:p>
        </w:tc>
        <w:tc>
          <w:tcPr>
            <w:tcW w:type="dxa" w:w="2867"/>
            <w:tcMar>
              <w:top w:type="dxa" w:w="70"/>
              <w:left w:type="dxa" w:w="90"/>
              <w:bottom w:type="dxa" w:w="70"/>
              <w:right w:type="dxa" w:w="90"/>
            </w:tcMar>
            <w:vAlign w:val="top"/>
          </w:tcPr>
          <w:p>
            <w:r>
              <w:rPr>
                <w:b w:val="false"/>
                <w:bCs w:val="false"/>
                <w:color w:val="000000"/>
                <w:sz w:val="16"/>
                <w:szCs w:val="16"/>
              </w:rPr>
              <w:t xml:space="preserve">Mobile Access</w:t>
            </w:r>
          </w:p>
        </w:tc>
        <w:tc>
          <w:tcPr>
            <w:tcW w:type="dxa" w:w="1946"/>
            <w:tcMar>
              <w:top w:type="dxa" w:w="70"/>
              <w:left w:type="dxa" w:w="90"/>
              <w:bottom w:type="dxa" w:w="70"/>
              <w:right w:type="dxa" w:w="90"/>
            </w:tcMar>
            <w:vAlign w:val="top"/>
          </w:tcPr>
          <w:p>
            <w:r>
              <w:rPr>
                <w:b w:val="false"/>
                <w:bCs w:val="false"/>
                <w:color w:val="000000"/>
                <w:sz w:val="16"/>
                <w:szCs w:val="16"/>
              </w:rPr>
              <w:t xml:space="preserve">Bidirectional</w:t>
            </w:r>
          </w:p>
        </w:tc>
        <w:tc>
          <w:tcPr>
            <w:tcW w:type="dxa" w:w="2867"/>
            <w:tcMar>
              <w:top w:type="dxa" w:w="70"/>
              <w:left w:type="dxa" w:w="90"/>
              <w:bottom w:type="dxa" w:w="70"/>
              <w:right w:type="dxa" w:w="90"/>
            </w:tcMar>
            <w:vAlign w:val="top"/>
          </w:tcPr>
          <w:p>
            <w:r>
              <w:rPr>
                <w:b w:val="false"/>
                <w:bCs w:val="false"/>
                <w:color w:val="000000"/>
                <w:sz w:val="16"/>
                <w:szCs w:val="16"/>
              </w:rPr>
              <w:t xml:space="preserve">REST API (same endpoints as web)</w:t>
            </w:r>
          </w:p>
        </w:tc>
        <w:tc>
          <w:tcPr>
            <w:tcW w:type="dxa" w:w="2048"/>
            <w:tcMar>
              <w:top w:type="dxa" w:w="70"/>
              <w:left w:type="dxa" w:w="90"/>
              <w:bottom w:type="dxa" w:w="70"/>
              <w:right w:type="dxa" w:w="90"/>
            </w:tcMar>
            <w:vAlign w:val="top"/>
          </w:tcPr>
          <w:p>
            <w:r>
              <w:rPr>
                <w:b w:val="false"/>
                <w:bCs w:val="false"/>
                <w:color w:val="000000"/>
                <w:sz w:val="16"/>
                <w:szCs w:val="16"/>
              </w:rPr>
              <w:t xml:space="preserve">Should Have</w:t>
            </w:r>
          </w:p>
        </w:tc>
      </w:tr>
      <w:tr>
        <w:tc>
          <w:tcPr>
            <w:tcW w:type="dxa" w:w="512"/>
            <w:tcMar>
              <w:top w:type="dxa" w:w="70"/>
              <w:left w:type="dxa" w:w="90"/>
              <w:bottom w:type="dxa" w:w="70"/>
              <w:right w:type="dxa" w:w="90"/>
            </w:tcMar>
            <w:vAlign w:val="top"/>
          </w:tcPr>
          <w:p>
            <w:r>
              <w:rPr>
                <w:b/>
                <w:bCs/>
                <w:color w:val="000000"/>
                <w:sz w:val="16"/>
                <w:szCs w:val="16"/>
              </w:rPr>
              <w:t xml:space="preserve">11</w:t>
            </w:r>
          </w:p>
        </w:tc>
        <w:tc>
          <w:tcPr>
            <w:tcW w:type="dxa" w:w="2867"/>
            <w:tcMar>
              <w:top w:type="dxa" w:w="70"/>
              <w:left w:type="dxa" w:w="90"/>
              <w:bottom w:type="dxa" w:w="70"/>
              <w:right w:type="dxa" w:w="90"/>
            </w:tcMar>
            <w:vAlign w:val="top"/>
          </w:tcPr>
          <w:p>
            <w:r>
              <w:rPr>
                <w:b w:val="false"/>
                <w:bCs w:val="false"/>
                <w:color w:val="000000"/>
                <w:sz w:val="16"/>
                <w:szCs w:val="16"/>
              </w:rPr>
              <w:t xml:space="preserve">Future ERP / MIS / M&amp;E Systems</w:t>
            </w:r>
          </w:p>
        </w:tc>
        <w:tc>
          <w:tcPr>
            <w:tcW w:type="dxa" w:w="1946"/>
            <w:tcMar>
              <w:top w:type="dxa" w:w="70"/>
              <w:left w:type="dxa" w:w="90"/>
              <w:bottom w:type="dxa" w:w="70"/>
              <w:right w:type="dxa" w:w="90"/>
            </w:tcMar>
            <w:vAlign w:val="top"/>
          </w:tcPr>
          <w:p>
            <w:r>
              <w:rPr>
                <w:b w:val="false"/>
                <w:bCs w:val="false"/>
                <w:color w:val="000000"/>
                <w:sz w:val="16"/>
                <w:szCs w:val="16"/>
              </w:rPr>
              <w:t xml:space="preserve">Bidirectional (future)</w:t>
            </w:r>
          </w:p>
        </w:tc>
        <w:tc>
          <w:tcPr>
            <w:tcW w:type="dxa" w:w="2867"/>
            <w:tcMar>
              <w:top w:type="dxa" w:w="70"/>
              <w:left w:type="dxa" w:w="90"/>
              <w:bottom w:type="dxa" w:w="70"/>
              <w:right w:type="dxa" w:w="90"/>
            </w:tcMar>
            <w:vAlign w:val="top"/>
          </w:tcPr>
          <w:p>
            <w:r>
              <w:rPr>
                <w:b w:val="false"/>
                <w:bCs w:val="false"/>
                <w:color w:val="000000"/>
                <w:sz w:val="16"/>
                <w:szCs w:val="16"/>
              </w:rPr>
              <w:t xml:space="preserve">REST (to be specified at time of integration)</w:t>
            </w:r>
          </w:p>
        </w:tc>
        <w:tc>
          <w:tcPr>
            <w:tcW w:type="dxa" w:w="2048"/>
            <w:tcMar>
              <w:top w:type="dxa" w:w="70"/>
              <w:left w:type="dxa" w:w="90"/>
              <w:bottom w:type="dxa" w:w="70"/>
              <w:right w:type="dxa" w:w="90"/>
            </w:tcMar>
            <w:vAlign w:val="top"/>
          </w:tcPr>
          <w:p>
            <w:r>
              <w:rPr>
                <w:b w:val="false"/>
                <w:bCs w:val="false"/>
                <w:color w:val="000000"/>
                <w:sz w:val="16"/>
                <w:szCs w:val="16"/>
              </w:rPr>
              <w:t xml:space="preserve">Could Have (Phase 2 roadmap)</w:t>
            </w:r>
          </w:p>
        </w:tc>
      </w:tr>
    </w:tbl>
    <w:p>
      <w:pPr>
        <w:spacing w:after="160"/>
      </w:pPr>
    </w:p>
    <w:p>
      <w:pPr>
        <w:pStyle w:val="Heading1"/>
        <w:pBdr>
          <w:bottom w:val="single" w:color="1F3864" w:sz="6" w:space="4"/>
        </w:pBdr>
        <w:spacing w:after="130" w:before="320"/>
      </w:pPr>
      <w:r>
        <w:t xml:space="preserve">7.3 Integration Profiles — Core and Notification Integrations</w:t>
      </w:r>
    </w:p>
    <w:p>
      <w:pPr>
        <w:spacing w:after="150" w:line="276"/>
        <w:jc w:val="both"/>
      </w:pPr>
      <w:r>
        <w:t xml:space="preserve">Each integration point is profiled against eight attributes: Purpose, Direction, Protocol/Standard, Authentication, Data Exchanged, Frequency, Priority, and Governance.</w:t>
      </w:r>
    </w:p>
    <w:p>
      <w:pPr>
        <w:pStyle w:val="Heading2"/>
        <w:spacing w:after="80" w:before="240"/>
      </w:pPr>
      <w:r>
        <w:t xml:space="preserve">1. SAPZ Public Website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c>
          <w:tcPr>
            <w:tcW w:type="dxa" w:w="2048"/>
            <w:shd w:fill="EDEFF4" w:val="clear"/>
            <w:tcMar>
              <w:top w:type="dxa" w:w="70"/>
              <w:left w:type="dxa" w:w="90"/>
              <w:bottom w:type="dxa" w:w="70"/>
              <w:right w:type="dxa" w:w="90"/>
            </w:tcMar>
            <w:vAlign w:val="top"/>
          </w:tcPr>
          <w:p>
            <w:r>
              <w:rPr>
                <w:b/>
                <w:bCs/>
                <w:color w:val="000000"/>
                <w:sz w:val="17"/>
                <w:szCs w:val="17"/>
              </w:rPr>
              <w:t xml:space="preserve">Purpose</w:t>
            </w:r>
          </w:p>
        </w:tc>
        <w:tc>
          <w:tcPr>
            <w:tcW w:type="dxa" w:w="8192"/>
            <w:tcMar>
              <w:top w:type="dxa" w:w="70"/>
              <w:left w:type="dxa" w:w="90"/>
              <w:bottom w:type="dxa" w:w="70"/>
              <w:right w:type="dxa" w:w="90"/>
            </w:tcMar>
            <w:vAlign w:val="top"/>
          </w:tcPr>
          <w:p>
            <w:r>
              <w:rPr>
                <w:b w:val="false"/>
                <w:bCs w:val="false"/>
                <w:color w:val="000000"/>
                <w:sz w:val="17"/>
                <w:szCs w:val="17"/>
              </w:rPr>
              <w:t xml:space="preserve">Publishes or links CKR knowledge content on the programme's existing public website, per the REOI's own summary of scope.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Direction</w:t>
            </w:r>
          </w:p>
        </w:tc>
        <w:tc>
          <w:tcPr>
            <w:tcW w:type="dxa" w:w="8192"/>
            <w:tcMar>
              <w:top w:type="dxa" w:w="70"/>
              <w:left w:type="dxa" w:w="90"/>
              <w:bottom w:type="dxa" w:w="70"/>
              <w:right w:type="dxa" w:w="90"/>
            </w:tcMar>
            <w:vAlign w:val="top"/>
          </w:tcPr>
          <w:p>
            <w:r>
              <w:rPr>
                <w:b w:val="false"/>
                <w:bCs w:val="false"/>
                <w:color w:val="000000"/>
                <w:sz w:val="17"/>
                <w:szCs w:val="17"/>
              </w:rPr>
              <w:t xml:space="preserve">Outbound from CKR to the website; the website is the dependent party (Section 3.4, application #10).</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Protocol / Standard</w:t>
            </w:r>
          </w:p>
        </w:tc>
        <w:tc>
          <w:tcPr>
            <w:tcW w:type="dxa" w:w="8192"/>
            <w:tcMar>
              <w:top w:type="dxa" w:w="70"/>
              <w:left w:type="dxa" w:w="90"/>
              <w:bottom w:type="dxa" w:w="70"/>
              <w:right w:type="dxa" w:w="90"/>
            </w:tcMar>
            <w:vAlign w:val="top"/>
          </w:tcPr>
          <w:p>
            <w:r>
              <w:rPr>
                <w:b w:val="false"/>
                <w:bCs w:val="false"/>
                <w:color w:val="000000"/>
                <w:sz w:val="17"/>
                <w:szCs w:val="17"/>
              </w:rPr>
              <w:t xml:space="preserve">REST API for content pull, or webhook notification to trigger a website-side refresh when new content is published.</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Authentication</w:t>
            </w:r>
          </w:p>
        </w:tc>
        <w:tc>
          <w:tcPr>
            <w:tcW w:type="dxa" w:w="8192"/>
            <w:tcMar>
              <w:top w:type="dxa" w:w="70"/>
              <w:left w:type="dxa" w:w="90"/>
              <w:bottom w:type="dxa" w:w="70"/>
              <w:right w:type="dxa" w:w="90"/>
            </w:tcMar>
            <w:vAlign w:val="top"/>
          </w:tcPr>
          <w:p>
            <w:r>
              <w:rPr>
                <w:b w:val="false"/>
                <w:bCs w:val="false"/>
                <w:color w:val="000000"/>
                <w:sz w:val="17"/>
                <w:szCs w:val="17"/>
              </w:rPr>
              <w:t xml:space="preserve">API key or OAuth client-credentials grant, scoped narrowly to the publish-notification interface only.</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Data Exchanged</w:t>
            </w:r>
          </w:p>
        </w:tc>
        <w:tc>
          <w:tcPr>
            <w:tcW w:type="dxa" w:w="8192"/>
            <w:tcMar>
              <w:top w:type="dxa" w:w="70"/>
              <w:left w:type="dxa" w:w="90"/>
              <w:bottom w:type="dxa" w:w="70"/>
              <w:right w:type="dxa" w:w="90"/>
            </w:tcMar>
            <w:vAlign w:val="top"/>
          </w:tcPr>
          <w:p>
            <w:r>
              <w:rPr>
                <w:b w:val="false"/>
                <w:bCs w:val="false"/>
                <w:color w:val="000000"/>
                <w:sz w:val="17"/>
                <w:szCs w:val="17"/>
              </w:rPr>
              <w:t xml:space="preserve">Published CKR content metadata and links; no ESM data crosses this boundary under any circumstance.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Frequency</w:t>
            </w:r>
          </w:p>
        </w:tc>
        <w:tc>
          <w:tcPr>
            <w:tcW w:type="dxa" w:w="8192"/>
            <w:tcMar>
              <w:top w:type="dxa" w:w="70"/>
              <w:left w:type="dxa" w:w="90"/>
              <w:bottom w:type="dxa" w:w="70"/>
              <w:right w:type="dxa" w:w="90"/>
            </w:tcMar>
            <w:vAlign w:val="top"/>
          </w:tcPr>
          <w:p>
            <w:r>
              <w:rPr>
                <w:b w:val="false"/>
                <w:bCs w:val="false"/>
                <w:color w:val="000000"/>
                <w:sz w:val="17"/>
                <w:szCs w:val="17"/>
              </w:rPr>
              <w:t xml:space="preserve">Event-driven, triggered at the moment of publication.</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192"/>
            <w:tcMar>
              <w:top w:type="dxa" w:w="70"/>
              <w:left w:type="dxa" w:w="90"/>
              <w:bottom w:type="dxa" w:w="70"/>
              <w:right w:type="dxa" w:w="90"/>
            </w:tcMar>
            <w:vAlign w:val="top"/>
          </w:tcPr>
          <w:p>
            <w:r>
              <w:rPr>
                <w:b w:val="false"/>
                <w:bCs w:val="false"/>
                <w:color w:val="000000"/>
                <w:sz w:val="17"/>
                <w:szCs w:val="17"/>
              </w:rPr>
              <w:t xml:space="preserve">Must Have — explicitly named in the REOI's summary of scope.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Governance</w:t>
            </w:r>
          </w:p>
        </w:tc>
        <w:tc>
          <w:tcPr>
            <w:tcW w:type="dxa" w:w="8192"/>
            <w:tcMar>
              <w:top w:type="dxa" w:w="70"/>
              <w:left w:type="dxa" w:w="90"/>
              <w:bottom w:type="dxa" w:w="70"/>
              <w:right w:type="dxa" w:w="90"/>
            </w:tcMar>
            <w:vAlign w:val="top"/>
          </w:tcPr>
          <w:p>
            <w:r>
              <w:rPr>
                <w:b w:val="false"/>
                <w:bCs w:val="false"/>
                <w:color w:val="000000"/>
                <w:sz w:val="17"/>
                <w:szCs w:val="17"/>
              </w:rPr>
              <w:t xml:space="preserve">Interface contract defined by the consultant during Weeks 1–2; changes route through the Change Management process (Section 2.5).</w:t>
            </w:r>
          </w:p>
        </w:tc>
      </w:tr>
    </w:tbl>
    <w:p>
      <w:pPr>
        <w:spacing w:after="140"/>
      </w:pPr>
    </w:p>
    <w:p>
      <w:pPr>
        <w:pStyle w:val="Heading2"/>
        <w:spacing w:after="80" w:before="240"/>
      </w:pPr>
      <w:r>
        <w:t xml:space="preserve">2. Authentication &amp; Identity Providers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c>
          <w:tcPr>
            <w:tcW w:type="dxa" w:w="2048"/>
            <w:shd w:fill="EDEFF4" w:val="clear"/>
            <w:tcMar>
              <w:top w:type="dxa" w:w="70"/>
              <w:left w:type="dxa" w:w="90"/>
              <w:bottom w:type="dxa" w:w="70"/>
              <w:right w:type="dxa" w:w="90"/>
            </w:tcMar>
            <w:vAlign w:val="top"/>
          </w:tcPr>
          <w:p>
            <w:r>
              <w:rPr>
                <w:b/>
                <w:bCs/>
                <w:color w:val="000000"/>
                <w:sz w:val="17"/>
                <w:szCs w:val="17"/>
              </w:rPr>
              <w:t xml:space="preserve">Purpose</w:t>
            </w:r>
          </w:p>
        </w:tc>
        <w:tc>
          <w:tcPr>
            <w:tcW w:type="dxa" w:w="8192"/>
            <w:tcMar>
              <w:top w:type="dxa" w:w="70"/>
              <w:left w:type="dxa" w:w="90"/>
              <w:bottom w:type="dxa" w:w="70"/>
              <w:right w:type="dxa" w:w="90"/>
            </w:tcMar>
            <w:vAlign w:val="top"/>
          </w:tcPr>
          <w:p>
            <w:r>
              <w:rPr>
                <w:b w:val="false"/>
                <w:bCs w:val="false"/>
                <w:color w:val="000000"/>
                <w:sz w:val="17"/>
                <w:szCs w:val="17"/>
              </w:rPr>
              <w:t xml:space="preserve">Federates authentication for internal ESM users and CKR steward accounts through the Identity &amp; Access Management Service (Section 3.3, application #3).</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Direction</w:t>
            </w:r>
          </w:p>
        </w:tc>
        <w:tc>
          <w:tcPr>
            <w:tcW w:type="dxa" w:w="8192"/>
            <w:tcMar>
              <w:top w:type="dxa" w:w="70"/>
              <w:left w:type="dxa" w:w="90"/>
              <w:bottom w:type="dxa" w:w="70"/>
              <w:right w:type="dxa" w:w="90"/>
            </w:tcMar>
            <w:vAlign w:val="top"/>
          </w:tcPr>
          <w:p>
            <w:r>
              <w:rPr>
                <w:b w:val="false"/>
                <w:bCs w:val="false"/>
                <w:color w:val="000000"/>
                <w:sz w:val="17"/>
                <w:szCs w:val="17"/>
              </w:rPr>
              <w:t xml:space="preserve">Bidirectional — credential verification requests out, identity assertions back.</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Protocol / Standard</w:t>
            </w:r>
          </w:p>
        </w:tc>
        <w:tc>
          <w:tcPr>
            <w:tcW w:type="dxa" w:w="8192"/>
            <w:tcMar>
              <w:top w:type="dxa" w:w="70"/>
              <w:left w:type="dxa" w:w="90"/>
              <w:bottom w:type="dxa" w:w="70"/>
              <w:right w:type="dxa" w:w="90"/>
            </w:tcMar>
            <w:vAlign w:val="top"/>
          </w:tcPr>
          <w:p>
            <w:r>
              <w:rPr>
                <w:b w:val="false"/>
                <w:bCs w:val="false"/>
                <w:color w:val="000000"/>
                <w:sz w:val="17"/>
                <w:szCs w:val="17"/>
              </w:rPr>
              <w:t xml:space="preserve">OAuth 2.0 for API-based authentication; SAML as an alternative where a government-provided identity source uses it.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Authentication</w:t>
            </w:r>
          </w:p>
        </w:tc>
        <w:tc>
          <w:tcPr>
            <w:tcW w:type="dxa" w:w="8192"/>
            <w:tcMar>
              <w:top w:type="dxa" w:w="70"/>
              <w:left w:type="dxa" w:w="90"/>
              <w:bottom w:type="dxa" w:w="70"/>
              <w:right w:type="dxa" w:w="90"/>
            </w:tcMar>
            <w:vAlign w:val="top"/>
          </w:tcPr>
          <w:p>
            <w:r>
              <w:rPr>
                <w:b w:val="false"/>
                <w:bCs w:val="false"/>
                <w:color w:val="000000"/>
                <w:sz w:val="17"/>
                <w:szCs w:val="17"/>
              </w:rPr>
              <w:t xml:space="preserve">This integration point is itself the authentication mechanism; its own security is hardened per the Security Architecture (Section 8).</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Data Exchanged</w:t>
            </w:r>
          </w:p>
        </w:tc>
        <w:tc>
          <w:tcPr>
            <w:tcW w:type="dxa" w:w="8192"/>
            <w:tcMar>
              <w:top w:type="dxa" w:w="70"/>
              <w:left w:type="dxa" w:w="90"/>
              <w:bottom w:type="dxa" w:w="70"/>
              <w:right w:type="dxa" w:w="90"/>
            </w:tcMar>
            <w:vAlign w:val="top"/>
          </w:tcPr>
          <w:p>
            <w:r>
              <w:rPr>
                <w:b w:val="false"/>
                <w:bCs w:val="false"/>
                <w:color w:val="000000"/>
                <w:sz w:val="17"/>
                <w:szCs w:val="17"/>
              </w:rPr>
              <w:t xml:space="preserve">User identity assertions, role claims, and MFA status — no document or knowledge content.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Frequency</w:t>
            </w:r>
          </w:p>
        </w:tc>
        <w:tc>
          <w:tcPr>
            <w:tcW w:type="dxa" w:w="8192"/>
            <w:tcMar>
              <w:top w:type="dxa" w:w="70"/>
              <w:left w:type="dxa" w:w="90"/>
              <w:bottom w:type="dxa" w:w="70"/>
              <w:right w:type="dxa" w:w="90"/>
            </w:tcMar>
            <w:vAlign w:val="top"/>
          </w:tcPr>
          <w:p>
            <w:r>
              <w:rPr>
                <w:b w:val="false"/>
                <w:bCs w:val="false"/>
                <w:color w:val="000000"/>
                <w:sz w:val="17"/>
                <w:szCs w:val="17"/>
              </w:rPr>
              <w:t xml:space="preserve">Real-time, per login and per session-refresh event.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192"/>
            <w:tcMar>
              <w:top w:type="dxa" w:w="70"/>
              <w:left w:type="dxa" w:w="90"/>
              <w:bottom w:type="dxa" w:w="70"/>
              <w:right w:type="dxa" w:w="90"/>
            </w:tcMar>
            <w:vAlign w:val="top"/>
          </w:tcPr>
          <w:p>
            <w:r>
              <w:rPr>
                <w:b w:val="false"/>
                <w:bCs w:val="false"/>
                <w:color w:val="000000"/>
                <w:sz w:val="17"/>
                <w:szCs w:val="17"/>
              </w:rPr>
              <w:t xml:space="preserve">Must Have — explicitly named in the TOR's RBAC and MFA requirement.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Governance</w:t>
            </w:r>
          </w:p>
        </w:tc>
        <w:tc>
          <w:tcPr>
            <w:tcW w:type="dxa" w:w="8192"/>
            <w:tcMar>
              <w:top w:type="dxa" w:w="70"/>
              <w:left w:type="dxa" w:w="90"/>
              <w:bottom w:type="dxa" w:w="70"/>
              <w:right w:type="dxa" w:w="90"/>
            </w:tcMar>
            <w:vAlign w:val="top"/>
          </w:tcPr>
          <w:p>
            <w:r>
              <w:rPr>
                <w:b w:val="false"/>
                <w:bCs w:val="false"/>
                <w:color w:val="000000"/>
                <w:sz w:val="17"/>
                <w:szCs w:val="17"/>
              </w:rPr>
              <w:t xml:space="preserve">KM and ICT Units own the IAM configuration; federation with a future government-wide identity provider is a named Future Evolution item (Section 3.4, application #3).</w:t>
            </w:r>
          </w:p>
        </w:tc>
      </w:tr>
    </w:tbl>
    <w:p>
      <w:pPr>
        <w:spacing w:after="140"/>
      </w:pPr>
    </w:p>
    <w:p>
      <w:pPr>
        <w:pStyle w:val="Heading2"/>
        <w:spacing w:after="80" w:before="240"/>
      </w:pPr>
      <w:r>
        <w:t xml:space="preserve">3. Email Gateway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c>
          <w:tcPr>
            <w:tcW w:type="dxa" w:w="2048"/>
            <w:shd w:fill="EDEFF4" w:val="clear"/>
            <w:tcMar>
              <w:top w:type="dxa" w:w="70"/>
              <w:left w:type="dxa" w:w="90"/>
              <w:bottom w:type="dxa" w:w="70"/>
              <w:right w:type="dxa" w:w="90"/>
            </w:tcMar>
            <w:vAlign w:val="top"/>
          </w:tcPr>
          <w:p>
            <w:r>
              <w:rPr>
                <w:b/>
                <w:bCs/>
                <w:color w:val="000000"/>
                <w:sz w:val="17"/>
                <w:szCs w:val="17"/>
              </w:rPr>
              <w:t xml:space="preserve">Purpose</w:t>
            </w:r>
          </w:p>
        </w:tc>
        <w:tc>
          <w:tcPr>
            <w:tcW w:type="dxa" w:w="8192"/>
            <w:tcMar>
              <w:top w:type="dxa" w:w="70"/>
              <w:left w:type="dxa" w:w="90"/>
              <w:bottom w:type="dxa" w:w="70"/>
              <w:right w:type="dxa" w:w="90"/>
            </w:tcMar>
            <w:vAlign w:val="top"/>
          </w:tcPr>
          <w:p>
            <w:r>
              <w:rPr>
                <w:b w:val="false"/>
                <w:bCs w:val="false"/>
                <w:color w:val="000000"/>
                <w:sz w:val="17"/>
                <w:szCs w:val="17"/>
              </w:rPr>
              <w:t xml:space="preserve">Delivers workflow, approval, and SLA-escalation notifications by email, per the Notification &amp; Messaging Service (Section 3.3, application #6).</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Direction</w:t>
            </w:r>
          </w:p>
        </w:tc>
        <w:tc>
          <w:tcPr>
            <w:tcW w:type="dxa" w:w="8192"/>
            <w:tcMar>
              <w:top w:type="dxa" w:w="70"/>
              <w:left w:type="dxa" w:w="90"/>
              <w:bottom w:type="dxa" w:w="70"/>
              <w:right w:type="dxa" w:w="90"/>
            </w:tcMar>
            <w:vAlign w:val="top"/>
          </w:tcPr>
          <w:p>
            <w:r>
              <w:rPr>
                <w:b w:val="false"/>
                <w:bCs w:val="false"/>
                <w:color w:val="000000"/>
                <w:sz w:val="17"/>
                <w:szCs w:val="17"/>
              </w:rPr>
              <w:t xml:space="preserve">Outbound.</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Protocol / Standard</w:t>
            </w:r>
          </w:p>
        </w:tc>
        <w:tc>
          <w:tcPr>
            <w:tcW w:type="dxa" w:w="8192"/>
            <w:tcMar>
              <w:top w:type="dxa" w:w="70"/>
              <w:left w:type="dxa" w:w="90"/>
              <w:bottom w:type="dxa" w:w="70"/>
              <w:right w:type="dxa" w:w="90"/>
            </w:tcMar>
            <w:vAlign w:val="top"/>
          </w:tcPr>
          <w:p>
            <w:r>
              <w:rPr>
                <w:b w:val="false"/>
                <w:bCs w:val="false"/>
                <w:color w:val="000000"/>
                <w:sz w:val="17"/>
                <w:szCs w:val="17"/>
              </w:rPr>
              <w:t xml:space="preserve">SMTP or a transactional-email REST API, selected in Section 10 against the schedule and sustainability decision variables.</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Authentication</w:t>
            </w:r>
          </w:p>
        </w:tc>
        <w:tc>
          <w:tcPr>
            <w:tcW w:type="dxa" w:w="8192"/>
            <w:tcMar>
              <w:top w:type="dxa" w:w="70"/>
              <w:left w:type="dxa" w:w="90"/>
              <w:bottom w:type="dxa" w:w="70"/>
              <w:right w:type="dxa" w:w="90"/>
            </w:tcMar>
            <w:vAlign w:val="top"/>
          </w:tcPr>
          <w:p>
            <w:r>
              <w:rPr>
                <w:b w:val="false"/>
                <w:bCs w:val="false"/>
                <w:color w:val="000000"/>
                <w:sz w:val="17"/>
                <w:szCs w:val="17"/>
              </w:rPr>
              <w:t xml:space="preserve">API key or SMTP credentials, held in the platform's own secrets management, never in application code.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Data Exchanged</w:t>
            </w:r>
          </w:p>
        </w:tc>
        <w:tc>
          <w:tcPr>
            <w:tcW w:type="dxa" w:w="8192"/>
            <w:tcMar>
              <w:top w:type="dxa" w:w="70"/>
              <w:left w:type="dxa" w:w="90"/>
              <w:bottom w:type="dxa" w:w="70"/>
              <w:right w:type="dxa" w:w="90"/>
            </w:tcMar>
            <w:vAlign w:val="top"/>
          </w:tcPr>
          <w:p>
            <w:r>
              <w:rPr>
                <w:b w:val="false"/>
                <w:bCs w:val="false"/>
                <w:color w:val="000000"/>
                <w:sz w:val="17"/>
                <w:szCs w:val="17"/>
              </w:rPr>
              <w:t xml:space="preserve">Notification payloads containing only necessary references, per the Notification &amp; Messaging Service's own security posture (Section 3.4).</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Frequency</w:t>
            </w:r>
          </w:p>
        </w:tc>
        <w:tc>
          <w:tcPr>
            <w:tcW w:type="dxa" w:w="8192"/>
            <w:tcMar>
              <w:top w:type="dxa" w:w="70"/>
              <w:left w:type="dxa" w:w="90"/>
              <w:bottom w:type="dxa" w:w="70"/>
              <w:right w:type="dxa" w:w="90"/>
            </w:tcMar>
            <w:vAlign w:val="top"/>
          </w:tcPr>
          <w:p>
            <w:r>
              <w:rPr>
                <w:b w:val="false"/>
                <w:bCs w:val="false"/>
                <w:color w:val="000000"/>
                <w:sz w:val="17"/>
                <w:szCs w:val="17"/>
              </w:rPr>
              <w:t xml:space="preserve">Event-driven, per triggering workflow or governance-register event.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192"/>
            <w:tcMar>
              <w:top w:type="dxa" w:w="70"/>
              <w:left w:type="dxa" w:w="90"/>
              <w:bottom w:type="dxa" w:w="70"/>
              <w:right w:type="dxa" w:w="90"/>
            </w:tcMar>
            <w:vAlign w:val="top"/>
          </w:tcPr>
          <w:p>
            <w:r>
              <w:rPr>
                <w:b w:val="false"/>
                <w:bCs w:val="false"/>
                <w:color w:val="000000"/>
                <w:sz w:val="17"/>
                <w:szCs w:val="17"/>
              </w:rPr>
              <w:t xml:space="preserve">Must Have — the primary channel underlying the Workflow module's SLA-escalation mechanism.</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Governance</w:t>
            </w:r>
          </w:p>
        </w:tc>
        <w:tc>
          <w:tcPr>
            <w:tcW w:type="dxa" w:w="8192"/>
            <w:tcMar>
              <w:top w:type="dxa" w:w="70"/>
              <w:left w:type="dxa" w:w="90"/>
              <w:bottom w:type="dxa" w:w="70"/>
              <w:right w:type="dxa" w:w="90"/>
            </w:tcMar>
            <w:vAlign w:val="top"/>
          </w:tcPr>
          <w:p>
            <w:r>
              <w:rPr>
                <w:b w:val="false"/>
                <w:bCs w:val="false"/>
                <w:color w:val="000000"/>
                <w:sz w:val="17"/>
                <w:szCs w:val="17"/>
              </w:rPr>
              <w:t xml:space="preserve">KM and ICT Units administer gateway configuration and delivery monitoring.</w:t>
            </w:r>
          </w:p>
        </w:tc>
      </w:tr>
    </w:tbl>
    <w:p>
      <w:pPr>
        <w:spacing w:after="140"/>
      </w:pPr>
    </w:p>
    <w:p>
      <w:pPr>
        <w:pStyle w:val="Heading2"/>
        <w:spacing w:after="80" w:before="240"/>
      </w:pPr>
      <w:r>
        <w:t xml:space="preserve">4. SMS Gateway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c>
          <w:tcPr>
            <w:tcW w:type="dxa" w:w="2048"/>
            <w:shd w:fill="EDEFF4" w:val="clear"/>
            <w:tcMar>
              <w:top w:type="dxa" w:w="70"/>
              <w:left w:type="dxa" w:w="90"/>
              <w:bottom w:type="dxa" w:w="70"/>
              <w:right w:type="dxa" w:w="90"/>
            </w:tcMar>
            <w:vAlign w:val="top"/>
          </w:tcPr>
          <w:p>
            <w:r>
              <w:rPr>
                <w:b/>
                <w:bCs/>
                <w:color w:val="000000"/>
                <w:sz w:val="17"/>
                <w:szCs w:val="17"/>
              </w:rPr>
              <w:t xml:space="preserve">Purpose</w:t>
            </w:r>
          </w:p>
        </w:tc>
        <w:tc>
          <w:tcPr>
            <w:tcW w:type="dxa" w:w="8192"/>
            <w:tcMar>
              <w:top w:type="dxa" w:w="70"/>
              <w:left w:type="dxa" w:w="90"/>
              <w:bottom w:type="dxa" w:w="70"/>
              <w:right w:type="dxa" w:w="90"/>
            </w:tcMar>
            <w:vAlign w:val="top"/>
          </w:tcPr>
          <w:p>
            <w:r>
              <w:rPr>
                <w:b w:val="false"/>
                <w:bCs w:val="false"/>
                <w:color w:val="000000"/>
                <w:sz w:val="17"/>
                <w:szCs w:val="17"/>
              </w:rPr>
              <w:t xml:space="preserve">Delivers time-sensitive notifications by SMS where email access is unreliable, reflecting the genuine network variability across seven states and the FCT.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Direction</w:t>
            </w:r>
          </w:p>
        </w:tc>
        <w:tc>
          <w:tcPr>
            <w:tcW w:type="dxa" w:w="8192"/>
            <w:tcMar>
              <w:top w:type="dxa" w:w="70"/>
              <w:left w:type="dxa" w:w="90"/>
              <w:bottom w:type="dxa" w:w="70"/>
              <w:right w:type="dxa" w:w="90"/>
            </w:tcMar>
            <w:vAlign w:val="top"/>
          </w:tcPr>
          <w:p>
            <w:r>
              <w:rPr>
                <w:b w:val="false"/>
                <w:bCs w:val="false"/>
                <w:color w:val="000000"/>
                <w:sz w:val="17"/>
                <w:szCs w:val="17"/>
              </w:rPr>
              <w:t xml:space="preserve">Outbound.</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Protocol / Standard</w:t>
            </w:r>
          </w:p>
        </w:tc>
        <w:tc>
          <w:tcPr>
            <w:tcW w:type="dxa" w:w="8192"/>
            <w:tcMar>
              <w:top w:type="dxa" w:w="70"/>
              <w:left w:type="dxa" w:w="90"/>
              <w:bottom w:type="dxa" w:w="70"/>
              <w:right w:type="dxa" w:w="90"/>
            </w:tcMar>
            <w:vAlign w:val="top"/>
          </w:tcPr>
          <w:p>
            <w:r>
              <w:rPr>
                <w:b w:val="false"/>
                <w:bCs w:val="false"/>
                <w:color w:val="000000"/>
                <w:sz w:val="17"/>
                <w:szCs w:val="17"/>
              </w:rPr>
              <w:t xml:space="preserve">REST API against a Nigerian SMS aggregator or carrier gateway.</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Authentication</w:t>
            </w:r>
          </w:p>
        </w:tc>
        <w:tc>
          <w:tcPr>
            <w:tcW w:type="dxa" w:w="8192"/>
            <w:tcMar>
              <w:top w:type="dxa" w:w="70"/>
              <w:left w:type="dxa" w:w="90"/>
              <w:bottom w:type="dxa" w:w="70"/>
              <w:right w:type="dxa" w:w="90"/>
            </w:tcMar>
            <w:vAlign w:val="top"/>
          </w:tcPr>
          <w:p>
            <w:r>
              <w:rPr>
                <w:b w:val="false"/>
                <w:bCs w:val="false"/>
                <w:color w:val="000000"/>
                <w:sz w:val="17"/>
                <w:szCs w:val="17"/>
              </w:rPr>
              <w:t xml:space="preserve">API key, scoped to the notification-sending function only.</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Data Exchanged</w:t>
            </w:r>
          </w:p>
        </w:tc>
        <w:tc>
          <w:tcPr>
            <w:tcW w:type="dxa" w:w="8192"/>
            <w:tcMar>
              <w:top w:type="dxa" w:w="70"/>
              <w:left w:type="dxa" w:w="90"/>
              <w:bottom w:type="dxa" w:w="70"/>
              <w:right w:type="dxa" w:w="90"/>
            </w:tcMar>
            <w:vAlign w:val="top"/>
          </w:tcPr>
          <w:p>
            <w:r>
              <w:rPr>
                <w:b w:val="false"/>
                <w:bCs w:val="false"/>
                <w:color w:val="000000"/>
                <w:sz w:val="17"/>
                <w:szCs w:val="17"/>
              </w:rPr>
              <w:t xml:space="preserve">Short notification text with reference identifiers only — no document content, consistent with SMS's inherently less secure transport.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Frequency</w:t>
            </w:r>
          </w:p>
        </w:tc>
        <w:tc>
          <w:tcPr>
            <w:tcW w:type="dxa" w:w="8192"/>
            <w:tcMar>
              <w:top w:type="dxa" w:w="70"/>
              <w:left w:type="dxa" w:w="90"/>
              <w:bottom w:type="dxa" w:w="70"/>
              <w:right w:type="dxa" w:w="90"/>
            </w:tcMar>
            <w:vAlign w:val="top"/>
          </w:tcPr>
          <w:p>
            <w:r>
              <w:rPr>
                <w:b w:val="false"/>
                <w:bCs w:val="false"/>
                <w:color w:val="000000"/>
                <w:sz w:val="17"/>
                <w:szCs w:val="17"/>
              </w:rPr>
              <w:t xml:space="preserve">Event-driven, for high-priority escalations specifically, not every notification event.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192"/>
            <w:tcMar>
              <w:top w:type="dxa" w:w="70"/>
              <w:left w:type="dxa" w:w="90"/>
              <w:bottom w:type="dxa" w:w="70"/>
              <w:right w:type="dxa" w:w="90"/>
            </w:tcMar>
            <w:vAlign w:val="top"/>
          </w:tcPr>
          <w:p>
            <w:r>
              <w:rPr>
                <w:b w:val="false"/>
                <w:bCs w:val="false"/>
                <w:color w:val="000000"/>
                <w:sz w:val="17"/>
                <w:szCs w:val="17"/>
              </w:rPr>
              <w:t xml:space="preserve">Should Have — extends the Must Have notification capability to a lower-connectivity context.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Governance</w:t>
            </w:r>
          </w:p>
        </w:tc>
        <w:tc>
          <w:tcPr>
            <w:tcW w:type="dxa" w:w="8192"/>
            <w:tcMar>
              <w:top w:type="dxa" w:w="70"/>
              <w:left w:type="dxa" w:w="90"/>
              <w:bottom w:type="dxa" w:w="70"/>
              <w:right w:type="dxa" w:w="90"/>
            </w:tcMar>
            <w:vAlign w:val="top"/>
          </w:tcPr>
          <w:p>
            <w:r>
              <w:rPr>
                <w:b w:val="false"/>
                <w:bCs w:val="false"/>
                <w:color w:val="000000"/>
                <w:sz w:val="17"/>
                <w:szCs w:val="17"/>
              </w:rPr>
              <w:t xml:space="preserve">KM and ICT Units administer; usage is scoped to reduce cost and alert fatigue, per the Notifications module's digest-mode option (Section 4.5).</w:t>
            </w:r>
          </w:p>
        </w:tc>
      </w:tr>
    </w:tbl>
    <w:p>
      <w:pPr>
        <w:spacing w:after="140"/>
      </w:pPr>
    </w:p>
    <w:p>
      <w:pPr>
        <w:pStyle w:val="Heading2"/>
        <w:spacing w:after="80" w:before="240"/>
      </w:pPr>
      <w:r>
        <w:t xml:space="preserve">5. Geographic Information System (GIS)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c>
          <w:tcPr>
            <w:tcW w:type="dxa" w:w="2048"/>
            <w:shd w:fill="EDEFF4" w:val="clear"/>
            <w:tcMar>
              <w:top w:type="dxa" w:w="70"/>
              <w:left w:type="dxa" w:w="90"/>
              <w:bottom w:type="dxa" w:w="70"/>
              <w:right w:type="dxa" w:w="90"/>
            </w:tcMar>
            <w:vAlign w:val="top"/>
          </w:tcPr>
          <w:p>
            <w:r>
              <w:rPr>
                <w:b/>
                <w:bCs/>
                <w:color w:val="000000"/>
                <w:sz w:val="17"/>
                <w:szCs w:val="17"/>
              </w:rPr>
              <w:t xml:space="preserve">Purpose</w:t>
            </w:r>
          </w:p>
        </w:tc>
        <w:tc>
          <w:tcPr>
            <w:tcW w:type="dxa" w:w="8192"/>
            <w:tcMar>
              <w:top w:type="dxa" w:w="70"/>
              <w:left w:type="dxa" w:w="90"/>
              <w:bottom w:type="dxa" w:w="70"/>
              <w:right w:type="dxa" w:w="90"/>
            </w:tcMar>
            <w:vAlign w:val="top"/>
          </w:tcPr>
          <w:p>
            <w:r>
              <w:rPr>
                <w:b w:val="false"/>
                <w:bCs w:val="false"/>
                <w:color w:val="000000"/>
                <w:sz w:val="17"/>
                <w:szCs w:val="17"/>
              </w:rPr>
              <w:t xml:space="preserve">Provides a map-based view of programme activity across the seven states and the FCT — a TOR-silent capability added because a programme spanning seven geographically distinct states benefits materially from spatial visualization, consistent with the principle of stating explicitly what is added where the TOR is silent and why.</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Direction</w:t>
            </w:r>
          </w:p>
        </w:tc>
        <w:tc>
          <w:tcPr>
            <w:tcW w:type="dxa" w:w="8192"/>
            <w:tcMar>
              <w:top w:type="dxa" w:w="70"/>
              <w:left w:type="dxa" w:w="90"/>
              <w:bottom w:type="dxa" w:w="70"/>
              <w:right w:type="dxa" w:w="90"/>
            </w:tcMar>
            <w:vAlign w:val="top"/>
          </w:tcPr>
          <w:p>
            <w:r>
              <w:rPr>
                <w:b w:val="false"/>
                <w:bCs w:val="false"/>
                <w:color w:val="000000"/>
                <w:sz w:val="17"/>
                <w:szCs w:val="17"/>
              </w:rPr>
              <w:t xml:space="preserve">Outbound — programme and KPI data pushed to a map-rendering service.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Protocol / Standard</w:t>
            </w:r>
          </w:p>
        </w:tc>
        <w:tc>
          <w:tcPr>
            <w:tcW w:type="dxa" w:w="8192"/>
            <w:tcMar>
              <w:top w:type="dxa" w:w="70"/>
              <w:left w:type="dxa" w:w="90"/>
              <w:bottom w:type="dxa" w:w="70"/>
              <w:right w:type="dxa" w:w="90"/>
            </w:tcMar>
            <w:vAlign w:val="top"/>
          </w:tcPr>
          <w:p>
            <w:r>
              <w:rPr>
                <w:b w:val="false"/>
                <w:bCs w:val="false"/>
                <w:color w:val="000000"/>
                <w:sz w:val="17"/>
                <w:szCs w:val="17"/>
              </w:rPr>
              <w:t xml:space="preserve">REST API exchanging GeoJSON, the standard open format for geospatial data.</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Authentication</w:t>
            </w:r>
          </w:p>
        </w:tc>
        <w:tc>
          <w:tcPr>
            <w:tcW w:type="dxa" w:w="8192"/>
            <w:tcMar>
              <w:top w:type="dxa" w:w="70"/>
              <w:left w:type="dxa" w:w="90"/>
              <w:bottom w:type="dxa" w:w="70"/>
              <w:right w:type="dxa" w:w="90"/>
            </w:tcMar>
            <w:vAlign w:val="top"/>
          </w:tcPr>
          <w:p>
            <w:r>
              <w:rPr>
                <w:b w:val="false"/>
                <w:bCs w:val="false"/>
                <w:color w:val="000000"/>
                <w:sz w:val="17"/>
                <w:szCs w:val="17"/>
              </w:rPr>
              <w:t xml:space="preserve">API key, scoped to read-only map-tile and boundary data.</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Data Exchanged</w:t>
            </w:r>
          </w:p>
        </w:tc>
        <w:tc>
          <w:tcPr>
            <w:tcW w:type="dxa" w:w="8192"/>
            <w:tcMar>
              <w:top w:type="dxa" w:w="70"/>
              <w:left w:type="dxa" w:w="90"/>
              <w:bottom w:type="dxa" w:w="70"/>
              <w:right w:type="dxa" w:w="90"/>
            </w:tcMar>
            <w:vAlign w:val="top"/>
          </w:tcPr>
          <w:p>
            <w:r>
              <w:rPr>
                <w:b w:val="false"/>
                <w:bCs w:val="false"/>
                <w:color w:val="000000"/>
                <w:sz w:val="17"/>
                <w:szCs w:val="17"/>
              </w:rPr>
              <w:t xml:space="preserve">State/FCT boundaries (reference data) and aggregated, non-sensitive KPI figures by state — never document-level or personal data.</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Frequency</w:t>
            </w:r>
          </w:p>
        </w:tc>
        <w:tc>
          <w:tcPr>
            <w:tcW w:type="dxa" w:w="8192"/>
            <w:tcMar>
              <w:top w:type="dxa" w:w="70"/>
              <w:left w:type="dxa" w:w="90"/>
              <w:bottom w:type="dxa" w:w="70"/>
              <w:right w:type="dxa" w:w="90"/>
            </w:tcMar>
            <w:vAlign w:val="top"/>
          </w:tcPr>
          <w:p>
            <w:r>
              <w:rPr>
                <w:b w:val="false"/>
                <w:bCs w:val="false"/>
                <w:color w:val="000000"/>
                <w:sz w:val="17"/>
                <w:szCs w:val="17"/>
              </w:rPr>
              <w:t xml:space="preserve">Refreshed on the same cadence as the Analytics store (Section 6.13).</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192"/>
            <w:tcMar>
              <w:top w:type="dxa" w:w="70"/>
              <w:left w:type="dxa" w:w="90"/>
              <w:bottom w:type="dxa" w:w="70"/>
              <w:right w:type="dxa" w:w="90"/>
            </w:tcMar>
            <w:vAlign w:val="top"/>
          </w:tcPr>
          <w:p>
            <w:r>
              <w:rPr>
                <w:b w:val="false"/>
                <w:bCs w:val="false"/>
                <w:color w:val="000000"/>
                <w:sz w:val="17"/>
                <w:szCs w:val="17"/>
              </w:rPr>
              <w:t xml:space="preserve">Should Have — a value-added visualization, not a TOR-mandated capability.</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Governance</w:t>
            </w:r>
          </w:p>
        </w:tc>
        <w:tc>
          <w:tcPr>
            <w:tcW w:type="dxa" w:w="8192"/>
            <w:tcMar>
              <w:top w:type="dxa" w:w="70"/>
              <w:left w:type="dxa" w:w="90"/>
              <w:bottom w:type="dxa" w:w="70"/>
              <w:right w:type="dxa" w:w="90"/>
            </w:tcMar>
            <w:vAlign w:val="top"/>
          </w:tcPr>
          <w:p>
            <w:r>
              <w:rPr>
                <w:b w:val="false"/>
                <w:bCs w:val="false"/>
                <w:color w:val="000000"/>
                <w:sz w:val="17"/>
                <w:szCs w:val="17"/>
              </w:rPr>
              <w:t xml:space="preserve">KM and ICT Units administer; KMC confirms no restricted data is exposed through map layers.</w:t>
            </w:r>
          </w:p>
        </w:tc>
      </w:tr>
    </w:tbl>
    <w:p>
      <w:pPr>
        <w:spacing w:after="140"/>
      </w:pPr>
    </w:p>
    <w:p>
      <w:pPr>
        <w:pStyle w:val="Heading1"/>
        <w:pBdr>
          <w:bottom w:val="single" w:color="1F3864" w:sz="6" w:space="4"/>
        </w:pBdr>
        <w:spacing w:after="130" w:before="320"/>
      </w:pPr>
      <w:r>
        <w:t xml:space="preserve">7.4 Integration Profiles — Productivity, Data Exchange &amp; Future Systems</w:t>
      </w:r>
    </w:p>
    <w:p>
      <w:pPr>
        <w:pStyle w:val="Heading2"/>
        <w:spacing w:after="80" w:before="240"/>
      </w:pPr>
      <w:r>
        <w:t xml:space="preserve">6. Power BI / Donor Reporting Export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c>
          <w:tcPr>
            <w:tcW w:type="dxa" w:w="2048"/>
            <w:shd w:fill="EDEFF4" w:val="clear"/>
            <w:tcMar>
              <w:top w:type="dxa" w:w="70"/>
              <w:left w:type="dxa" w:w="90"/>
              <w:bottom w:type="dxa" w:w="70"/>
              <w:right w:type="dxa" w:w="90"/>
            </w:tcMar>
            <w:vAlign w:val="top"/>
          </w:tcPr>
          <w:p>
            <w:r>
              <w:rPr>
                <w:b/>
                <w:bCs/>
                <w:color w:val="000000"/>
                <w:sz w:val="17"/>
                <w:szCs w:val="17"/>
              </w:rPr>
              <w:t xml:space="preserve">Purpose</w:t>
            </w:r>
          </w:p>
        </w:tc>
        <w:tc>
          <w:tcPr>
            <w:tcW w:type="dxa" w:w="8192"/>
            <w:tcMar>
              <w:top w:type="dxa" w:w="70"/>
              <w:left w:type="dxa" w:w="90"/>
              <w:bottom w:type="dxa" w:w="70"/>
              <w:right w:type="dxa" w:w="90"/>
            </w:tcMar>
            <w:vAlign w:val="top"/>
          </w:tcPr>
          <w:p>
            <w:r>
              <w:rPr>
                <w:b w:val="false"/>
                <w:bCs w:val="false"/>
                <w:color w:val="000000"/>
                <w:sz w:val="17"/>
                <w:szCs w:val="17"/>
              </w:rPr>
              <w:t xml:space="preserve">Exports or embeds Reporting &amp; Business Intelligence Application output (Section 3.3, application #5) in the format donor supervision missions expect, per the Solution Strategy's own reporting-alignment recommendation.</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Direction</w:t>
            </w:r>
          </w:p>
        </w:tc>
        <w:tc>
          <w:tcPr>
            <w:tcW w:type="dxa" w:w="8192"/>
            <w:tcMar>
              <w:top w:type="dxa" w:w="70"/>
              <w:left w:type="dxa" w:w="90"/>
              <w:bottom w:type="dxa" w:w="70"/>
              <w:right w:type="dxa" w:w="90"/>
            </w:tcMar>
            <w:vAlign w:val="top"/>
          </w:tcPr>
          <w:p>
            <w:r>
              <w:rPr>
                <w:b w:val="false"/>
                <w:bCs w:val="false"/>
                <w:color w:val="000000"/>
                <w:sz w:val="17"/>
                <w:szCs w:val="17"/>
              </w:rPr>
              <w:t xml:space="preserve">Outbound.</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Protocol / Standard</w:t>
            </w:r>
          </w:p>
        </w:tc>
        <w:tc>
          <w:tcPr>
            <w:tcW w:type="dxa" w:w="8192"/>
            <w:tcMar>
              <w:top w:type="dxa" w:w="70"/>
              <w:left w:type="dxa" w:w="90"/>
              <w:bottom w:type="dxa" w:w="70"/>
              <w:right w:type="dxa" w:w="90"/>
            </w:tcMar>
            <w:vAlign w:val="top"/>
          </w:tcPr>
          <w:p>
            <w:r>
              <w:rPr>
                <w:b w:val="false"/>
                <w:bCs w:val="false"/>
                <w:color w:val="000000"/>
                <w:sz w:val="17"/>
                <w:szCs w:val="17"/>
              </w:rPr>
              <w:t xml:space="preserve">REST API / OData export — the standard interchange format for BI tools, kept platform-neutral consistent with Technology Independence (Section 1.7).</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Authentication</w:t>
            </w:r>
          </w:p>
        </w:tc>
        <w:tc>
          <w:tcPr>
            <w:tcW w:type="dxa" w:w="8192"/>
            <w:tcMar>
              <w:top w:type="dxa" w:w="70"/>
              <w:left w:type="dxa" w:w="90"/>
              <w:bottom w:type="dxa" w:w="70"/>
              <w:right w:type="dxa" w:w="90"/>
            </w:tcMar>
            <w:vAlign w:val="top"/>
          </w:tcPr>
          <w:p>
            <w:r>
              <w:rPr>
                <w:b w:val="false"/>
                <w:bCs w:val="false"/>
                <w:color w:val="000000"/>
                <w:sz w:val="17"/>
                <w:szCs w:val="17"/>
              </w:rPr>
              <w:t xml:space="preserve">OAuth 2.0 client-credentials grant, scoped to the reporting dataset only.</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Data Exchanged</w:t>
            </w:r>
          </w:p>
        </w:tc>
        <w:tc>
          <w:tcPr>
            <w:tcW w:type="dxa" w:w="8192"/>
            <w:tcMar>
              <w:top w:type="dxa" w:w="70"/>
              <w:left w:type="dxa" w:w="90"/>
              <w:bottom w:type="dxa" w:w="70"/>
              <w:right w:type="dxa" w:w="90"/>
            </w:tcMar>
            <w:vAlign w:val="top"/>
          </w:tcPr>
          <w:p>
            <w:r>
              <w:rPr>
                <w:b w:val="false"/>
                <w:bCs w:val="false"/>
                <w:color w:val="000000"/>
                <w:sz w:val="17"/>
                <w:szCs w:val="17"/>
              </w:rPr>
              <w:t xml:space="preserve">Aggregated KPI and status data from the Analytics store (Section 6.13) — never raw operational or document data.</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Frequency</w:t>
            </w:r>
          </w:p>
        </w:tc>
        <w:tc>
          <w:tcPr>
            <w:tcW w:type="dxa" w:w="8192"/>
            <w:tcMar>
              <w:top w:type="dxa" w:w="70"/>
              <w:left w:type="dxa" w:w="90"/>
              <w:bottom w:type="dxa" w:w="70"/>
              <w:right w:type="dxa" w:w="90"/>
            </w:tcMar>
            <w:vAlign w:val="top"/>
          </w:tcPr>
          <w:p>
            <w:r>
              <w:rPr>
                <w:b w:val="false"/>
                <w:bCs w:val="false"/>
                <w:color w:val="000000"/>
                <w:sz w:val="17"/>
                <w:szCs w:val="17"/>
              </w:rPr>
              <w:t xml:space="preserve">Scheduled, aligned to the donor reporting cadence and the Operational-to-Analytics pipeline (Section 6.5).</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192"/>
            <w:tcMar>
              <w:top w:type="dxa" w:w="70"/>
              <w:left w:type="dxa" w:w="90"/>
              <w:bottom w:type="dxa" w:w="70"/>
              <w:right w:type="dxa" w:w="90"/>
            </w:tcMar>
            <w:vAlign w:val="top"/>
          </w:tcPr>
          <w:p>
            <w:r>
              <w:rPr>
                <w:b w:val="false"/>
                <w:bCs w:val="false"/>
                <w:color w:val="000000"/>
                <w:sz w:val="17"/>
                <w:szCs w:val="17"/>
              </w:rPr>
              <w:t xml:space="preserve">Should Have — part of the full analytics dashboard suite named in the Section 3.2 MoSCoW pass.</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Governance</w:t>
            </w:r>
          </w:p>
        </w:tc>
        <w:tc>
          <w:tcPr>
            <w:tcW w:type="dxa" w:w="8192"/>
            <w:tcMar>
              <w:top w:type="dxa" w:w="70"/>
              <w:left w:type="dxa" w:w="90"/>
              <w:bottom w:type="dxa" w:w="70"/>
              <w:right w:type="dxa" w:w="90"/>
            </w:tcMar>
            <w:vAlign w:val="top"/>
          </w:tcPr>
          <w:p>
            <w:r>
              <w:rPr>
                <w:b w:val="false"/>
                <w:bCs w:val="false"/>
                <w:color w:val="000000"/>
                <w:sz w:val="17"/>
                <w:szCs w:val="17"/>
              </w:rPr>
              <w:t xml:space="preserve">M&amp;E Focal Point owns report content; KM and ICT Units administer the export configuration.</w:t>
            </w:r>
          </w:p>
        </w:tc>
      </w:tr>
    </w:tbl>
    <w:p>
      <w:pPr>
        <w:spacing w:after="140"/>
      </w:pPr>
    </w:p>
    <w:p>
      <w:pPr>
        <w:pStyle w:val="Heading2"/>
        <w:spacing w:after="80" w:before="240"/>
      </w:pPr>
      <w:r>
        <w:t xml:space="preserve">7. Microsoft 365 / Google Workspace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c>
          <w:tcPr>
            <w:tcW w:type="dxa" w:w="2048"/>
            <w:shd w:fill="EDEFF4" w:val="clear"/>
            <w:tcMar>
              <w:top w:type="dxa" w:w="70"/>
              <w:left w:type="dxa" w:w="90"/>
              <w:bottom w:type="dxa" w:w="70"/>
              <w:right w:type="dxa" w:w="90"/>
            </w:tcMar>
            <w:vAlign w:val="top"/>
          </w:tcPr>
          <w:p>
            <w:r>
              <w:rPr>
                <w:b/>
                <w:bCs/>
                <w:color w:val="000000"/>
                <w:sz w:val="17"/>
                <w:szCs w:val="17"/>
              </w:rPr>
              <w:t xml:space="preserve">Purpose</w:t>
            </w:r>
          </w:p>
        </w:tc>
        <w:tc>
          <w:tcPr>
            <w:tcW w:type="dxa" w:w="8192"/>
            <w:tcMar>
              <w:top w:type="dxa" w:w="70"/>
              <w:left w:type="dxa" w:w="90"/>
              <w:bottom w:type="dxa" w:w="70"/>
              <w:right w:type="dxa" w:w="90"/>
            </w:tcMar>
            <w:vAlign w:val="top"/>
          </w:tcPr>
          <w:p>
            <w:r>
              <w:rPr>
                <w:b w:val="false"/>
                <w:bCs w:val="false"/>
                <w:color w:val="000000"/>
                <w:sz w:val="17"/>
                <w:szCs w:val="17"/>
              </w:rPr>
              <w:t xml:space="preserve">Supports file-format compatibility and, optionally, identity federation with whichever productivity suite the client's KM and ICT Units already use, reducing adoption friction.</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Direction</w:t>
            </w:r>
          </w:p>
        </w:tc>
        <w:tc>
          <w:tcPr>
            <w:tcW w:type="dxa" w:w="8192"/>
            <w:tcMar>
              <w:top w:type="dxa" w:w="70"/>
              <w:left w:type="dxa" w:w="90"/>
              <w:bottom w:type="dxa" w:w="70"/>
              <w:right w:type="dxa" w:w="90"/>
            </w:tcMar>
            <w:vAlign w:val="top"/>
          </w:tcPr>
          <w:p>
            <w:r>
              <w:rPr>
                <w:b w:val="false"/>
                <w:bCs w:val="false"/>
                <w:color w:val="000000"/>
                <w:sz w:val="17"/>
                <w:szCs w:val="17"/>
              </w:rPr>
              <w:t xml:space="preserve">Bidirectional — document import/export and, where configured, SSO federation.</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Protocol / Standard</w:t>
            </w:r>
          </w:p>
        </w:tc>
        <w:tc>
          <w:tcPr>
            <w:tcW w:type="dxa" w:w="8192"/>
            <w:tcMar>
              <w:top w:type="dxa" w:w="70"/>
              <w:left w:type="dxa" w:w="90"/>
              <w:bottom w:type="dxa" w:w="70"/>
              <w:right w:type="dxa" w:w="90"/>
            </w:tcMar>
            <w:vAlign w:val="top"/>
          </w:tcPr>
          <w:p>
            <w:r>
              <w:rPr>
                <w:b w:val="false"/>
                <w:bCs w:val="false"/>
                <w:color w:val="000000"/>
                <w:sz w:val="17"/>
                <w:szCs w:val="17"/>
              </w:rPr>
              <w:t xml:space="preserve">REST API (Microsoft Graph API or the Google Workspace equivalent), selected during Weeks 1–2 based on the client's existing productivity suite rather than presumed in advance, consistent with the Technology Independence principle.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Authentication</w:t>
            </w:r>
          </w:p>
        </w:tc>
        <w:tc>
          <w:tcPr>
            <w:tcW w:type="dxa" w:w="8192"/>
            <w:tcMar>
              <w:top w:type="dxa" w:w="70"/>
              <w:left w:type="dxa" w:w="90"/>
              <w:bottom w:type="dxa" w:w="70"/>
              <w:right w:type="dxa" w:w="90"/>
            </w:tcMar>
            <w:vAlign w:val="top"/>
          </w:tcPr>
          <w:p>
            <w:r>
              <w:rPr>
                <w:b w:val="false"/>
                <w:bCs w:val="false"/>
                <w:color w:val="000000"/>
                <w:sz w:val="17"/>
                <w:szCs w:val="17"/>
              </w:rPr>
              <w:t xml:space="preserve">OAuth 2.0, using the suite's own identity platform where SSO federation is configured.</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Data Exchanged</w:t>
            </w:r>
          </w:p>
        </w:tc>
        <w:tc>
          <w:tcPr>
            <w:tcW w:type="dxa" w:w="8192"/>
            <w:tcMar>
              <w:top w:type="dxa" w:w="70"/>
              <w:left w:type="dxa" w:w="90"/>
              <w:bottom w:type="dxa" w:w="70"/>
              <w:right w:type="dxa" w:w="90"/>
            </w:tcMar>
            <w:vAlign w:val="top"/>
          </w:tcPr>
          <w:p>
            <w:r>
              <w:rPr>
                <w:b w:val="false"/>
                <w:bCs w:val="false"/>
                <w:color w:val="000000"/>
                <w:sz w:val="17"/>
                <w:szCs w:val="17"/>
              </w:rPr>
              <w:t xml:space="preserve">Document files for import/export; calendar data for the Calendar module (Section 4.2), where federation is configured.</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Frequency</w:t>
            </w:r>
          </w:p>
        </w:tc>
        <w:tc>
          <w:tcPr>
            <w:tcW w:type="dxa" w:w="8192"/>
            <w:tcMar>
              <w:top w:type="dxa" w:w="70"/>
              <w:left w:type="dxa" w:w="90"/>
              <w:bottom w:type="dxa" w:w="70"/>
              <w:right w:type="dxa" w:w="90"/>
            </w:tcMar>
            <w:vAlign w:val="top"/>
          </w:tcPr>
          <w:p>
            <w:r>
              <w:rPr>
                <w:b w:val="false"/>
                <w:bCs w:val="false"/>
                <w:color w:val="000000"/>
                <w:sz w:val="17"/>
                <w:szCs w:val="17"/>
              </w:rPr>
              <w:t xml:space="preserve">On-demand, user-initiated.</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192"/>
            <w:tcMar>
              <w:top w:type="dxa" w:w="70"/>
              <w:left w:type="dxa" w:w="90"/>
              <w:bottom w:type="dxa" w:w="70"/>
              <w:right w:type="dxa" w:w="90"/>
            </w:tcMar>
            <w:vAlign w:val="top"/>
          </w:tcPr>
          <w:p>
            <w:r>
              <w:rPr>
                <w:b w:val="false"/>
                <w:bCs w:val="false"/>
                <w:color w:val="000000"/>
                <w:sz w:val="17"/>
                <w:szCs w:val="17"/>
              </w:rPr>
              <w:t xml:space="preserve">Should Have — a productivity-compatibility convenience, not a TOR-mandated integration.</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Governance</w:t>
            </w:r>
          </w:p>
        </w:tc>
        <w:tc>
          <w:tcPr>
            <w:tcW w:type="dxa" w:w="8192"/>
            <w:tcMar>
              <w:top w:type="dxa" w:w="70"/>
              <w:left w:type="dxa" w:w="90"/>
              <w:bottom w:type="dxa" w:w="70"/>
              <w:right w:type="dxa" w:w="90"/>
            </w:tcMar>
            <w:vAlign w:val="top"/>
          </w:tcPr>
          <w:p>
            <w:r>
              <w:rPr>
                <w:b w:val="false"/>
                <w:bCs w:val="false"/>
                <w:color w:val="000000"/>
                <w:sz w:val="17"/>
                <w:szCs w:val="17"/>
              </w:rPr>
              <w:t xml:space="preserve">KM and ICT Units select and administer the specific suite integration; the Governance Charter governs what document types may be exported externally.</w:t>
            </w:r>
          </w:p>
        </w:tc>
      </w:tr>
    </w:tbl>
    <w:p>
      <w:pPr>
        <w:spacing w:after="140"/>
      </w:pPr>
    </w:p>
    <w:p>
      <w:pPr>
        <w:pStyle w:val="Heading2"/>
        <w:spacing w:after="80" w:before="240"/>
      </w:pPr>
      <w:r>
        <w:t xml:space="preserve">8. API Standards (REST, GraphQL, Webhooks)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c>
          <w:tcPr>
            <w:tcW w:type="dxa" w:w="2048"/>
            <w:shd w:fill="EDEFF4" w:val="clear"/>
            <w:tcMar>
              <w:top w:type="dxa" w:w="70"/>
              <w:left w:type="dxa" w:w="90"/>
              <w:bottom w:type="dxa" w:w="70"/>
              <w:right w:type="dxa" w:w="90"/>
            </w:tcMar>
            <w:vAlign w:val="top"/>
          </w:tcPr>
          <w:p>
            <w:r>
              <w:rPr>
                <w:b/>
                <w:bCs/>
                <w:color w:val="000000"/>
                <w:sz w:val="17"/>
                <w:szCs w:val="17"/>
              </w:rPr>
              <w:t xml:space="preserve">Purpose</w:t>
            </w:r>
          </w:p>
        </w:tc>
        <w:tc>
          <w:tcPr>
            <w:tcW w:type="dxa" w:w="8192"/>
            <w:tcMar>
              <w:top w:type="dxa" w:w="70"/>
              <w:left w:type="dxa" w:w="90"/>
              <w:bottom w:type="dxa" w:w="70"/>
              <w:right w:type="dxa" w:w="90"/>
            </w:tcMar>
            <w:vAlign w:val="top"/>
          </w:tcPr>
          <w:p>
            <w:r>
              <w:rPr>
                <w:b w:val="false"/>
                <w:bCs w:val="false"/>
                <w:color w:val="000000"/>
                <w:sz w:val="17"/>
                <w:szCs w:val="17"/>
              </w:rPr>
              <w:t xml:space="preserve">Establishes the technical standards every other integration point in this section conforms to, rather than existing as a standalone integration itself.</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Direction</w:t>
            </w:r>
          </w:p>
        </w:tc>
        <w:tc>
          <w:tcPr>
            <w:tcW w:type="dxa" w:w="8192"/>
            <w:tcMar>
              <w:top w:type="dxa" w:w="70"/>
              <w:left w:type="dxa" w:w="90"/>
              <w:bottom w:type="dxa" w:w="70"/>
              <w:right w:type="dxa" w:w="90"/>
            </w:tcMar>
            <w:vAlign w:val="top"/>
          </w:tcPr>
          <w:p>
            <w:r>
              <w:rPr>
                <w:b w:val="false"/>
                <w:bCs w:val="false"/>
                <w:color w:val="000000"/>
                <w:sz w:val="17"/>
                <w:szCs w:val="17"/>
              </w:rPr>
              <w:t xml:space="preserve">N/A — a standards layer, not a connection to a specific external system.</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Protocol / Standard</w:t>
            </w:r>
          </w:p>
        </w:tc>
        <w:tc>
          <w:tcPr>
            <w:tcW w:type="dxa" w:w="8192"/>
            <w:tcMar>
              <w:top w:type="dxa" w:w="70"/>
              <w:left w:type="dxa" w:w="90"/>
              <w:bottom w:type="dxa" w:w="70"/>
              <w:right w:type="dxa" w:w="90"/>
            </w:tcMar>
            <w:vAlign w:val="top"/>
          </w:tcPr>
          <w:p>
            <w:r>
              <w:rPr>
                <w:b w:val="false"/>
                <w:bCs w:val="false"/>
                <w:color w:val="000000"/>
                <w:sz w:val="17"/>
                <w:szCs w:val="17"/>
              </w:rPr>
              <w:t xml:space="preserve">REST is the Phase 1 baseline for all synchronous integrations; Webhooks are the Phase 1 baseline for all event-driven integrations; GraphQL is held as a Phase 2 option specifically for BI and analytics consumers that benefit from flexible, client-specified queries over the Analytics store.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Authentication</w:t>
            </w:r>
          </w:p>
        </w:tc>
        <w:tc>
          <w:tcPr>
            <w:tcW w:type="dxa" w:w="8192"/>
            <w:tcMar>
              <w:top w:type="dxa" w:w="70"/>
              <w:left w:type="dxa" w:w="90"/>
              <w:bottom w:type="dxa" w:w="70"/>
              <w:right w:type="dxa" w:w="90"/>
            </w:tcMar>
            <w:vAlign w:val="top"/>
          </w:tcPr>
          <w:p>
            <w:r>
              <w:rPr>
                <w:b w:val="false"/>
                <w:bCs w:val="false"/>
                <w:color w:val="000000"/>
                <w:sz w:val="17"/>
                <w:szCs w:val="17"/>
              </w:rPr>
              <w:t xml:space="preserve">OAuth 2.0 token-based authentication is the standard across all REST and webhook endpoints, detailed in Section 7.6.</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Data Exchanged</w:t>
            </w:r>
          </w:p>
        </w:tc>
        <w:tc>
          <w:tcPr>
            <w:tcW w:type="dxa" w:w="8192"/>
            <w:tcMar>
              <w:top w:type="dxa" w:w="70"/>
              <w:left w:type="dxa" w:w="90"/>
              <w:bottom w:type="dxa" w:w="70"/>
              <w:right w:type="dxa" w:w="90"/>
            </w:tcMar>
            <w:vAlign w:val="top"/>
          </w:tcPr>
          <w:p>
            <w:r>
              <w:rPr>
                <w:b w:val="false"/>
                <w:bCs w:val="false"/>
                <w:color w:val="000000"/>
                <w:sz w:val="17"/>
                <w:szCs w:val="17"/>
              </w:rPr>
              <w:t xml:space="preserve">N/A — governs the format and contract of data exchange, not a specific dataset.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Frequency</w:t>
            </w:r>
          </w:p>
        </w:tc>
        <w:tc>
          <w:tcPr>
            <w:tcW w:type="dxa" w:w="8192"/>
            <w:tcMar>
              <w:top w:type="dxa" w:w="70"/>
              <w:left w:type="dxa" w:w="90"/>
              <w:bottom w:type="dxa" w:w="70"/>
              <w:right w:type="dxa" w:w="90"/>
            </w:tcMar>
            <w:vAlign w:val="top"/>
          </w:tcPr>
          <w:p>
            <w:r>
              <w:rPr>
                <w:b w:val="false"/>
                <w:bCs w:val="false"/>
                <w:color w:val="000000"/>
                <w:sz w:val="17"/>
                <w:szCs w:val="17"/>
              </w:rPr>
              <w:t xml:space="preserve">N/A — a permanent architectural standard, not a scheduled exchange.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192"/>
            <w:tcMar>
              <w:top w:type="dxa" w:w="70"/>
              <w:left w:type="dxa" w:w="90"/>
              <w:bottom w:type="dxa" w:w="70"/>
              <w:right w:type="dxa" w:w="90"/>
            </w:tcMar>
            <w:vAlign w:val="top"/>
          </w:tcPr>
          <w:p>
            <w:r>
              <w:rPr>
                <w:b w:val="false"/>
                <w:bCs w:val="false"/>
                <w:color w:val="000000"/>
                <w:sz w:val="17"/>
                <w:szCs w:val="17"/>
              </w:rPr>
              <w:t xml:space="preserve">Must Have — every Must Have integration point in this inventory depends on these standards being fixed and consistent.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Governance</w:t>
            </w:r>
          </w:p>
        </w:tc>
        <w:tc>
          <w:tcPr>
            <w:tcW w:type="dxa" w:w="8192"/>
            <w:tcMar>
              <w:top w:type="dxa" w:w="70"/>
              <w:left w:type="dxa" w:w="90"/>
              <w:bottom w:type="dxa" w:w="70"/>
              <w:right w:type="dxa" w:w="90"/>
            </w:tcMar>
            <w:vAlign w:val="top"/>
          </w:tcPr>
          <w:p>
            <w:r>
              <w:rPr>
                <w:b w:val="false"/>
                <w:bCs w:val="false"/>
                <w:color w:val="000000"/>
                <w:sz w:val="17"/>
                <w:szCs w:val="17"/>
              </w:rPr>
              <w:t xml:space="preserve">Interface contracts are documented and versioned by the consultant during the build, then maintained by KM and ICT Units.</w:t>
            </w:r>
          </w:p>
        </w:tc>
      </w:tr>
    </w:tbl>
    <w:p>
      <w:pPr>
        <w:spacing w:after="140"/>
      </w:pPr>
    </w:p>
    <w:p>
      <w:pPr>
        <w:pStyle w:val="Heading2"/>
        <w:spacing w:after="80" w:before="240"/>
      </w:pPr>
      <w:r>
        <w:t xml:space="preserve">9. File Storage Integration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c>
          <w:tcPr>
            <w:tcW w:type="dxa" w:w="2048"/>
            <w:shd w:fill="EDEFF4" w:val="clear"/>
            <w:tcMar>
              <w:top w:type="dxa" w:w="70"/>
              <w:left w:type="dxa" w:w="90"/>
              <w:bottom w:type="dxa" w:w="70"/>
              <w:right w:type="dxa" w:w="90"/>
            </w:tcMar>
            <w:vAlign w:val="top"/>
          </w:tcPr>
          <w:p>
            <w:r>
              <w:rPr>
                <w:b/>
                <w:bCs/>
                <w:color w:val="000000"/>
                <w:sz w:val="17"/>
                <w:szCs w:val="17"/>
              </w:rPr>
              <w:t xml:space="preserve">Purpose</w:t>
            </w:r>
          </w:p>
        </w:tc>
        <w:tc>
          <w:tcPr>
            <w:tcW w:type="dxa" w:w="8192"/>
            <w:tcMar>
              <w:top w:type="dxa" w:w="70"/>
              <w:left w:type="dxa" w:w="90"/>
              <w:bottom w:type="dxa" w:w="70"/>
              <w:right w:type="dxa" w:w="90"/>
            </w:tcMar>
            <w:vAlign w:val="top"/>
          </w:tcPr>
          <w:p>
            <w:r>
              <w:rPr>
                <w:b w:val="false"/>
                <w:bCs w:val="false"/>
                <w:color w:val="000000"/>
                <w:sz w:val="17"/>
                <w:szCs w:val="17"/>
              </w:rPr>
              <w:t xml:space="preserve">Connects the object storage layer (Section 6.4) to external cloud storage where state teams already maintain working files, easing the migration and adoption path.</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Direction</w:t>
            </w:r>
          </w:p>
        </w:tc>
        <w:tc>
          <w:tcPr>
            <w:tcW w:type="dxa" w:w="8192"/>
            <w:tcMar>
              <w:top w:type="dxa" w:w="70"/>
              <w:left w:type="dxa" w:w="90"/>
              <w:bottom w:type="dxa" w:w="70"/>
              <w:right w:type="dxa" w:w="90"/>
            </w:tcMar>
            <w:vAlign w:val="top"/>
          </w:tcPr>
          <w:p>
            <w:r>
              <w:rPr>
                <w:b w:val="false"/>
                <w:bCs w:val="false"/>
                <w:color w:val="000000"/>
                <w:sz w:val="17"/>
                <w:szCs w:val="17"/>
              </w:rPr>
              <w:t xml:space="preserve">Bidirectional — import of existing files during migration (Section 6.8); ongoing sync is optional and Should Have only.</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Protocol / Standard</w:t>
            </w:r>
          </w:p>
        </w:tc>
        <w:tc>
          <w:tcPr>
            <w:tcW w:type="dxa" w:w="8192"/>
            <w:tcMar>
              <w:top w:type="dxa" w:w="70"/>
              <w:left w:type="dxa" w:w="90"/>
              <w:bottom w:type="dxa" w:w="70"/>
              <w:right w:type="dxa" w:w="90"/>
            </w:tcMar>
            <w:vAlign w:val="top"/>
          </w:tcPr>
          <w:p>
            <w:r>
              <w:rPr>
                <w:b w:val="false"/>
                <w:bCs w:val="false"/>
                <w:color w:val="000000"/>
                <w:sz w:val="17"/>
                <w:szCs w:val="17"/>
              </w:rPr>
              <w:t xml:space="preserve">REST API against the relevant cloud storage provider's interface.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Authentication</w:t>
            </w:r>
          </w:p>
        </w:tc>
        <w:tc>
          <w:tcPr>
            <w:tcW w:type="dxa" w:w="8192"/>
            <w:tcMar>
              <w:top w:type="dxa" w:w="70"/>
              <w:left w:type="dxa" w:w="90"/>
              <w:bottom w:type="dxa" w:w="70"/>
              <w:right w:type="dxa" w:w="90"/>
            </w:tcMar>
            <w:vAlign w:val="top"/>
          </w:tcPr>
          <w:p>
            <w:r>
              <w:rPr>
                <w:b w:val="false"/>
                <w:bCs w:val="false"/>
                <w:color w:val="000000"/>
                <w:sz w:val="17"/>
                <w:szCs w:val="17"/>
              </w:rPr>
              <w:t xml:space="preserve">OAuth 2.0, scoped per user or per state-team service account.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Data Exchanged</w:t>
            </w:r>
          </w:p>
        </w:tc>
        <w:tc>
          <w:tcPr>
            <w:tcW w:type="dxa" w:w="8192"/>
            <w:tcMar>
              <w:top w:type="dxa" w:w="70"/>
              <w:left w:type="dxa" w:w="90"/>
              <w:bottom w:type="dxa" w:w="70"/>
              <w:right w:type="dxa" w:w="90"/>
            </w:tcMar>
            <w:vAlign w:val="top"/>
          </w:tcPr>
          <w:p>
            <w:r>
              <w:rPr>
                <w:b w:val="false"/>
                <w:bCs w:val="false"/>
                <w:color w:val="000000"/>
                <w:sz w:val="17"/>
                <w:szCs w:val="17"/>
              </w:rPr>
              <w:t xml:space="preserve">Media assets and document files; metadata is always re-classified against the shared taxonomy (Section 5.5) on import, never trusted from the external source.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Frequency</w:t>
            </w:r>
          </w:p>
        </w:tc>
        <w:tc>
          <w:tcPr>
            <w:tcW w:type="dxa" w:w="8192"/>
            <w:tcMar>
              <w:top w:type="dxa" w:w="70"/>
              <w:left w:type="dxa" w:w="90"/>
              <w:bottom w:type="dxa" w:w="70"/>
              <w:right w:type="dxa" w:w="90"/>
            </w:tcMar>
            <w:vAlign w:val="top"/>
          </w:tcPr>
          <w:p>
            <w:r>
              <w:rPr>
                <w:b w:val="false"/>
                <w:bCs w:val="false"/>
                <w:color w:val="000000"/>
                <w:sz w:val="17"/>
                <w:szCs w:val="17"/>
              </w:rPr>
              <w:t xml:space="preserve">One-time (migration) or on-demand (ongoing sync, if configured).</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19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Governance</w:t>
            </w:r>
          </w:p>
        </w:tc>
        <w:tc>
          <w:tcPr>
            <w:tcW w:type="dxa" w:w="8192"/>
            <w:tcMar>
              <w:top w:type="dxa" w:w="70"/>
              <w:left w:type="dxa" w:w="90"/>
              <w:bottom w:type="dxa" w:w="70"/>
              <w:right w:type="dxa" w:w="90"/>
            </w:tcMar>
            <w:vAlign w:val="top"/>
          </w:tcPr>
          <w:p>
            <w:r>
              <w:rPr>
                <w:b w:val="false"/>
                <w:bCs w:val="false"/>
                <w:color w:val="000000"/>
                <w:sz w:val="17"/>
                <w:szCs w:val="17"/>
              </w:rPr>
              <w:t xml:space="preserve">KMC confirms taxonomy compliance on import; KM and ICT Units administer the connection.</w:t>
            </w:r>
          </w:p>
        </w:tc>
      </w:tr>
    </w:tbl>
    <w:p>
      <w:pPr>
        <w:spacing w:after="140"/>
      </w:pPr>
    </w:p>
    <w:p>
      <w:pPr>
        <w:pStyle w:val="Heading2"/>
        <w:spacing w:after="80" w:before="240"/>
      </w:pPr>
      <w:r>
        <w:t xml:space="preserve">10. Mobile Access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c>
          <w:tcPr>
            <w:tcW w:type="dxa" w:w="2048"/>
            <w:shd w:fill="EDEFF4" w:val="clear"/>
            <w:tcMar>
              <w:top w:type="dxa" w:w="70"/>
              <w:left w:type="dxa" w:w="90"/>
              <w:bottom w:type="dxa" w:w="70"/>
              <w:right w:type="dxa" w:w="90"/>
            </w:tcMar>
            <w:vAlign w:val="top"/>
          </w:tcPr>
          <w:p>
            <w:r>
              <w:rPr>
                <w:b/>
                <w:bCs/>
                <w:color w:val="000000"/>
                <w:sz w:val="17"/>
                <w:szCs w:val="17"/>
              </w:rPr>
              <w:t xml:space="preserve">Purpose</w:t>
            </w:r>
          </w:p>
        </w:tc>
        <w:tc>
          <w:tcPr>
            <w:tcW w:type="dxa" w:w="8192"/>
            <w:tcMar>
              <w:top w:type="dxa" w:w="70"/>
              <w:left w:type="dxa" w:w="90"/>
              <w:bottom w:type="dxa" w:w="70"/>
              <w:right w:type="dxa" w:w="90"/>
            </w:tcMar>
            <w:vAlign w:val="top"/>
          </w:tcPr>
          <w:p>
            <w:r>
              <w:rPr>
                <w:b w:val="false"/>
                <w:bCs w:val="false"/>
                <w:color w:val="000000"/>
                <w:sz w:val="17"/>
                <w:szCs w:val="17"/>
              </w:rPr>
              <w:t xml:space="preserve">Exposes the same API endpoints used by the responsive web experience (Section 4.6, module 28) to a mobile context, rather than maintaining a separate mobile-specific backend.</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Direction</w:t>
            </w:r>
          </w:p>
        </w:tc>
        <w:tc>
          <w:tcPr>
            <w:tcW w:type="dxa" w:w="8192"/>
            <w:tcMar>
              <w:top w:type="dxa" w:w="70"/>
              <w:left w:type="dxa" w:w="90"/>
              <w:bottom w:type="dxa" w:w="70"/>
              <w:right w:type="dxa" w:w="90"/>
            </w:tcMar>
            <w:vAlign w:val="top"/>
          </w:tcPr>
          <w:p>
            <w:r>
              <w:rPr>
                <w:b w:val="false"/>
                <w:bCs w:val="false"/>
                <w:color w:val="000000"/>
                <w:sz w:val="17"/>
                <w:szCs w:val="17"/>
              </w:rPr>
              <w:t xml:space="preserve">Bidirectional.</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Protocol / Standard</w:t>
            </w:r>
          </w:p>
        </w:tc>
        <w:tc>
          <w:tcPr>
            <w:tcW w:type="dxa" w:w="8192"/>
            <w:tcMar>
              <w:top w:type="dxa" w:w="70"/>
              <w:left w:type="dxa" w:w="90"/>
              <w:bottom w:type="dxa" w:w="70"/>
              <w:right w:type="dxa" w:w="90"/>
            </w:tcMar>
            <w:vAlign w:val="top"/>
          </w:tcPr>
          <w:p>
            <w:r>
              <w:rPr>
                <w:b w:val="false"/>
                <w:bCs w:val="false"/>
                <w:color w:val="000000"/>
                <w:sz w:val="17"/>
                <w:szCs w:val="17"/>
              </w:rPr>
              <w:t xml:space="preserve">REST, identical to the web application's own API surface.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Authentication</w:t>
            </w:r>
          </w:p>
        </w:tc>
        <w:tc>
          <w:tcPr>
            <w:tcW w:type="dxa" w:w="8192"/>
            <w:tcMar>
              <w:top w:type="dxa" w:w="70"/>
              <w:left w:type="dxa" w:w="90"/>
              <w:bottom w:type="dxa" w:w="70"/>
              <w:right w:type="dxa" w:w="90"/>
            </w:tcMar>
            <w:vAlign w:val="top"/>
          </w:tcPr>
          <w:p>
            <w:r>
              <w:rPr>
                <w:b w:val="false"/>
                <w:bCs w:val="false"/>
                <w:color w:val="000000"/>
                <w:sz w:val="17"/>
                <w:szCs w:val="17"/>
              </w:rPr>
              <w:t xml:space="preserve">OAuth 2.0 with mobile-appropriate token refresh handling, given less reliable connectivity.</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Data Exchanged</w:t>
            </w:r>
          </w:p>
        </w:tc>
        <w:tc>
          <w:tcPr>
            <w:tcW w:type="dxa" w:w="8192"/>
            <w:tcMar>
              <w:top w:type="dxa" w:w="70"/>
              <w:left w:type="dxa" w:w="90"/>
              <w:bottom w:type="dxa" w:w="70"/>
              <w:right w:type="dxa" w:w="90"/>
            </w:tcMar>
            <w:vAlign w:val="top"/>
          </w:tcPr>
          <w:p>
            <w:r>
              <w:rPr>
                <w:b w:val="false"/>
                <w:bCs w:val="false"/>
                <w:color w:val="000000"/>
                <w:sz w:val="17"/>
                <w:szCs w:val="17"/>
              </w:rPr>
              <w:t xml:space="preserve">The same data as the web experience, scoped to what a mobile context can reasonably support (Section 4.6).</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Frequency</w:t>
            </w:r>
          </w:p>
        </w:tc>
        <w:tc>
          <w:tcPr>
            <w:tcW w:type="dxa" w:w="8192"/>
            <w:tcMar>
              <w:top w:type="dxa" w:w="70"/>
              <w:left w:type="dxa" w:w="90"/>
              <w:bottom w:type="dxa" w:w="70"/>
              <w:right w:type="dxa" w:w="90"/>
            </w:tcMar>
            <w:vAlign w:val="top"/>
          </w:tcPr>
          <w:p>
            <w:r>
              <w:rPr>
                <w:b w:val="false"/>
                <w:bCs w:val="false"/>
                <w:color w:val="000000"/>
                <w:sz w:val="17"/>
                <w:szCs w:val="17"/>
              </w:rPr>
              <w:t xml:space="preserve">On-demand, per user session.</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192"/>
            <w:tcMar>
              <w:top w:type="dxa" w:w="70"/>
              <w:left w:type="dxa" w:w="90"/>
              <w:bottom w:type="dxa" w:w="70"/>
              <w:right w:type="dxa" w:w="90"/>
            </w:tcMar>
            <w:vAlign w:val="top"/>
          </w:tcPr>
          <w:p>
            <w:r>
              <w:rPr>
                <w:b w:val="false"/>
                <w:bCs w:val="false"/>
                <w:color w:val="000000"/>
                <w:sz w:val="17"/>
                <w:szCs w:val="17"/>
              </w:rPr>
              <w:t xml:space="preserve">Should Have (responsive web); Could Have (native app), matching the Mobile module's own priority split.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Governance</w:t>
            </w:r>
          </w:p>
        </w:tc>
        <w:tc>
          <w:tcPr>
            <w:tcW w:type="dxa" w:w="8192"/>
            <w:tcMar>
              <w:top w:type="dxa" w:w="70"/>
              <w:left w:type="dxa" w:w="90"/>
              <w:bottom w:type="dxa" w:w="70"/>
              <w:right w:type="dxa" w:w="90"/>
            </w:tcMar>
            <w:vAlign w:val="top"/>
          </w:tcPr>
          <w:p>
            <w:r>
              <w:rPr>
                <w:b w:val="false"/>
                <w:bCs w:val="false"/>
                <w:color w:val="000000"/>
                <w:sz w:val="17"/>
                <w:szCs w:val="17"/>
              </w:rPr>
              <w:t xml:space="preserve">KM and ICT Units; native-app scoping deferred to Section 11 (Digital Transformation Roadmap).</w:t>
            </w:r>
          </w:p>
        </w:tc>
      </w:tr>
    </w:tbl>
    <w:p>
      <w:pPr>
        <w:spacing w:after="140"/>
      </w:pPr>
    </w:p>
    <w:p>
      <w:pPr>
        <w:pStyle w:val="Heading2"/>
        <w:spacing w:after="80" w:before="240"/>
      </w:pPr>
      <w:r>
        <w:t xml:space="preserve">11. Future ERP / MIS / M&amp;E System Integration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c>
          <w:tcPr>
            <w:tcW w:type="dxa" w:w="2048"/>
            <w:shd w:fill="EDEFF4" w:val="clear"/>
            <w:tcMar>
              <w:top w:type="dxa" w:w="70"/>
              <w:left w:type="dxa" w:w="90"/>
              <w:bottom w:type="dxa" w:w="70"/>
              <w:right w:type="dxa" w:w="90"/>
            </w:tcMar>
            <w:vAlign w:val="top"/>
          </w:tcPr>
          <w:p>
            <w:r>
              <w:rPr>
                <w:b/>
                <w:bCs/>
                <w:color w:val="000000"/>
                <w:sz w:val="17"/>
                <w:szCs w:val="17"/>
              </w:rPr>
              <w:t xml:space="preserve">Purpose</w:t>
            </w:r>
          </w:p>
        </w:tc>
        <w:tc>
          <w:tcPr>
            <w:tcW w:type="dxa" w:w="8192"/>
            <w:tcMar>
              <w:top w:type="dxa" w:w="70"/>
              <w:left w:type="dxa" w:w="90"/>
              <w:bottom w:type="dxa" w:w="70"/>
              <w:right w:type="dxa" w:w="90"/>
            </w:tcMar>
            <w:vAlign w:val="top"/>
          </w:tcPr>
          <w:p>
            <w:r>
              <w:rPr>
                <w:b w:val="false"/>
                <w:bCs w:val="false"/>
                <w:color w:val="000000"/>
                <w:sz w:val="17"/>
                <w:szCs w:val="17"/>
              </w:rPr>
              <w:t xml:space="preserve">Reserves an architectural placeholder for integration with a future Enterprise Resource Planning, Management Information System, or Monitoring &amp; Evaluation system, none of which are named or required by the current TOR.</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Direction</w:t>
            </w:r>
          </w:p>
        </w:tc>
        <w:tc>
          <w:tcPr>
            <w:tcW w:type="dxa" w:w="8192"/>
            <w:tcMar>
              <w:top w:type="dxa" w:w="70"/>
              <w:left w:type="dxa" w:w="90"/>
              <w:bottom w:type="dxa" w:w="70"/>
              <w:right w:type="dxa" w:w="90"/>
            </w:tcMar>
            <w:vAlign w:val="top"/>
          </w:tcPr>
          <w:p>
            <w:r>
              <w:rPr>
                <w:b w:val="false"/>
                <w:bCs w:val="false"/>
                <w:color w:val="000000"/>
                <w:sz w:val="17"/>
                <w:szCs w:val="17"/>
              </w:rPr>
              <w:t xml:space="preserve">Bidirectional (future).</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Protocol / Standard</w:t>
            </w:r>
          </w:p>
        </w:tc>
        <w:tc>
          <w:tcPr>
            <w:tcW w:type="dxa" w:w="8192"/>
            <w:tcMar>
              <w:top w:type="dxa" w:w="70"/>
              <w:left w:type="dxa" w:w="90"/>
              <w:bottom w:type="dxa" w:w="70"/>
              <w:right w:type="dxa" w:w="90"/>
            </w:tcMar>
            <w:vAlign w:val="top"/>
          </w:tcPr>
          <w:p>
            <w:r>
              <w:rPr>
                <w:b w:val="false"/>
                <w:bCs w:val="false"/>
                <w:color w:val="000000"/>
                <w:sz w:val="17"/>
                <w:szCs w:val="17"/>
              </w:rPr>
              <w:t xml:space="preserve">REST, to be specified at the time a specific future system is identified, consistent with the Technology Independence principle of not presuming a target before it exists.</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Authentication</w:t>
            </w:r>
          </w:p>
        </w:tc>
        <w:tc>
          <w:tcPr>
            <w:tcW w:type="dxa" w:w="8192"/>
            <w:tcMar>
              <w:top w:type="dxa" w:w="70"/>
              <w:left w:type="dxa" w:w="90"/>
              <w:bottom w:type="dxa" w:w="70"/>
              <w:right w:type="dxa" w:w="90"/>
            </w:tcMar>
            <w:vAlign w:val="top"/>
          </w:tcPr>
          <w:p>
            <w:r>
              <w:rPr>
                <w:b w:val="false"/>
                <w:bCs w:val="false"/>
                <w:color w:val="000000"/>
                <w:sz w:val="17"/>
                <w:szCs w:val="17"/>
              </w:rPr>
              <w:t xml:space="preserve">To be specified at time of integration; will conform to the OAuth 2.0 standard fixed in this section.</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Data Exchanged</w:t>
            </w:r>
          </w:p>
        </w:tc>
        <w:tc>
          <w:tcPr>
            <w:tcW w:type="dxa" w:w="8192"/>
            <w:tcMar>
              <w:top w:type="dxa" w:w="70"/>
              <w:left w:type="dxa" w:w="90"/>
              <w:bottom w:type="dxa" w:w="70"/>
              <w:right w:type="dxa" w:w="90"/>
            </w:tcMar>
            <w:vAlign w:val="top"/>
          </w:tcPr>
          <w:p>
            <w:r>
              <w:rPr>
                <w:b w:val="false"/>
                <w:bCs w:val="false"/>
                <w:color w:val="000000"/>
                <w:sz w:val="17"/>
                <w:szCs w:val="17"/>
              </w:rPr>
              <w:t xml:space="preserve">Not yet defined; any future exchange will pass through the same Integration &amp; API Gateway hub and the same Governance Charter approval this section applies to every other integration point.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Frequency</w:t>
            </w:r>
          </w:p>
        </w:tc>
        <w:tc>
          <w:tcPr>
            <w:tcW w:type="dxa" w:w="8192"/>
            <w:tcMar>
              <w:top w:type="dxa" w:w="70"/>
              <w:left w:type="dxa" w:w="90"/>
              <w:bottom w:type="dxa" w:w="70"/>
              <w:right w:type="dxa" w:w="90"/>
            </w:tcMar>
            <w:vAlign w:val="top"/>
          </w:tcPr>
          <w:p>
            <w:r>
              <w:rPr>
                <w:b w:val="false"/>
                <w:bCs w:val="false"/>
                <w:color w:val="000000"/>
                <w:sz w:val="17"/>
                <w:szCs w:val="17"/>
              </w:rPr>
              <w:t xml:space="preserve">Not applicable at present.</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192"/>
            <w:tcMar>
              <w:top w:type="dxa" w:w="70"/>
              <w:left w:type="dxa" w:w="90"/>
              <w:bottom w:type="dxa" w:w="70"/>
              <w:right w:type="dxa" w:w="90"/>
            </w:tcMar>
            <w:vAlign w:val="top"/>
          </w:tcPr>
          <w:p>
            <w:r>
              <w:rPr>
                <w:b w:val="false"/>
                <w:bCs w:val="false"/>
                <w:color w:val="000000"/>
                <w:sz w:val="17"/>
                <w:szCs w:val="17"/>
              </w:rPr>
              <w:t xml:space="preserve">Could Have — explicitly a Phase 2 roadmap placeholder, elaborated in Section 11 (Digital Transformation Roadmap).</w:t>
            </w:r>
          </w:p>
        </w:tc>
      </w:tr>
      <w:tr>
        <w:tc>
          <w:tcPr>
            <w:tcW w:type="dxa" w:w="2048"/>
            <w:shd w:fill="EDEFF4" w:val="clear"/>
            <w:tcMar>
              <w:top w:type="dxa" w:w="70"/>
              <w:left w:type="dxa" w:w="90"/>
              <w:bottom w:type="dxa" w:w="70"/>
              <w:right w:type="dxa" w:w="90"/>
            </w:tcMar>
            <w:vAlign w:val="top"/>
          </w:tcPr>
          <w:p>
            <w:r>
              <w:rPr>
                <w:b/>
                <w:bCs/>
                <w:color w:val="000000"/>
                <w:sz w:val="17"/>
                <w:szCs w:val="17"/>
              </w:rPr>
              <w:t xml:space="preserve">Governance</w:t>
            </w:r>
          </w:p>
        </w:tc>
        <w:tc>
          <w:tcPr>
            <w:tcW w:type="dxa" w:w="8192"/>
            <w:tcMar>
              <w:top w:type="dxa" w:w="70"/>
              <w:left w:type="dxa" w:w="90"/>
              <w:bottom w:type="dxa" w:w="70"/>
              <w:right w:type="dxa" w:w="90"/>
            </w:tcMar>
            <w:vAlign w:val="top"/>
          </w:tcPr>
          <w:p>
            <w:r>
              <w:rPr>
                <w:b w:val="false"/>
                <w:bCs w:val="false"/>
                <w:color w:val="000000"/>
                <w:sz w:val="17"/>
                <w:szCs w:val="17"/>
              </w:rPr>
              <w:t xml:space="preserve">Any future integration requires a new Decision Register entry (Section 4.4) and Enterprise Architecture Review Board approval before design begins.</w:t>
            </w:r>
          </w:p>
        </w:tc>
      </w:tr>
    </w:tbl>
    <w:p>
      <w:pPr>
        <w:spacing w:after="140"/>
      </w:pPr>
    </w:p>
    <w:p>
      <w:pPr>
        <w:pStyle w:val="Heading1"/>
        <w:pBdr>
          <w:bottom w:val="single" w:color="1F3864" w:sz="6" w:space="4"/>
        </w:pBdr>
        <w:spacing w:after="130" w:before="320"/>
      </w:pPr>
      <w:r>
        <w:t xml:space="preserve">7.5 API Design Standards</w:t>
      </w:r>
    </w:p>
    <w:p>
      <w:pPr>
        <w:spacing w:after="150" w:line="276"/>
        <w:jc w:val="both"/>
      </w:pPr>
      <w:r>
        <w:t xml:space="preserve">Every REST endpoint exposed by the Integration &amp; API Gateway follows four fixed conventions: contract-first design, where the interface is documented and agreed before implementation begins, so external parties (principally the SAPZ Public Website) integrate against a stable specification rather than a moving target; explicit versioning, so a future change to an interface does not silently break an existing integration; consistent error handling and status codes, so integration failures are diagnosable from the response alone; and rate limiting, protecting ESM and CKR from being degraded by a misbehaving or overly aggressive external caller.</w:t>
      </w:r>
    </w:p>
    <w:p>
      <w:pPr>
        <w:spacing w:after="150" w:line="276"/>
        <w:jc w:val="both"/>
      </w:pPr>
      <w:r>
        <w:t xml:space="preserve">GraphQL is deliberately not part of the Phase 1 baseline. REST alone satisfies every Must Have and Should Have integration point in the Section 7.2 inventory; introducing a second API paradigm during a fixed twelve-week schedule would add technical surface area without a corresponding TOR-mandated need. GraphQL is held for Phase 2 specifically because Business Intelligence consumers (Section 4.4) are the one class of client that benefits materially from client-specified, flexible queries over the Analytics store — a benefit that only becomes relevant once the Phase 2 Business Intelligence layer itself is built.</w:t>
      </w:r>
    </w:p>
    <w:p>
      <w:pPr>
        <w:pStyle w:val="Heading1"/>
        <w:pBdr>
          <w:bottom w:val="single" w:color="1F3864" w:sz="6" w:space="4"/>
        </w:pBdr>
        <w:spacing w:after="130" w:before="320"/>
      </w:pPr>
      <w:r>
        <w:t xml:space="preserve">7.6 Integration Governance</w:t>
      </w:r>
    </w:p>
    <w:p>
      <w:pPr>
        <w:spacing w:after="150" w:line="276"/>
        <w:jc w:val="both"/>
      </w:pPr>
      <w:r>
        <w:t xml:space="preserve">Every integration point in the Section 7.2 inventory operates under the Data &amp; Content Governance Charter (Section 2.10), consistent with the Governed Integration principle fixed in Section 1.7. In practice, this means three things hold for all eleven integration points without exception: no integration is implemented without a documented interface contract; no integration bypasses the Integration &amp; API Gateway hub to connect directly to an ESM or CKR data store; and any new integration point beyond the eleven identified here requires a Decision Register entry (Section 4.4) and Enterprise Architecture Review Board approval before design work begins, exactly as Section 7.4's Future ERP/MIS/M&amp;E profile already commits to.</w:t>
      </w:r>
    </w:p>
    <w:p>
      <w:pPr>
        <w:pStyle w:val="Heading1"/>
        <w:pBdr>
          <w:bottom w:val="single" w:color="1F3864" w:sz="6" w:space="4"/>
        </w:pBdr>
        <w:spacing w:after="130" w:before="320"/>
      </w:pPr>
      <w:r>
        <w:t xml:space="preserve">7.7 Integration Security</w:t>
      </w:r>
    </w:p>
    <w:p>
      <w:pPr>
        <w:spacing w:after="150" w:line="276"/>
        <w:jc w:val="both"/>
      </w:pPr>
      <w:r>
        <w:t xml:space="preserve">Integration-layer security is scoped here to what the Integration &amp; API Gateway itself must enforce; the full Security Architecture is developed in Section 8. OAuth 2.0 token-based authentication is mandatory on every REST and webhook endpoint without exception, including the SAPZ Public Website integration, where a narrowly scoped client-credentials grant replaces the alternative of a shared, unscoped API key. TLS encryption in transit applies to every integration point, matching the encryption-in-transit commitment already fixed for internal data pipelines in Section 6.10. Every inbound and outbound request is logged to the Audit module (Section 4.4), so an integration failure or a suspected misuse is independently investigable using the same audit trail the TOR's own objective requires for internal workflow activity.</w:t>
      </w:r>
    </w:p>
    <w:p>
      <w:pPr>
        <w:pStyle w:val="Heading1"/>
        <w:pBdr>
          <w:bottom w:val="single" w:color="1F3864" w:sz="6" w:space="4"/>
        </w:pBdr>
        <w:spacing w:after="130" w:before="320"/>
      </w:pPr>
      <w:r>
        <w:t xml:space="preserve">7.8 Transition to Section 8</w:t>
      </w:r>
    </w:p>
    <w:p>
      <w:pPr>
        <w:spacing w:after="150" w:line="276"/>
        <w:jc w:val="both"/>
      </w:pPr>
      <w:r>
        <w:t xml:space="preserve">Section 8 (Security Architecture) develops the identity, network, application, and operational security controls referenced throughout this Blueprint — RBAC, MFA, encryption, OWASP alignment, and NDPR compliance — into a complete security architecture, building directly on the integration security baseline fixed in Section 7.7 and the data security baseline fixed in Section 6.10.</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 w:type="paragraph" w:styleId="Heading2">
    <w:name w:val="Heading 2"/>
    <w:basedOn w:val="Normal"/>
    <w:next w:val="Normal"/>
    <w:qFormat/>
    <w:pPr>
      <w:spacing w:after="70" w:before="200"/>
    </w:pPr>
    <w:rPr>
      <w:rFonts w:ascii="Arial" w:cs="Arial" w:eastAsia="Arial" w:hAnsi="Arial"/>
      <w:b/>
      <w:bCs/>
      <w:color w:val="2E539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2026-07-18T07:45:49.775Z</dcterms:created>
  <dcterms:modified xsi:type="dcterms:W3CDTF">2026-07-18T07:45:49.775Z</dcterms:modified>
</cp:coreProperties>
</file>

<file path=docProps/custom.xml><?xml version="1.0" encoding="utf-8"?>
<Properties xmlns="http://schemas.openxmlformats.org/officeDocument/2006/custom-properties" xmlns:vt="http://schemas.openxmlformats.org/officeDocument/2006/docPropsVTypes"/>
</file>