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8 of 16 — Security Architecture</w:t>
      </w:r>
    </w:p>
    <w:p>
      <w:pPr>
        <w:spacing w:after="260"/>
        <w:jc w:val="center"/>
      </w:pPr>
      <w:r>
        <w:rPr>
          <w:i/>
          <w:iCs/>
          <w:color w:val="555555"/>
          <w:sz w:val="19"/>
          <w:szCs w:val="19"/>
        </w:rPr>
        <w:t xml:space="preserve">Prepared for the SAPZ National Programme Coordination Office — Consultant: Ahmed Babajide Olanrewaju</w:t>
      </w:r>
    </w:p>
    <w:p>
      <w:pPr>
        <w:spacing w:after="150" w:line="276"/>
        <w:jc w:val="both"/>
      </w:pPr>
      <w:r>
        <w:t xml:space="preserve">This section develops the security baseline referenced throughout this Blueprint — RBAC and MFA (Section 1.7, Section 4.5), encryption (Section 6.10), and integration security (Section 7.7) — into a complete Security Architecture. Security has been treated as 'designed in, not layered on afterward' since the Solution Strategy first stated that principle, and since the ESM/CKR access boundary was fixed in Section 1.3 as 'the single most important control in the architecture.' Every control in this section exists to enforce that boundary, not to replace it.</w:t>
      </w:r>
    </w:p>
    <w:p>
      <w:pPr>
        <w:pStyle w:val="Heading1"/>
        <w:pBdr>
          <w:bottom w:val="single" w:color="1F3864" w:sz="6" w:space="4"/>
        </w:pBdr>
        <w:spacing w:after="130" w:before="320"/>
      </w:pPr>
      <w:r>
        <w:t xml:space="preserve">8.1 Security Architecture Principles</w:t>
      </w:r>
    </w:p>
    <w:p>
      <w:pPr>
        <w:spacing w:after="150" w:line="276"/>
        <w:jc w:val="both"/>
      </w:pPr>
      <w:r>
        <w:t xml:space="preserve">Three principles, each already implicit in earlier sections, are made explicit here because they govern every control that follows.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rPr>
          <w:tblHeader/>
        </w:trPr>
        <w:tc>
          <w:tcPr>
            <w:tcW w:type="dxa" w:w="1843"/>
            <w:shd w:fill="1F3864" w:val="clear"/>
            <w:tcMar>
              <w:top w:type="dxa" w:w="70"/>
              <w:left w:type="dxa" w:w="90"/>
              <w:bottom w:type="dxa" w:w="70"/>
              <w:right w:type="dxa" w:w="90"/>
            </w:tcMar>
            <w:vAlign w:val="top"/>
          </w:tcPr>
          <w:p>
            <w:r>
              <w:rPr>
                <w:b/>
                <w:bCs/>
                <w:color w:val="FFFFFF"/>
                <w:sz w:val="17"/>
                <w:szCs w:val="17"/>
              </w:rPr>
              <w:t xml:space="preserve">Principle</w:t>
            </w:r>
          </w:p>
        </w:tc>
        <w:tc>
          <w:tcPr>
            <w:tcW w:type="dxa" w:w="8397"/>
            <w:shd w:fill="1F3864" w:val="clear"/>
            <w:tcMar>
              <w:top w:type="dxa" w:w="70"/>
              <w:left w:type="dxa" w:w="90"/>
              <w:bottom w:type="dxa" w:w="70"/>
              <w:right w:type="dxa" w:w="90"/>
            </w:tcMar>
            <w:vAlign w:val="top"/>
          </w:tcPr>
          <w:p>
            <w:r>
              <w:rPr>
                <w:b/>
                <w:bCs/>
                <w:color w:val="FFFFFF"/>
                <w:sz w:val="17"/>
                <w:szCs w:val="17"/>
              </w:rPr>
              <w:t xml:space="preserve">Application in This Architecture</w:t>
            </w:r>
          </w:p>
        </w:tc>
      </w:tr>
      <w:tr>
        <w:tc>
          <w:tcPr>
            <w:tcW w:type="dxa" w:w="1843"/>
            <w:tcMar>
              <w:top w:type="dxa" w:w="70"/>
              <w:left w:type="dxa" w:w="90"/>
              <w:bottom w:type="dxa" w:w="70"/>
              <w:right w:type="dxa" w:w="90"/>
            </w:tcMar>
            <w:vAlign w:val="top"/>
          </w:tcPr>
          <w:p>
            <w:r>
              <w:rPr>
                <w:b/>
                <w:bCs/>
                <w:color w:val="000000"/>
                <w:sz w:val="17"/>
                <w:szCs w:val="17"/>
              </w:rPr>
              <w:t xml:space="preserve">Zero Trust</w:t>
            </w:r>
          </w:p>
        </w:tc>
        <w:tc>
          <w:tcPr>
            <w:tcW w:type="dxa" w:w="8397"/>
            <w:tcMar>
              <w:top w:type="dxa" w:w="70"/>
              <w:left w:type="dxa" w:w="90"/>
              <w:bottom w:type="dxa" w:w="70"/>
              <w:right w:type="dxa" w:w="90"/>
            </w:tcMar>
            <w:vAlign w:val="top"/>
          </w:tcPr>
          <w:p>
            <w:r>
              <w:rPr>
                <w:b w:val="false"/>
                <w:bCs w:val="false"/>
                <w:color w:val="000000"/>
                <w:sz w:val="17"/>
                <w:szCs w:val="17"/>
              </w:rPr>
              <w:t xml:space="preserve">No request is trusted by virtue of originating inside the network perimeter or from a previously authenticated session; every request to ESM or CKR is independently verified against identity, device context, and the requested resource's classification (Section 5.4), elaborated in Section 8.4.</w:t>
            </w:r>
          </w:p>
        </w:tc>
      </w:tr>
      <w:tr>
        <w:tc>
          <w:tcPr>
            <w:tcW w:type="dxa" w:w="1843"/>
            <w:tcMar>
              <w:top w:type="dxa" w:w="70"/>
              <w:left w:type="dxa" w:w="90"/>
              <w:bottom w:type="dxa" w:w="70"/>
              <w:right w:type="dxa" w:w="90"/>
            </w:tcMar>
            <w:vAlign w:val="top"/>
          </w:tcPr>
          <w:p>
            <w:r>
              <w:rPr>
                <w:b/>
                <w:bCs/>
                <w:color w:val="000000"/>
                <w:sz w:val="17"/>
                <w:szCs w:val="17"/>
              </w:rPr>
              <w:t xml:space="preserve">Least Privilege</w:t>
            </w:r>
          </w:p>
        </w:tc>
        <w:tc>
          <w:tcPr>
            <w:tcW w:type="dxa" w:w="8397"/>
            <w:tcMar>
              <w:top w:type="dxa" w:w="70"/>
              <w:left w:type="dxa" w:w="90"/>
              <w:bottom w:type="dxa" w:w="70"/>
              <w:right w:type="dxa" w:w="90"/>
            </w:tcMar>
            <w:vAlign w:val="top"/>
          </w:tcPr>
          <w:p>
            <w:r>
              <w:rPr>
                <w:b w:val="false"/>
                <w:bCs w:val="false"/>
                <w:color w:val="000000"/>
                <w:sz w:val="17"/>
                <w:szCs w:val="17"/>
              </w:rPr>
              <w:t xml:space="preserve">Every role defined in the Identity Management module (Section 4.5) grants the minimum permission set required for its function; the RACI matrix (Section 2.13) and Decision Model (Section 2.9) already constrain who may take which action, and role design inherits those constraints directly rather than granting broader access for convenience.</w:t>
            </w:r>
          </w:p>
        </w:tc>
      </w:tr>
      <w:tr>
        <w:tc>
          <w:tcPr>
            <w:tcW w:type="dxa" w:w="1843"/>
            <w:tcMar>
              <w:top w:type="dxa" w:w="70"/>
              <w:left w:type="dxa" w:w="90"/>
              <w:bottom w:type="dxa" w:w="70"/>
              <w:right w:type="dxa" w:w="90"/>
            </w:tcMar>
            <w:vAlign w:val="top"/>
          </w:tcPr>
          <w:p>
            <w:r>
              <w:rPr>
                <w:b/>
                <w:bCs/>
                <w:color w:val="000000"/>
                <w:sz w:val="17"/>
                <w:szCs w:val="17"/>
              </w:rPr>
              <w:t xml:space="preserve">Defense in Depth</w:t>
            </w:r>
          </w:p>
        </w:tc>
        <w:tc>
          <w:tcPr>
            <w:tcW w:type="dxa" w:w="8397"/>
            <w:tcMar>
              <w:top w:type="dxa" w:w="70"/>
              <w:left w:type="dxa" w:w="90"/>
              <w:bottom w:type="dxa" w:w="70"/>
              <w:right w:type="dxa" w:w="90"/>
            </w:tcMar>
            <w:vAlign w:val="top"/>
          </w:tcPr>
          <w:p>
            <w:r>
              <w:rPr>
                <w:b w:val="false"/>
                <w:bCs w:val="false"/>
                <w:color w:val="000000"/>
                <w:sz w:val="17"/>
                <w:szCs w:val="17"/>
              </w:rPr>
              <w:t xml:space="preserve">No single control is treated as sufficient on its own. Identity verification, network controls, application-layer validation, data-layer encryption, and audit logging each operate independently, so that the failure of any one control does not by itself expose restricted content or compromise the ESM/CKR boundary.</w:t>
            </w:r>
          </w:p>
        </w:tc>
      </w:tr>
    </w:tbl>
    <w:p>
      <w:pPr>
        <w:spacing w:after="160"/>
      </w:pPr>
    </w:p>
    <w:p>
      <w:pPr>
        <w:pStyle w:val="Heading1"/>
        <w:pBdr>
          <w:bottom w:val="single" w:color="1F3864" w:sz="6" w:space="4"/>
        </w:pBdr>
        <w:spacing w:after="130" w:before="320"/>
      </w:pPr>
      <w:r>
        <w:t xml:space="preserve">8.2 Security Standards and Compliance Framework</w:t>
      </w:r>
    </w:p>
    <w:p>
      <w:pPr>
        <w:spacing w:after="150" w:line="276"/>
        <w:jc w:val="both"/>
      </w:pPr>
      <w:r>
        <w:t xml:space="preserve">Three standards frameworks govern this architecture, each applied to the specific scope it is best suited to rather than treated as interchangeable.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3072"/>
        <w:gridCol w:w="4710"/>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Framework</w:t>
            </w:r>
          </w:p>
        </w:tc>
        <w:tc>
          <w:tcPr>
            <w:tcW w:type="dxa" w:w="3072"/>
            <w:shd w:fill="1F3864" w:val="clear"/>
            <w:tcMar>
              <w:top w:type="dxa" w:w="70"/>
              <w:left w:type="dxa" w:w="90"/>
              <w:bottom w:type="dxa" w:w="70"/>
              <w:right w:type="dxa" w:w="90"/>
            </w:tcMar>
            <w:vAlign w:val="top"/>
          </w:tcPr>
          <w:p>
            <w:r>
              <w:rPr>
                <w:b/>
                <w:bCs/>
                <w:color w:val="FFFFFF"/>
                <w:sz w:val="17"/>
                <w:szCs w:val="17"/>
              </w:rPr>
              <w:t xml:space="preserve">Scope</w:t>
            </w:r>
          </w:p>
        </w:tc>
        <w:tc>
          <w:tcPr>
            <w:tcW w:type="dxa" w:w="4710"/>
            <w:shd w:fill="1F3864" w:val="clear"/>
            <w:tcMar>
              <w:top w:type="dxa" w:w="70"/>
              <w:left w:type="dxa" w:w="90"/>
              <w:bottom w:type="dxa" w:w="70"/>
              <w:right w:type="dxa" w:w="90"/>
            </w:tcMar>
            <w:vAlign w:val="top"/>
          </w:tcPr>
          <w:p>
            <w:r>
              <w:rPr>
                <w:b/>
                <w:bCs/>
                <w:color w:val="FFFFFF"/>
                <w:sz w:val="17"/>
                <w:szCs w:val="17"/>
              </w:rPr>
              <w:t xml:space="preserve">How Applied</w:t>
            </w:r>
          </w:p>
        </w:tc>
      </w:tr>
      <w:tr>
        <w:tc>
          <w:tcPr>
            <w:tcW w:type="dxa" w:w="2458"/>
            <w:tcMar>
              <w:top w:type="dxa" w:w="70"/>
              <w:left w:type="dxa" w:w="90"/>
              <w:bottom w:type="dxa" w:w="70"/>
              <w:right w:type="dxa" w:w="90"/>
            </w:tcMar>
            <w:vAlign w:val="top"/>
          </w:tcPr>
          <w:p>
            <w:r>
              <w:rPr>
                <w:b/>
                <w:bCs/>
                <w:color w:val="000000"/>
                <w:sz w:val="17"/>
                <w:szCs w:val="17"/>
              </w:rPr>
              <w:t xml:space="preserve">ISO 27001</w:t>
            </w:r>
          </w:p>
        </w:tc>
        <w:tc>
          <w:tcPr>
            <w:tcW w:type="dxa" w:w="3072"/>
            <w:tcMar>
              <w:top w:type="dxa" w:w="70"/>
              <w:left w:type="dxa" w:w="90"/>
              <w:bottom w:type="dxa" w:w="70"/>
              <w:right w:type="dxa" w:w="90"/>
            </w:tcMar>
            <w:vAlign w:val="top"/>
          </w:tcPr>
          <w:p>
            <w:r>
              <w:rPr>
                <w:b w:val="false"/>
                <w:bCs w:val="false"/>
                <w:color w:val="000000"/>
                <w:sz w:val="17"/>
                <w:szCs w:val="17"/>
              </w:rPr>
              <w:t xml:space="preserve">Overall information security management system.</w:t>
            </w:r>
          </w:p>
        </w:tc>
        <w:tc>
          <w:tcPr>
            <w:tcW w:type="dxa" w:w="4710"/>
            <w:tcMar>
              <w:top w:type="dxa" w:w="70"/>
              <w:left w:type="dxa" w:w="90"/>
              <w:bottom w:type="dxa" w:w="70"/>
              <w:right w:type="dxa" w:w="90"/>
            </w:tcMar>
            <w:vAlign w:val="top"/>
          </w:tcPr>
          <w:p>
            <w:r>
              <w:rPr>
                <w:b w:val="false"/>
                <w:bCs w:val="false"/>
                <w:color w:val="000000"/>
                <w:sz w:val="17"/>
                <w:szCs w:val="17"/>
              </w:rPr>
              <w:t xml:space="preserve">Provides the governance structure — risk assessment, control selection, and continual improvement — that Section 8.12 (Security Governance) operationalizes for this programme specifically.</w:t>
            </w:r>
          </w:p>
        </w:tc>
      </w:tr>
      <w:tr>
        <w:tc>
          <w:tcPr>
            <w:tcW w:type="dxa" w:w="2458"/>
            <w:tcMar>
              <w:top w:type="dxa" w:w="70"/>
              <w:left w:type="dxa" w:w="90"/>
              <w:bottom w:type="dxa" w:w="70"/>
              <w:right w:type="dxa" w:w="90"/>
            </w:tcMar>
            <w:vAlign w:val="top"/>
          </w:tcPr>
          <w:p>
            <w:r>
              <w:rPr>
                <w:b/>
                <w:bCs/>
                <w:color w:val="000000"/>
                <w:sz w:val="17"/>
                <w:szCs w:val="17"/>
              </w:rPr>
              <w:t xml:space="preserve">OWASP (Top 10 and ASVS)</w:t>
            </w:r>
          </w:p>
        </w:tc>
        <w:tc>
          <w:tcPr>
            <w:tcW w:type="dxa" w:w="3072"/>
            <w:tcMar>
              <w:top w:type="dxa" w:w="70"/>
              <w:left w:type="dxa" w:w="90"/>
              <w:bottom w:type="dxa" w:w="70"/>
              <w:right w:type="dxa" w:w="90"/>
            </w:tcMar>
            <w:vAlign w:val="top"/>
          </w:tcPr>
          <w:p>
            <w:r>
              <w:rPr>
                <w:b w:val="false"/>
                <w:bCs w:val="false"/>
                <w:color w:val="000000"/>
                <w:sz w:val="17"/>
                <w:szCs w:val="17"/>
              </w:rPr>
              <w:t xml:space="preserve">Application-layer security for ESM, CKR, and the Integration &amp; API Gateway.</w:t>
            </w:r>
          </w:p>
        </w:tc>
        <w:tc>
          <w:tcPr>
            <w:tcW w:type="dxa" w:w="4710"/>
            <w:tcMar>
              <w:top w:type="dxa" w:w="70"/>
              <w:left w:type="dxa" w:w="90"/>
              <w:bottom w:type="dxa" w:w="70"/>
              <w:right w:type="dxa" w:w="90"/>
            </w:tcMar>
            <w:vAlign w:val="top"/>
          </w:tcPr>
          <w:p>
            <w:r>
              <w:rPr>
                <w:b w:val="false"/>
                <w:bCs w:val="false"/>
                <w:color w:val="000000"/>
                <w:sz w:val="17"/>
                <w:szCs w:val="17"/>
              </w:rPr>
              <w:t xml:space="preserve">Guides secure coding and configuration practice during the build; referenced directly in the Identity &amp; Access Management Service profile (Section 3.4) for session and token management.</w:t>
            </w:r>
          </w:p>
        </w:tc>
      </w:tr>
      <w:tr>
        <w:tc>
          <w:tcPr>
            <w:tcW w:type="dxa" w:w="2458"/>
            <w:tcMar>
              <w:top w:type="dxa" w:w="70"/>
              <w:left w:type="dxa" w:w="90"/>
              <w:bottom w:type="dxa" w:w="70"/>
              <w:right w:type="dxa" w:w="90"/>
            </w:tcMar>
            <w:vAlign w:val="top"/>
          </w:tcPr>
          <w:p>
            <w:r>
              <w:rPr>
                <w:b/>
                <w:bCs/>
                <w:color w:val="000000"/>
                <w:sz w:val="17"/>
                <w:szCs w:val="17"/>
              </w:rPr>
              <w:t xml:space="preserve">Nigeria Data Protection Regulation (NDPR)</w:t>
            </w:r>
          </w:p>
        </w:tc>
        <w:tc>
          <w:tcPr>
            <w:tcW w:type="dxa" w:w="3072"/>
            <w:tcMar>
              <w:top w:type="dxa" w:w="70"/>
              <w:left w:type="dxa" w:w="90"/>
              <w:bottom w:type="dxa" w:w="70"/>
              <w:right w:type="dxa" w:w="90"/>
            </w:tcMar>
            <w:vAlign w:val="top"/>
          </w:tcPr>
          <w:p>
            <w:r>
              <w:rPr>
                <w:b w:val="false"/>
                <w:bCs w:val="false"/>
                <w:color w:val="000000"/>
                <w:sz w:val="17"/>
                <w:szCs w:val="17"/>
              </w:rPr>
              <w:t xml:space="preserve">Personal data protection, specifically for the personal-data inventory identified in Section 6.11.</w:t>
            </w:r>
          </w:p>
        </w:tc>
        <w:tc>
          <w:tcPr>
            <w:tcW w:type="dxa" w:w="4710"/>
            <w:tcMar>
              <w:top w:type="dxa" w:w="70"/>
              <w:left w:type="dxa" w:w="90"/>
              <w:bottom w:type="dxa" w:w="70"/>
              <w:right w:type="dxa" w:w="90"/>
            </w:tcMar>
            <w:vAlign w:val="top"/>
          </w:tcPr>
          <w:p>
            <w:r>
              <w:rPr>
                <w:b w:val="false"/>
                <w:bCs w:val="false"/>
                <w:color w:val="000000"/>
                <w:sz w:val="17"/>
                <w:szCs w:val="17"/>
              </w:rPr>
              <w:t xml:space="preserve">Governs lawful basis, retention (Section 5.18), redaction before CKR publication, and the breach-notification obligation detailed in Section 8.9 (Incident Response).</w:t>
            </w:r>
          </w:p>
        </w:tc>
      </w:tr>
    </w:tbl>
    <w:p>
      <w:pPr>
        <w:spacing w:after="160"/>
      </w:pPr>
    </w:p>
    <w:p>
      <w:pPr>
        <w:pStyle w:val="Heading1"/>
        <w:pBdr>
          <w:bottom w:val="single" w:color="1F3864" w:sz="6" w:space="4"/>
        </w:pBdr>
        <w:spacing w:after="130" w:before="320"/>
      </w:pPr>
      <w:r>
        <w:t xml:space="preserve">8.3 Identity and Access Security</w:t>
      </w:r>
    </w:p>
    <w:p>
      <w:pPr>
        <w:spacing w:after="150" w:line="276"/>
        <w:jc w:val="both"/>
      </w:pPr>
      <w:r>
        <w:t xml:space="preserve">Role-Based Access Control (RBAC) is the baseline access model across ESM and CKR, consistent with the TOR's own explicit requirement: every user holds one or more named roles (Section 6.1, User and Role entities), and every permission derives from role membership rather than being granted to an individual directly. Attribute-Based Access Control (ABAC) is layered on top of RBAC specifically where a role alone is insufficient to express the correct access decision — the clearest case being state-scoped access, where a state focal point's role must combine with their State/FCT attribute so that a Kano state focal point's 'Content Owner' role does not grant access to Kaduna state's restricted content. This is ABAC used narrowly, for a specific, named gap in RBAC, not as a wholesale replacement for it.</w:t>
      </w:r>
    </w:p>
    <w:p>
      <w:pPr>
        <w:spacing w:after="150" w:line="276"/>
        <w:jc w:val="both"/>
      </w:pPr>
      <w:r>
        <w:t xml:space="preserve">Multi-factor authentication is mandatory for every privileged and administrative role without exception, per the TOR's own explicit requirement, and is strongly encouraged though not technically forced for standard user roles in Phase 1, balancing security against the adoption-resistance risk the TOR itself names — a decision to be revisited once the Section 2.4 Capability Heat Map shows Identity Management maturing toward Level 3.</w:t>
      </w:r>
    </w:p>
    <w:p>
      <w:pPr>
        <w:pStyle w:val="Heading1"/>
        <w:pBdr>
          <w:bottom w:val="single" w:color="1F3864" w:sz="6" w:space="4"/>
        </w:pBdr>
        <w:spacing w:after="130" w:before="320"/>
      </w:pPr>
      <w:r>
        <w:t xml:space="preserve">8.4 Zero Trust Architecture</w:t>
      </w:r>
    </w:p>
    <w:p>
      <w:pPr>
        <w:spacing w:after="150" w:line="276"/>
        <w:jc w:val="both"/>
      </w:pPr>
      <w:r>
        <w:t xml:space="preserve">Zero Trust is applied concretely, not as a slogan, through three mechanisms. First, per-request verification: every call to ESM or CKR — whether from a browser, the mobile access channel (Section 7.4, integration #10), or another system through the Integration &amp; API Gateway — carries and revalidates an authentication token; no session is trusted indefinitely, and no internal network location grants implicit access. Second, micro-segmentation between ESM and CKR: the two systems are not just logically separated by access rules but operate as genuinely independent network segments, so that compromise of one does not automatically expose the other — the technical enforcement of the TOR Section 4 independence mandate. Third, context-aware access decisions: the ABAC layer described in Section 8.3 evaluates state affiliation and content classification on every request, not only at login, so a change in a user's authorization state takes effect immediately rather than only at next sign-in.</w:t>
      </w:r>
    </w:p>
    <w:p>
      <w:pPr>
        <w:spacing w:after="150" w:line="276"/>
        <w:jc w:val="both"/>
      </w:pPr>
      <w:r>
        <w:t xml:space="preserve">Zero Trust is deliberately not extended to demanding device-level attestation or continuous behavioural biometrics in Phase 1 — a genuinely aggressive Zero Trust posture common in high-security commercial environments — because that level of control would materially increase adoption friction across seven states with varying device and connectivity profiles, without a TOR-mandated or risk-justified need for it at this programme's classification level. This scoping decision is itself an example of the Architecture Review's own discipline, elaborated further in Section 15.</w:t>
      </w:r>
    </w:p>
    <w:p>
      <w:pPr>
        <w:pStyle w:val="Heading1"/>
        <w:pBdr>
          <w:bottom w:val="single" w:color="1F3864" w:sz="6" w:space="4"/>
        </w:pBdr>
        <w:spacing w:after="130" w:before="320"/>
      </w:pPr>
      <w:r>
        <w:t xml:space="preserve">8.5 Encryption</w:t>
      </w:r>
    </w:p>
    <w:p>
      <w:pPr>
        <w:spacing w:after="150" w:line="276"/>
        <w:jc w:val="both"/>
      </w:pPr>
      <w:r>
        <w:t xml:space="preserve">Encryption commitments already fixed in Section 6.10 (data layer) and Section 7.7 (integration layer) are consolidated here into a single, complete encryption standard.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4096"/>
        <w:gridCol w:w="3891"/>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Layer</w:t>
            </w:r>
          </w:p>
        </w:tc>
        <w:tc>
          <w:tcPr>
            <w:tcW w:type="dxa" w:w="4096"/>
            <w:shd w:fill="1F3864" w:val="clear"/>
            <w:tcMar>
              <w:top w:type="dxa" w:w="70"/>
              <w:left w:type="dxa" w:w="90"/>
              <w:bottom w:type="dxa" w:w="70"/>
              <w:right w:type="dxa" w:w="90"/>
            </w:tcMar>
            <w:vAlign w:val="top"/>
          </w:tcPr>
          <w:p>
            <w:r>
              <w:rPr>
                <w:b/>
                <w:bCs/>
                <w:color w:val="FFFFFF"/>
                <w:sz w:val="17"/>
                <w:szCs w:val="17"/>
              </w:rPr>
              <w:t xml:space="preserve">At Rest</w:t>
            </w:r>
          </w:p>
        </w:tc>
        <w:tc>
          <w:tcPr>
            <w:tcW w:type="dxa" w:w="3891"/>
            <w:shd w:fill="1F3864" w:val="clear"/>
            <w:tcMar>
              <w:top w:type="dxa" w:w="70"/>
              <w:left w:type="dxa" w:w="90"/>
              <w:bottom w:type="dxa" w:w="70"/>
              <w:right w:type="dxa" w:w="90"/>
            </w:tcMar>
            <w:vAlign w:val="top"/>
          </w:tcPr>
          <w:p>
            <w:r>
              <w:rPr>
                <w:b/>
                <w:bCs/>
                <w:color w:val="FFFFFF"/>
                <w:sz w:val="17"/>
                <w:szCs w:val="17"/>
              </w:rPr>
              <w:t xml:space="preserve">In Transit</w:t>
            </w:r>
          </w:p>
        </w:tc>
      </w:tr>
      <w:tr>
        <w:tc>
          <w:tcPr>
            <w:tcW w:type="dxa" w:w="2253"/>
            <w:tcMar>
              <w:top w:type="dxa" w:w="70"/>
              <w:left w:type="dxa" w:w="90"/>
              <w:bottom w:type="dxa" w:w="70"/>
              <w:right w:type="dxa" w:w="90"/>
            </w:tcMar>
            <w:vAlign w:val="top"/>
          </w:tcPr>
          <w:p>
            <w:r>
              <w:rPr>
                <w:b/>
                <w:bCs/>
                <w:color w:val="000000"/>
                <w:sz w:val="17"/>
                <w:szCs w:val="17"/>
              </w:rPr>
              <w:t xml:space="preserve">Operational database</w:t>
            </w:r>
          </w:p>
        </w:tc>
        <w:tc>
          <w:tcPr>
            <w:tcW w:type="dxa" w:w="4096"/>
            <w:tcMar>
              <w:top w:type="dxa" w:w="70"/>
              <w:left w:type="dxa" w:w="90"/>
              <w:bottom w:type="dxa" w:w="70"/>
              <w:right w:type="dxa" w:w="90"/>
            </w:tcMar>
            <w:vAlign w:val="top"/>
          </w:tcPr>
          <w:p>
            <w:r>
              <w:rPr>
                <w:b w:val="false"/>
                <w:bCs w:val="false"/>
                <w:color w:val="000000"/>
                <w:sz w:val="17"/>
                <w:szCs w:val="17"/>
              </w:rPr>
              <w:t xml:space="preserve">Full-disk or transparent data encryption on all structured Programme, Workflow, Governance, and Identity Data (Section 6.3).</w:t>
            </w:r>
          </w:p>
        </w:tc>
        <w:tc>
          <w:tcPr>
            <w:tcW w:type="dxa" w:w="3891"/>
            <w:tcMar>
              <w:top w:type="dxa" w:w="70"/>
              <w:left w:type="dxa" w:w="90"/>
              <w:bottom w:type="dxa" w:w="70"/>
              <w:right w:type="dxa" w:w="90"/>
            </w:tcMar>
            <w:vAlign w:val="top"/>
          </w:tcPr>
          <w:p>
            <w:r>
              <w:rPr>
                <w:b w:val="false"/>
                <w:bCs w:val="false"/>
                <w:color w:val="000000"/>
                <w:sz w:val="17"/>
                <w:szCs w:val="17"/>
              </w:rPr>
              <w:t xml:space="preserve">TLS 1.2 or higher for all database connections.</w:t>
            </w:r>
          </w:p>
        </w:tc>
      </w:tr>
      <w:tr>
        <w:tc>
          <w:tcPr>
            <w:tcW w:type="dxa" w:w="2253"/>
            <w:tcMar>
              <w:top w:type="dxa" w:w="70"/>
              <w:left w:type="dxa" w:w="90"/>
              <w:bottom w:type="dxa" w:w="70"/>
              <w:right w:type="dxa" w:w="90"/>
            </w:tcMar>
            <w:vAlign w:val="top"/>
          </w:tcPr>
          <w:p>
            <w:r>
              <w:rPr>
                <w:b/>
                <w:bCs/>
                <w:color w:val="000000"/>
                <w:sz w:val="17"/>
                <w:szCs w:val="17"/>
              </w:rPr>
              <w:t xml:space="preserve">Document / content store</w:t>
            </w:r>
          </w:p>
        </w:tc>
        <w:tc>
          <w:tcPr>
            <w:tcW w:type="dxa" w:w="4096"/>
            <w:tcMar>
              <w:top w:type="dxa" w:w="70"/>
              <w:left w:type="dxa" w:w="90"/>
              <w:bottom w:type="dxa" w:w="70"/>
              <w:right w:type="dxa" w:w="90"/>
            </w:tcMar>
            <w:vAlign w:val="top"/>
          </w:tcPr>
          <w:p>
            <w:r>
              <w:rPr>
                <w:b w:val="false"/>
                <w:bCs w:val="false"/>
                <w:color w:val="000000"/>
                <w:sz w:val="17"/>
                <w:szCs w:val="17"/>
              </w:rPr>
              <w:t xml:space="preserve">Encryption at rest on all ESM and CKR content bodies, without exception.</w:t>
            </w:r>
          </w:p>
        </w:tc>
        <w:tc>
          <w:tcPr>
            <w:tcW w:type="dxa" w:w="3891"/>
            <w:tcMar>
              <w:top w:type="dxa" w:w="70"/>
              <w:left w:type="dxa" w:w="90"/>
              <w:bottom w:type="dxa" w:w="70"/>
              <w:right w:type="dxa" w:w="90"/>
            </w:tcMar>
            <w:vAlign w:val="top"/>
          </w:tcPr>
          <w:p>
            <w:r>
              <w:rPr>
                <w:b w:val="false"/>
                <w:bCs w:val="false"/>
                <w:color w:val="000000"/>
                <w:sz w:val="17"/>
                <w:szCs w:val="17"/>
              </w:rPr>
              <w:t xml:space="preserve">TLS 1.2 or higher between application and content store.</w:t>
            </w:r>
          </w:p>
        </w:tc>
      </w:tr>
      <w:tr>
        <w:tc>
          <w:tcPr>
            <w:tcW w:type="dxa" w:w="2253"/>
            <w:tcMar>
              <w:top w:type="dxa" w:w="70"/>
              <w:left w:type="dxa" w:w="90"/>
              <w:bottom w:type="dxa" w:w="70"/>
              <w:right w:type="dxa" w:w="90"/>
            </w:tcMar>
            <w:vAlign w:val="top"/>
          </w:tcPr>
          <w:p>
            <w:r>
              <w:rPr>
                <w:b/>
                <w:bCs/>
                <w:color w:val="000000"/>
                <w:sz w:val="17"/>
                <w:szCs w:val="17"/>
              </w:rPr>
              <w:t xml:space="preserve">Object storage (media)</w:t>
            </w:r>
          </w:p>
        </w:tc>
        <w:tc>
          <w:tcPr>
            <w:tcW w:type="dxa" w:w="4096"/>
            <w:tcMar>
              <w:top w:type="dxa" w:w="70"/>
              <w:left w:type="dxa" w:w="90"/>
              <w:bottom w:type="dxa" w:w="70"/>
              <w:right w:type="dxa" w:w="90"/>
            </w:tcMar>
            <w:vAlign w:val="top"/>
          </w:tcPr>
          <w:p>
            <w:r>
              <w:rPr>
                <w:b w:val="false"/>
                <w:bCs w:val="false"/>
                <w:color w:val="000000"/>
                <w:sz w:val="17"/>
                <w:szCs w:val="17"/>
              </w:rPr>
              <w:t xml:space="preserve">Encryption at rest on all Media Assets.</w:t>
            </w:r>
          </w:p>
        </w:tc>
        <w:tc>
          <w:tcPr>
            <w:tcW w:type="dxa" w:w="3891"/>
            <w:tcMar>
              <w:top w:type="dxa" w:w="70"/>
              <w:left w:type="dxa" w:w="90"/>
              <w:bottom w:type="dxa" w:w="70"/>
              <w:right w:type="dxa" w:w="90"/>
            </w:tcMar>
            <w:vAlign w:val="top"/>
          </w:tcPr>
          <w:p>
            <w:r>
              <w:rPr>
                <w:b w:val="false"/>
                <w:bCs w:val="false"/>
                <w:color w:val="000000"/>
                <w:sz w:val="17"/>
                <w:szCs w:val="17"/>
              </w:rPr>
              <w:t xml:space="preserve">TLS 1.2 or higher for all upload/download operations.</w:t>
            </w:r>
          </w:p>
        </w:tc>
      </w:tr>
      <w:tr>
        <w:tc>
          <w:tcPr>
            <w:tcW w:type="dxa" w:w="2253"/>
            <w:tcMar>
              <w:top w:type="dxa" w:w="70"/>
              <w:left w:type="dxa" w:w="90"/>
              <w:bottom w:type="dxa" w:w="70"/>
              <w:right w:type="dxa" w:w="90"/>
            </w:tcMar>
            <w:vAlign w:val="top"/>
          </w:tcPr>
          <w:p>
            <w:r>
              <w:rPr>
                <w:b/>
                <w:bCs/>
                <w:color w:val="000000"/>
                <w:sz w:val="17"/>
                <w:szCs w:val="17"/>
              </w:rPr>
              <w:t xml:space="preserve">Search index</w:t>
            </w:r>
          </w:p>
        </w:tc>
        <w:tc>
          <w:tcPr>
            <w:tcW w:type="dxa" w:w="4096"/>
            <w:tcMar>
              <w:top w:type="dxa" w:w="70"/>
              <w:left w:type="dxa" w:w="90"/>
              <w:bottom w:type="dxa" w:w="70"/>
              <w:right w:type="dxa" w:w="90"/>
            </w:tcMar>
            <w:vAlign w:val="top"/>
          </w:tcPr>
          <w:p>
            <w:r>
              <w:rPr>
                <w:b w:val="false"/>
                <w:bCs w:val="false"/>
                <w:color w:val="000000"/>
                <w:sz w:val="17"/>
                <w:szCs w:val="17"/>
              </w:rPr>
              <w:t xml:space="preserve">Encryption at rest, consistent with the sensitivity of the content it indexes.</w:t>
            </w:r>
          </w:p>
        </w:tc>
        <w:tc>
          <w:tcPr>
            <w:tcW w:type="dxa" w:w="3891"/>
            <w:tcMar>
              <w:top w:type="dxa" w:w="70"/>
              <w:left w:type="dxa" w:w="90"/>
              <w:bottom w:type="dxa" w:w="70"/>
              <w:right w:type="dxa" w:w="90"/>
            </w:tcMar>
            <w:vAlign w:val="top"/>
          </w:tcPr>
          <w:p>
            <w:r>
              <w:rPr>
                <w:b w:val="false"/>
                <w:bCs w:val="false"/>
                <w:color w:val="000000"/>
                <w:sz w:val="17"/>
                <w:szCs w:val="17"/>
              </w:rPr>
              <w:t xml:space="preserve">TLS 1.2 or higher between application and index.</w:t>
            </w:r>
          </w:p>
        </w:tc>
      </w:tr>
      <w:tr>
        <w:tc>
          <w:tcPr>
            <w:tcW w:type="dxa" w:w="2253"/>
            <w:tcMar>
              <w:top w:type="dxa" w:w="70"/>
              <w:left w:type="dxa" w:w="90"/>
              <w:bottom w:type="dxa" w:w="70"/>
              <w:right w:type="dxa" w:w="90"/>
            </w:tcMar>
            <w:vAlign w:val="top"/>
          </w:tcPr>
          <w:p>
            <w:r>
              <w:rPr>
                <w:b/>
                <w:bCs/>
                <w:color w:val="000000"/>
                <w:sz w:val="17"/>
                <w:szCs w:val="17"/>
              </w:rPr>
              <w:t xml:space="preserve">Backups</w:t>
            </w:r>
          </w:p>
        </w:tc>
        <w:tc>
          <w:tcPr>
            <w:tcW w:type="dxa" w:w="4096"/>
            <w:tcMar>
              <w:top w:type="dxa" w:w="70"/>
              <w:left w:type="dxa" w:w="90"/>
              <w:bottom w:type="dxa" w:w="70"/>
              <w:right w:type="dxa" w:w="90"/>
            </w:tcMar>
            <w:vAlign w:val="top"/>
          </w:tcPr>
          <w:p>
            <w:r>
              <w:rPr>
                <w:b w:val="false"/>
                <w:bCs w:val="false"/>
                <w:color w:val="000000"/>
                <w:sz w:val="17"/>
                <w:szCs w:val="17"/>
              </w:rPr>
              <w:t xml:space="preserve">Encrypted at rest, using keys managed separately from the primary systems being backed up.</w:t>
            </w:r>
          </w:p>
        </w:tc>
        <w:tc>
          <w:tcPr>
            <w:tcW w:type="dxa" w:w="3891"/>
            <w:tcMar>
              <w:top w:type="dxa" w:w="70"/>
              <w:left w:type="dxa" w:w="90"/>
              <w:bottom w:type="dxa" w:w="70"/>
              <w:right w:type="dxa" w:w="90"/>
            </w:tcMar>
            <w:vAlign w:val="top"/>
          </w:tcPr>
          <w:p>
            <w:r>
              <w:rPr>
                <w:b w:val="false"/>
                <w:bCs w:val="false"/>
                <w:color w:val="000000"/>
                <w:sz w:val="17"/>
                <w:szCs w:val="17"/>
              </w:rPr>
              <w:t xml:space="preserve">TLS 1.2 or higher during backup transfer.</w:t>
            </w:r>
          </w:p>
        </w:tc>
      </w:tr>
      <w:tr>
        <w:tc>
          <w:tcPr>
            <w:tcW w:type="dxa" w:w="2253"/>
            <w:tcMar>
              <w:top w:type="dxa" w:w="70"/>
              <w:left w:type="dxa" w:w="90"/>
              <w:bottom w:type="dxa" w:w="70"/>
              <w:right w:type="dxa" w:w="90"/>
            </w:tcMar>
            <w:vAlign w:val="top"/>
          </w:tcPr>
          <w:p>
            <w:r>
              <w:rPr>
                <w:b/>
                <w:bCs/>
                <w:color w:val="000000"/>
                <w:sz w:val="17"/>
                <w:szCs w:val="17"/>
              </w:rPr>
              <w:t xml:space="preserve">Integration endpoints</w:t>
            </w:r>
          </w:p>
        </w:tc>
        <w:tc>
          <w:tcPr>
            <w:tcW w:type="dxa" w:w="4096"/>
            <w:tcMar>
              <w:top w:type="dxa" w:w="70"/>
              <w:left w:type="dxa" w:w="90"/>
              <w:bottom w:type="dxa" w:w="70"/>
              <w:right w:type="dxa" w:w="90"/>
            </w:tcMar>
            <w:vAlign w:val="top"/>
          </w:tcPr>
          <w:p>
            <w:r>
              <w:rPr>
                <w:b w:val="false"/>
                <w:bCs w:val="false"/>
                <w:color w:val="000000"/>
                <w:sz w:val="17"/>
                <w:szCs w:val="17"/>
              </w:rPr>
              <w:t xml:space="preserve">Not applicable — data in flight only.</w:t>
            </w:r>
          </w:p>
        </w:tc>
        <w:tc>
          <w:tcPr>
            <w:tcW w:type="dxa" w:w="3891"/>
            <w:tcMar>
              <w:top w:type="dxa" w:w="70"/>
              <w:left w:type="dxa" w:w="90"/>
              <w:bottom w:type="dxa" w:w="70"/>
              <w:right w:type="dxa" w:w="90"/>
            </w:tcMar>
            <w:vAlign w:val="top"/>
          </w:tcPr>
          <w:p>
            <w:r>
              <w:rPr>
                <w:b w:val="false"/>
                <w:bCs w:val="false"/>
                <w:color w:val="000000"/>
                <w:sz w:val="17"/>
                <w:szCs w:val="17"/>
              </w:rPr>
              <w:t xml:space="preserve">TLS 1.2 or higher on every REST, webhook, and API endpoint identified in Section 7.2, without exception.</w:t>
            </w:r>
          </w:p>
        </w:tc>
      </w:tr>
    </w:tbl>
    <w:p>
      <w:pPr>
        <w:spacing w:after="160"/>
      </w:pPr>
    </w:p>
    <w:p>
      <w:pPr>
        <w:pStyle w:val="Heading1"/>
        <w:pBdr>
          <w:bottom w:val="single" w:color="1F3864" w:sz="6" w:space="4"/>
        </w:pBdr>
        <w:spacing w:after="130" w:before="320"/>
      </w:pPr>
      <w:r>
        <w:t xml:space="preserve">8.6 Threat Model</w:t>
      </w:r>
    </w:p>
    <w:p>
      <w:pPr>
        <w:spacing w:after="150" w:line="276"/>
        <w:jc w:val="both"/>
      </w:pPr>
      <w:r>
        <w:t xml:space="preserve">Eight threats are named explicitly, each with its primary vector and the control in this Blueprint that mitigates it — the discipline of naming threats specifically rather than asserting general security 'robustness.'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3277"/>
        <w:gridCol w:w="4301"/>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Threat</w:t>
            </w:r>
          </w:p>
        </w:tc>
        <w:tc>
          <w:tcPr>
            <w:tcW w:type="dxa" w:w="3277"/>
            <w:shd w:fill="1F3864" w:val="clear"/>
            <w:tcMar>
              <w:top w:type="dxa" w:w="70"/>
              <w:left w:type="dxa" w:w="90"/>
              <w:bottom w:type="dxa" w:w="70"/>
              <w:right w:type="dxa" w:w="90"/>
            </w:tcMar>
            <w:vAlign w:val="top"/>
          </w:tcPr>
          <w:p>
            <w:r>
              <w:rPr>
                <w:b/>
                <w:bCs/>
                <w:color w:val="FFFFFF"/>
                <w:sz w:val="17"/>
                <w:szCs w:val="17"/>
              </w:rPr>
              <w:t xml:space="preserve">Primary Vector</w:t>
            </w:r>
          </w:p>
        </w:tc>
        <w:tc>
          <w:tcPr>
            <w:tcW w:type="dxa" w:w="4301"/>
            <w:shd w:fill="1F3864" w:val="clear"/>
            <w:tcMar>
              <w:top w:type="dxa" w:w="70"/>
              <w:left w:type="dxa" w:w="90"/>
              <w:bottom w:type="dxa" w:w="70"/>
              <w:right w:type="dxa" w:w="90"/>
            </w:tcMar>
            <w:vAlign w:val="top"/>
          </w:tcPr>
          <w:p>
            <w:r>
              <w:rPr>
                <w:b/>
                <w:bCs/>
                <w:color w:val="FFFFFF"/>
                <w:sz w:val="17"/>
                <w:szCs w:val="17"/>
              </w:rPr>
              <w:t xml:space="preserve">Mitigating Control</w:t>
            </w:r>
          </w:p>
        </w:tc>
      </w:tr>
      <w:tr>
        <w:tc>
          <w:tcPr>
            <w:tcW w:type="dxa" w:w="2662"/>
            <w:tcMar>
              <w:top w:type="dxa" w:w="70"/>
              <w:left w:type="dxa" w:w="90"/>
              <w:bottom w:type="dxa" w:w="70"/>
              <w:right w:type="dxa" w:w="90"/>
            </w:tcMar>
            <w:vAlign w:val="top"/>
          </w:tcPr>
          <w:p>
            <w:r>
              <w:rPr>
                <w:b/>
                <w:bCs/>
                <w:color w:val="000000"/>
                <w:sz w:val="16"/>
                <w:szCs w:val="16"/>
              </w:rPr>
              <w:t xml:space="preserve">Unauthorized access to restricted ESM content</w:t>
            </w:r>
          </w:p>
        </w:tc>
        <w:tc>
          <w:tcPr>
            <w:tcW w:type="dxa" w:w="3277"/>
            <w:tcMar>
              <w:top w:type="dxa" w:w="70"/>
              <w:left w:type="dxa" w:w="90"/>
              <w:bottom w:type="dxa" w:w="70"/>
              <w:right w:type="dxa" w:w="90"/>
            </w:tcMar>
            <w:vAlign w:val="top"/>
          </w:tcPr>
          <w:p>
            <w:r>
              <w:rPr>
                <w:b w:val="false"/>
                <w:bCs w:val="false"/>
                <w:color w:val="000000"/>
                <w:sz w:val="16"/>
                <w:szCs w:val="16"/>
              </w:rPr>
              <w:t xml:space="preserve">Compromised credentials; privilege escalation; ABAC misconfiguration.</w:t>
            </w:r>
          </w:p>
        </w:tc>
        <w:tc>
          <w:tcPr>
            <w:tcW w:type="dxa" w:w="4301"/>
            <w:tcMar>
              <w:top w:type="dxa" w:w="70"/>
              <w:left w:type="dxa" w:w="90"/>
              <w:bottom w:type="dxa" w:w="70"/>
              <w:right w:type="dxa" w:w="90"/>
            </w:tcMar>
            <w:vAlign w:val="top"/>
          </w:tcPr>
          <w:p>
            <w:r>
              <w:rPr>
                <w:b w:val="false"/>
                <w:bCs w:val="false"/>
                <w:color w:val="000000"/>
                <w:sz w:val="16"/>
                <w:szCs w:val="16"/>
              </w:rPr>
              <w:t xml:space="preserve">RBAC/ABAC (Section 8.3), Zero Trust per-request verification (Section 8.4), field-level access control (Section 6.10).</w:t>
            </w:r>
          </w:p>
        </w:tc>
      </w:tr>
      <w:tr>
        <w:tc>
          <w:tcPr>
            <w:tcW w:type="dxa" w:w="2662"/>
            <w:tcMar>
              <w:top w:type="dxa" w:w="70"/>
              <w:left w:type="dxa" w:w="90"/>
              <w:bottom w:type="dxa" w:w="70"/>
              <w:right w:type="dxa" w:w="90"/>
            </w:tcMar>
            <w:vAlign w:val="top"/>
          </w:tcPr>
          <w:p>
            <w:r>
              <w:rPr>
                <w:b/>
                <w:bCs/>
                <w:color w:val="000000"/>
                <w:sz w:val="16"/>
                <w:szCs w:val="16"/>
              </w:rPr>
              <w:t xml:space="preserve">CKR public content injection or defacement</w:t>
            </w:r>
          </w:p>
        </w:tc>
        <w:tc>
          <w:tcPr>
            <w:tcW w:type="dxa" w:w="3277"/>
            <w:tcMar>
              <w:top w:type="dxa" w:w="70"/>
              <w:left w:type="dxa" w:w="90"/>
              <w:bottom w:type="dxa" w:w="70"/>
              <w:right w:type="dxa" w:w="90"/>
            </w:tcMar>
            <w:vAlign w:val="top"/>
          </w:tcPr>
          <w:p>
            <w:r>
              <w:rPr>
                <w:b w:val="false"/>
                <w:bCs w:val="false"/>
                <w:color w:val="000000"/>
                <w:sz w:val="16"/>
                <w:szCs w:val="16"/>
              </w:rPr>
              <w:t xml:space="preserve">Compromised editorial account; unvalidated input in the publish workflow.</w:t>
            </w:r>
          </w:p>
        </w:tc>
        <w:tc>
          <w:tcPr>
            <w:tcW w:type="dxa" w:w="4301"/>
            <w:tcMar>
              <w:top w:type="dxa" w:w="70"/>
              <w:left w:type="dxa" w:w="90"/>
              <w:bottom w:type="dxa" w:w="70"/>
              <w:right w:type="dxa" w:w="90"/>
            </w:tcMar>
            <w:vAlign w:val="top"/>
          </w:tcPr>
          <w:p>
            <w:r>
              <w:rPr>
                <w:b w:val="false"/>
                <w:bCs w:val="false"/>
                <w:color w:val="000000"/>
                <w:sz w:val="16"/>
                <w:szCs w:val="16"/>
              </w:rPr>
              <w:t xml:space="preserve">Editorial review workflow (Section 5.7), MFA on privileged accounts, application-layer input validation per OWASP (Section 8.2).</w:t>
            </w:r>
          </w:p>
        </w:tc>
      </w:tr>
      <w:tr>
        <w:tc>
          <w:tcPr>
            <w:tcW w:type="dxa" w:w="2662"/>
            <w:tcMar>
              <w:top w:type="dxa" w:w="70"/>
              <w:left w:type="dxa" w:w="90"/>
              <w:bottom w:type="dxa" w:w="70"/>
              <w:right w:type="dxa" w:w="90"/>
            </w:tcMar>
            <w:vAlign w:val="top"/>
          </w:tcPr>
          <w:p>
            <w:r>
              <w:rPr>
                <w:b/>
                <w:bCs/>
                <w:color w:val="000000"/>
                <w:sz w:val="16"/>
                <w:szCs w:val="16"/>
              </w:rPr>
              <w:t xml:space="preserve">Credential compromise (phishing, weak passwords)</w:t>
            </w:r>
          </w:p>
        </w:tc>
        <w:tc>
          <w:tcPr>
            <w:tcW w:type="dxa" w:w="3277"/>
            <w:tcMar>
              <w:top w:type="dxa" w:w="70"/>
              <w:left w:type="dxa" w:w="90"/>
              <w:bottom w:type="dxa" w:w="70"/>
              <w:right w:type="dxa" w:w="90"/>
            </w:tcMar>
            <w:vAlign w:val="top"/>
          </w:tcPr>
          <w:p>
            <w:r>
              <w:rPr>
                <w:b w:val="false"/>
                <w:bCs w:val="false"/>
                <w:color w:val="000000"/>
                <w:sz w:val="16"/>
                <w:szCs w:val="16"/>
              </w:rPr>
              <w:t xml:space="preserve">Social engineering targeting state-level users with lower digital-security exposure.</w:t>
            </w:r>
          </w:p>
        </w:tc>
        <w:tc>
          <w:tcPr>
            <w:tcW w:type="dxa" w:w="4301"/>
            <w:tcMar>
              <w:top w:type="dxa" w:w="70"/>
              <w:left w:type="dxa" w:w="90"/>
              <w:bottom w:type="dxa" w:w="70"/>
              <w:right w:type="dxa" w:w="90"/>
            </w:tcMar>
            <w:vAlign w:val="top"/>
          </w:tcPr>
          <w:p>
            <w:r>
              <w:rPr>
                <w:b w:val="false"/>
                <w:bCs w:val="false"/>
                <w:color w:val="000000"/>
                <w:sz w:val="16"/>
                <w:szCs w:val="16"/>
              </w:rPr>
              <w:t xml:space="preserve">Mandatory MFA for privileged roles (Section 8.3), security-awareness training (Section 8.13).</w:t>
            </w:r>
          </w:p>
        </w:tc>
      </w:tr>
      <w:tr>
        <w:tc>
          <w:tcPr>
            <w:tcW w:type="dxa" w:w="2662"/>
            <w:tcMar>
              <w:top w:type="dxa" w:w="70"/>
              <w:left w:type="dxa" w:w="90"/>
              <w:bottom w:type="dxa" w:w="70"/>
              <w:right w:type="dxa" w:w="90"/>
            </w:tcMar>
            <w:vAlign w:val="top"/>
          </w:tcPr>
          <w:p>
            <w:r>
              <w:rPr>
                <w:b/>
                <w:bCs/>
                <w:color w:val="000000"/>
                <w:sz w:val="16"/>
                <w:szCs w:val="16"/>
              </w:rPr>
              <w:t xml:space="preserve">Insider threat via over-privileged accounts</w:t>
            </w:r>
          </w:p>
        </w:tc>
        <w:tc>
          <w:tcPr>
            <w:tcW w:type="dxa" w:w="3277"/>
            <w:tcMar>
              <w:top w:type="dxa" w:w="70"/>
              <w:left w:type="dxa" w:w="90"/>
              <w:bottom w:type="dxa" w:w="70"/>
              <w:right w:type="dxa" w:w="90"/>
            </w:tcMar>
            <w:vAlign w:val="top"/>
          </w:tcPr>
          <w:p>
            <w:r>
              <w:rPr>
                <w:b w:val="false"/>
                <w:bCs w:val="false"/>
                <w:color w:val="000000"/>
                <w:sz w:val="16"/>
                <w:szCs w:val="16"/>
              </w:rPr>
              <w:t xml:space="preserve">Excessive role permissions; departed users not de-provisioned promptly.</w:t>
            </w:r>
          </w:p>
        </w:tc>
        <w:tc>
          <w:tcPr>
            <w:tcW w:type="dxa" w:w="4301"/>
            <w:tcMar>
              <w:top w:type="dxa" w:w="70"/>
              <w:left w:type="dxa" w:w="90"/>
              <w:bottom w:type="dxa" w:w="70"/>
              <w:right w:type="dxa" w:w="90"/>
            </w:tcMar>
            <w:vAlign w:val="top"/>
          </w:tcPr>
          <w:p>
            <w:r>
              <w:rPr>
                <w:b w:val="false"/>
                <w:bCs w:val="false"/>
                <w:color w:val="000000"/>
                <w:sz w:val="16"/>
                <w:szCs w:val="16"/>
              </w:rPr>
              <w:t xml:space="preserve">Least Privilege principle (Section 8.1), periodic access review (Section 4.5), Audit module (Section 8.8).</w:t>
            </w:r>
          </w:p>
        </w:tc>
      </w:tr>
      <w:tr>
        <w:tc>
          <w:tcPr>
            <w:tcW w:type="dxa" w:w="2662"/>
            <w:tcMar>
              <w:top w:type="dxa" w:w="70"/>
              <w:left w:type="dxa" w:w="90"/>
              <w:bottom w:type="dxa" w:w="70"/>
              <w:right w:type="dxa" w:w="90"/>
            </w:tcMar>
            <w:vAlign w:val="top"/>
          </w:tcPr>
          <w:p>
            <w:r>
              <w:rPr>
                <w:b/>
                <w:bCs/>
                <w:color w:val="000000"/>
                <w:sz w:val="16"/>
                <w:szCs w:val="16"/>
              </w:rPr>
              <w:t xml:space="preserve">Denial of service against the public CKR</w:t>
            </w:r>
          </w:p>
        </w:tc>
        <w:tc>
          <w:tcPr>
            <w:tcW w:type="dxa" w:w="3277"/>
            <w:tcMar>
              <w:top w:type="dxa" w:w="70"/>
              <w:left w:type="dxa" w:w="90"/>
              <w:bottom w:type="dxa" w:w="70"/>
              <w:right w:type="dxa" w:w="90"/>
            </w:tcMar>
            <w:vAlign w:val="top"/>
          </w:tcPr>
          <w:p>
            <w:r>
              <w:rPr>
                <w:b w:val="false"/>
                <w:bCs w:val="false"/>
                <w:color w:val="000000"/>
                <w:sz w:val="16"/>
                <w:szCs w:val="16"/>
              </w:rPr>
              <w:t xml:space="preserve">Volumetric or application-layer attack against a public-facing system.</w:t>
            </w:r>
          </w:p>
        </w:tc>
        <w:tc>
          <w:tcPr>
            <w:tcW w:type="dxa" w:w="4301"/>
            <w:tcMar>
              <w:top w:type="dxa" w:w="70"/>
              <w:left w:type="dxa" w:w="90"/>
              <w:bottom w:type="dxa" w:w="70"/>
              <w:right w:type="dxa" w:w="90"/>
            </w:tcMar>
            <w:vAlign w:val="top"/>
          </w:tcPr>
          <w:p>
            <w:r>
              <w:rPr>
                <w:b w:val="false"/>
                <w:bCs w:val="false"/>
                <w:color w:val="000000"/>
                <w:sz w:val="16"/>
                <w:szCs w:val="16"/>
              </w:rPr>
              <w:t xml:space="preserve">Rate limiting at the Integration &amp; API Gateway (Section 7.5), cloud-first managed infrastructure (Section 1.7) with elastic capacity.</w:t>
            </w:r>
          </w:p>
        </w:tc>
      </w:tr>
      <w:tr>
        <w:tc>
          <w:tcPr>
            <w:tcW w:type="dxa" w:w="2662"/>
            <w:tcMar>
              <w:top w:type="dxa" w:w="70"/>
              <w:left w:type="dxa" w:w="90"/>
              <w:bottom w:type="dxa" w:w="70"/>
              <w:right w:type="dxa" w:w="90"/>
            </w:tcMar>
            <w:vAlign w:val="top"/>
          </w:tcPr>
          <w:p>
            <w:r>
              <w:rPr>
                <w:b/>
                <w:bCs/>
                <w:color w:val="000000"/>
                <w:sz w:val="16"/>
                <w:szCs w:val="16"/>
              </w:rPr>
              <w:t xml:space="preserve">Data exfiltration</w:t>
            </w:r>
          </w:p>
        </w:tc>
        <w:tc>
          <w:tcPr>
            <w:tcW w:type="dxa" w:w="3277"/>
            <w:tcMar>
              <w:top w:type="dxa" w:w="70"/>
              <w:left w:type="dxa" w:w="90"/>
              <w:bottom w:type="dxa" w:w="70"/>
              <w:right w:type="dxa" w:w="90"/>
            </w:tcMar>
            <w:vAlign w:val="top"/>
          </w:tcPr>
          <w:p>
            <w:r>
              <w:rPr>
                <w:b w:val="false"/>
                <w:bCs w:val="false"/>
                <w:color w:val="000000"/>
                <w:sz w:val="16"/>
                <w:szCs w:val="16"/>
              </w:rPr>
              <w:t xml:space="preserve">Bulk export by a compromised or malicious authorized account.</w:t>
            </w:r>
          </w:p>
        </w:tc>
        <w:tc>
          <w:tcPr>
            <w:tcW w:type="dxa" w:w="4301"/>
            <w:tcMar>
              <w:top w:type="dxa" w:w="70"/>
              <w:left w:type="dxa" w:w="90"/>
              <w:bottom w:type="dxa" w:w="70"/>
              <w:right w:type="dxa" w:w="90"/>
            </w:tcMar>
            <w:vAlign w:val="top"/>
          </w:tcPr>
          <w:p>
            <w:r>
              <w:rPr>
                <w:b w:val="false"/>
                <w:bCs w:val="false"/>
                <w:color w:val="000000"/>
                <w:sz w:val="16"/>
                <w:szCs w:val="16"/>
              </w:rPr>
              <w:t xml:space="preserve">Audit logging of all data access (Section 8.8), classification-driven access control (Section 6.10).</w:t>
            </w:r>
          </w:p>
        </w:tc>
      </w:tr>
      <w:tr>
        <w:tc>
          <w:tcPr>
            <w:tcW w:type="dxa" w:w="2662"/>
            <w:tcMar>
              <w:top w:type="dxa" w:w="70"/>
              <w:left w:type="dxa" w:w="90"/>
              <w:bottom w:type="dxa" w:w="70"/>
              <w:right w:type="dxa" w:w="90"/>
            </w:tcMar>
            <w:vAlign w:val="top"/>
          </w:tcPr>
          <w:p>
            <w:r>
              <w:rPr>
                <w:b/>
                <w:bCs/>
                <w:color w:val="000000"/>
                <w:sz w:val="16"/>
                <w:szCs w:val="16"/>
              </w:rPr>
              <w:t xml:space="preserve">Vendor / platform supply-chain risk</w:t>
            </w:r>
          </w:p>
        </w:tc>
        <w:tc>
          <w:tcPr>
            <w:tcW w:type="dxa" w:w="3277"/>
            <w:tcMar>
              <w:top w:type="dxa" w:w="70"/>
              <w:left w:type="dxa" w:w="90"/>
              <w:bottom w:type="dxa" w:w="70"/>
              <w:right w:type="dxa" w:w="90"/>
            </w:tcMar>
            <w:vAlign w:val="top"/>
          </w:tcPr>
          <w:p>
            <w:r>
              <w:rPr>
                <w:b w:val="false"/>
                <w:bCs w:val="false"/>
                <w:color w:val="000000"/>
                <w:sz w:val="16"/>
                <w:szCs w:val="16"/>
              </w:rPr>
              <w:t xml:space="preserve">Vulnerability in a third-party ECM, CMS, or integration platform.</w:t>
            </w:r>
          </w:p>
        </w:tc>
        <w:tc>
          <w:tcPr>
            <w:tcW w:type="dxa" w:w="4301"/>
            <w:tcMar>
              <w:top w:type="dxa" w:w="70"/>
              <w:left w:type="dxa" w:w="90"/>
              <w:bottom w:type="dxa" w:w="70"/>
              <w:right w:type="dxa" w:w="90"/>
            </w:tcMar>
            <w:vAlign w:val="top"/>
          </w:tcPr>
          <w:p>
            <w:r>
              <w:rPr>
                <w:b w:val="false"/>
                <w:bCs w:val="false"/>
                <w:color w:val="000000"/>
                <w:sz w:val="16"/>
                <w:szCs w:val="16"/>
              </w:rPr>
              <w:t xml:space="preserve">Vendor selection criteria in Section 10 favouring platforms with active security maintenance; patch management (Section 8.13).</w:t>
            </w:r>
          </w:p>
        </w:tc>
      </w:tr>
      <w:tr>
        <w:tc>
          <w:tcPr>
            <w:tcW w:type="dxa" w:w="2662"/>
            <w:tcMar>
              <w:top w:type="dxa" w:w="70"/>
              <w:left w:type="dxa" w:w="90"/>
              <w:bottom w:type="dxa" w:w="70"/>
              <w:right w:type="dxa" w:w="90"/>
            </w:tcMar>
            <w:vAlign w:val="top"/>
          </w:tcPr>
          <w:p>
            <w:r>
              <w:rPr>
                <w:b/>
                <w:bCs/>
                <w:color w:val="000000"/>
                <w:sz w:val="16"/>
                <w:szCs w:val="16"/>
              </w:rPr>
              <w:t xml:space="preserve">Social engineering targeting state teams</w:t>
            </w:r>
          </w:p>
        </w:tc>
        <w:tc>
          <w:tcPr>
            <w:tcW w:type="dxa" w:w="3277"/>
            <w:tcMar>
              <w:top w:type="dxa" w:w="70"/>
              <w:left w:type="dxa" w:w="90"/>
              <w:bottom w:type="dxa" w:w="70"/>
              <w:right w:type="dxa" w:w="90"/>
            </w:tcMar>
            <w:vAlign w:val="top"/>
          </w:tcPr>
          <w:p>
            <w:r>
              <w:rPr>
                <w:b w:val="false"/>
                <w:bCs w:val="false"/>
                <w:color w:val="000000"/>
                <w:sz w:val="16"/>
                <w:szCs w:val="16"/>
              </w:rPr>
              <w:t xml:space="preserve">Low-security-awareness targets impersonated by an attacker claiming programme authority.</w:t>
            </w:r>
          </w:p>
        </w:tc>
        <w:tc>
          <w:tcPr>
            <w:tcW w:type="dxa" w:w="4301"/>
            <w:tcMar>
              <w:top w:type="dxa" w:w="70"/>
              <w:left w:type="dxa" w:w="90"/>
              <w:bottom w:type="dxa" w:w="70"/>
              <w:right w:type="dxa" w:w="90"/>
            </w:tcMar>
            <w:vAlign w:val="top"/>
          </w:tcPr>
          <w:p>
            <w:r>
              <w:rPr>
                <w:b w:val="false"/>
                <w:bCs w:val="false"/>
                <w:color w:val="000000"/>
                <w:sz w:val="16"/>
                <w:szCs w:val="16"/>
              </w:rPr>
              <w:t xml:space="preserve">Security-awareness training embedded in the Training module (Section 4.6), delivered progressively rather than compressed into Week 12.</w:t>
            </w:r>
          </w:p>
        </w:tc>
      </w:tr>
    </w:tbl>
    <w:p>
      <w:pPr>
        <w:spacing w:after="160"/>
      </w:pPr>
    </w:p>
    <w:p>
      <w:pPr>
        <w:pStyle w:val="Heading1"/>
        <w:pBdr>
          <w:bottom w:val="single" w:color="1F3864" w:sz="6" w:space="4"/>
        </w:pBdr>
        <w:spacing w:after="130" w:before="320"/>
      </w:pPr>
      <w:r>
        <w:t xml:space="preserve">8.7 Logging and Monitoring</w:t>
      </w:r>
    </w:p>
    <w:p>
      <w:pPr>
        <w:spacing w:after="150" w:line="276"/>
        <w:jc w:val="both"/>
      </w:pPr>
      <w:r>
        <w:t xml:space="preserve">Every application identified in Section 3.3 emits security-relevant events — authentication attempts, access grants and denials, administrative actions, and data-export events — to a centralized log aggregation point, rather than each application maintaining an isolated log a security review would need to reassemble manually. Automated monitoring rules flag anomalies against expected patterns: repeated failed authentication attempts, access requests outside a user's normal state affiliation, or bulk data access inconsistent with a role's typical usage, each routing an alert to the Notifications module (Section 4.5) and, for high-severity anomalies, directly to the KM and ICT Units' Support function (Section 4.6, module 27).</w:t>
      </w:r>
    </w:p>
    <w:p>
      <w:pPr>
        <w:pStyle w:val="Heading1"/>
        <w:pBdr>
          <w:bottom w:val="single" w:color="1F3864" w:sz="6" w:space="4"/>
        </w:pBdr>
        <w:spacing w:after="130" w:before="320"/>
      </w:pPr>
      <w:r>
        <w:t xml:space="preserve">8.8 Audit Trails</w:t>
      </w:r>
    </w:p>
    <w:p>
      <w:pPr>
        <w:spacing w:after="150" w:line="276"/>
        <w:jc w:val="both"/>
      </w:pPr>
      <w:r>
        <w:t xml:space="preserve">The Audit module specified functionally in Section 4.4 is given its security-architecture backing here: audit log entries are immutable once written — no user or administrator, including a system administrator, can alter or delete an existing entry outside a formally logged, Decision-Register-approved exception — and any attempted access to the raw audit log itself generates its own audit event, per the module's own Notifications attribute (Section 4.4). Audit retention follows the Long-term retention class fixed in Section 5.18 (ten years from programme component closure), reflecting audit logs' role as the primary evidence base for donor supervision missions and any future compliance review.</w:t>
      </w:r>
    </w:p>
    <w:p>
      <w:pPr>
        <w:pStyle w:val="Heading1"/>
        <w:pBdr>
          <w:bottom w:val="single" w:color="1F3864" w:sz="6" w:space="4"/>
        </w:pBdr>
        <w:spacing w:after="130" w:before="320"/>
      </w:pPr>
      <w:r>
        <w:t xml:space="preserve">8.9 Incident Response</w:t>
      </w:r>
    </w:p>
    <w:p>
      <w:pPr>
        <w:spacing w:after="150" w:line="276"/>
        <w:jc w:val="both"/>
      </w:pPr>
      <w:r>
        <w:t xml:space="preserve">A five-stage incident response process governs every security event, with severity determining escalation path and response time.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331"/>
        <w:gridCol w:w="3072"/>
        <w:gridCol w:w="2048"/>
        <w:gridCol w:w="3789"/>
      </w:tblGrid>
      <w:tr>
        <w:trPr>
          <w:tblHeader/>
        </w:trPr>
        <w:tc>
          <w:tcPr>
            <w:tcW w:type="dxa" w:w="1331"/>
            <w:shd w:fill="1F3864" w:val="clear"/>
            <w:tcMar>
              <w:top w:type="dxa" w:w="70"/>
              <w:left w:type="dxa" w:w="90"/>
              <w:bottom w:type="dxa" w:w="70"/>
              <w:right w:type="dxa" w:w="90"/>
            </w:tcMar>
            <w:vAlign w:val="top"/>
          </w:tcPr>
          <w:p>
            <w:r>
              <w:rPr>
                <w:b/>
                <w:bCs/>
                <w:color w:val="FFFFFF"/>
                <w:sz w:val="17"/>
                <w:szCs w:val="17"/>
              </w:rPr>
              <w:t xml:space="preserve">Severity</w:t>
            </w:r>
          </w:p>
        </w:tc>
        <w:tc>
          <w:tcPr>
            <w:tcW w:type="dxa" w:w="3072"/>
            <w:shd w:fill="1F3864" w:val="clear"/>
            <w:tcMar>
              <w:top w:type="dxa" w:w="70"/>
              <w:left w:type="dxa" w:w="90"/>
              <w:bottom w:type="dxa" w:w="70"/>
              <w:right w:type="dxa" w:w="90"/>
            </w:tcMar>
            <w:vAlign w:val="top"/>
          </w:tcPr>
          <w:p>
            <w:r>
              <w:rPr>
                <w:b/>
                <w:bCs/>
                <w:color w:val="FFFFFF"/>
                <w:sz w:val="17"/>
                <w:szCs w:val="17"/>
              </w:rPr>
              <w:t xml:space="preserve">Example</w:t>
            </w:r>
          </w:p>
        </w:tc>
        <w:tc>
          <w:tcPr>
            <w:tcW w:type="dxa" w:w="2048"/>
            <w:shd w:fill="1F3864" w:val="clear"/>
            <w:tcMar>
              <w:top w:type="dxa" w:w="70"/>
              <w:left w:type="dxa" w:w="90"/>
              <w:bottom w:type="dxa" w:w="70"/>
              <w:right w:type="dxa" w:w="90"/>
            </w:tcMar>
            <w:vAlign w:val="top"/>
          </w:tcPr>
          <w:p>
            <w:r>
              <w:rPr>
                <w:b/>
                <w:bCs/>
                <w:color w:val="FFFFFF"/>
                <w:sz w:val="17"/>
                <w:szCs w:val="17"/>
              </w:rPr>
              <w:t xml:space="preserve">Response Time</w:t>
            </w:r>
          </w:p>
        </w:tc>
        <w:tc>
          <w:tcPr>
            <w:tcW w:type="dxa" w:w="3789"/>
            <w:shd w:fill="1F3864" w:val="clear"/>
            <w:tcMar>
              <w:top w:type="dxa" w:w="70"/>
              <w:left w:type="dxa" w:w="90"/>
              <w:bottom w:type="dxa" w:w="70"/>
              <w:right w:type="dxa" w:w="90"/>
            </w:tcMar>
            <w:vAlign w:val="top"/>
          </w:tcPr>
          <w:p>
            <w:r>
              <w:rPr>
                <w:b/>
                <w:bCs/>
                <w:color w:val="FFFFFF"/>
                <w:sz w:val="17"/>
                <w:szCs w:val="17"/>
              </w:rPr>
              <w:t xml:space="preserve">Escalation</w:t>
            </w:r>
          </w:p>
        </w:tc>
      </w:tr>
      <w:tr>
        <w:tc>
          <w:tcPr>
            <w:tcW w:type="dxa" w:w="1331"/>
            <w:tcMar>
              <w:top w:type="dxa" w:w="70"/>
              <w:left w:type="dxa" w:w="90"/>
              <w:bottom w:type="dxa" w:w="70"/>
              <w:right w:type="dxa" w:w="90"/>
            </w:tcMar>
            <w:vAlign w:val="top"/>
          </w:tcPr>
          <w:p>
            <w:r>
              <w:rPr>
                <w:b/>
                <w:bCs/>
                <w:color w:val="000000"/>
                <w:sz w:val="16"/>
                <w:szCs w:val="16"/>
              </w:rPr>
              <w:t xml:space="preserve">Critical</w:t>
            </w:r>
          </w:p>
        </w:tc>
        <w:tc>
          <w:tcPr>
            <w:tcW w:type="dxa" w:w="3072"/>
            <w:tcMar>
              <w:top w:type="dxa" w:w="70"/>
              <w:left w:type="dxa" w:w="90"/>
              <w:bottom w:type="dxa" w:w="70"/>
              <w:right w:type="dxa" w:w="90"/>
            </w:tcMar>
            <w:vAlign w:val="top"/>
          </w:tcPr>
          <w:p>
            <w:r>
              <w:rPr>
                <w:b w:val="false"/>
                <w:bCs w:val="false"/>
                <w:color w:val="000000"/>
                <w:sz w:val="16"/>
                <w:szCs w:val="16"/>
              </w:rPr>
              <w:t xml:space="preserve">Confirmed unauthorized access to restricted ESM content; active data exfiltration.</w:t>
            </w:r>
          </w:p>
        </w:tc>
        <w:tc>
          <w:tcPr>
            <w:tcW w:type="dxa" w:w="2048"/>
            <w:tcMar>
              <w:top w:type="dxa" w:w="70"/>
              <w:left w:type="dxa" w:w="90"/>
              <w:bottom w:type="dxa" w:w="70"/>
              <w:right w:type="dxa" w:w="90"/>
            </w:tcMar>
            <w:vAlign w:val="top"/>
          </w:tcPr>
          <w:p>
            <w:r>
              <w:rPr>
                <w:b w:val="false"/>
                <w:bCs w:val="false"/>
                <w:color w:val="000000"/>
                <w:sz w:val="16"/>
                <w:szCs w:val="16"/>
              </w:rPr>
              <w:t xml:space="preserve">Immediate (within 1 hour of detection)</w:t>
            </w:r>
          </w:p>
        </w:tc>
        <w:tc>
          <w:tcPr>
            <w:tcW w:type="dxa" w:w="3789"/>
            <w:tcMar>
              <w:top w:type="dxa" w:w="70"/>
              <w:left w:type="dxa" w:w="90"/>
              <w:bottom w:type="dxa" w:w="70"/>
              <w:right w:type="dxa" w:w="90"/>
            </w:tcMar>
            <w:vAlign w:val="top"/>
          </w:tcPr>
          <w:p>
            <w:r>
              <w:rPr>
                <w:b w:val="false"/>
                <w:bCs w:val="false"/>
                <w:color w:val="000000"/>
                <w:sz w:val="16"/>
                <w:szCs w:val="16"/>
              </w:rPr>
              <w:t xml:space="preserve">KM and ICT Units → KMC and National Programme Coordinator immediately; NDPR breach-notification assessment begins in parallel.</w:t>
            </w:r>
          </w:p>
        </w:tc>
      </w:tr>
      <w:tr>
        <w:tc>
          <w:tcPr>
            <w:tcW w:type="dxa" w:w="1331"/>
            <w:tcMar>
              <w:top w:type="dxa" w:w="70"/>
              <w:left w:type="dxa" w:w="90"/>
              <w:bottom w:type="dxa" w:w="70"/>
              <w:right w:type="dxa" w:w="90"/>
            </w:tcMar>
            <w:vAlign w:val="top"/>
          </w:tcPr>
          <w:p>
            <w:r>
              <w:rPr>
                <w:b/>
                <w:bCs/>
                <w:color w:val="000000"/>
                <w:sz w:val="16"/>
                <w:szCs w:val="16"/>
              </w:rPr>
              <w:t xml:space="preserve">High</w:t>
            </w:r>
          </w:p>
        </w:tc>
        <w:tc>
          <w:tcPr>
            <w:tcW w:type="dxa" w:w="3072"/>
            <w:tcMar>
              <w:top w:type="dxa" w:w="70"/>
              <w:left w:type="dxa" w:w="90"/>
              <w:bottom w:type="dxa" w:w="70"/>
              <w:right w:type="dxa" w:w="90"/>
            </w:tcMar>
            <w:vAlign w:val="top"/>
          </w:tcPr>
          <w:p>
            <w:r>
              <w:rPr>
                <w:b w:val="false"/>
                <w:bCs w:val="false"/>
                <w:color w:val="000000"/>
                <w:sz w:val="16"/>
                <w:szCs w:val="16"/>
              </w:rPr>
              <w:t xml:space="preserve">CKR defacement; suspected but unconfirmed credential compromise.</w:t>
            </w:r>
          </w:p>
        </w:tc>
        <w:tc>
          <w:tcPr>
            <w:tcW w:type="dxa" w:w="2048"/>
            <w:tcMar>
              <w:top w:type="dxa" w:w="70"/>
              <w:left w:type="dxa" w:w="90"/>
              <w:bottom w:type="dxa" w:w="70"/>
              <w:right w:type="dxa" w:w="90"/>
            </w:tcMar>
            <w:vAlign w:val="top"/>
          </w:tcPr>
          <w:p>
            <w:r>
              <w:rPr>
                <w:b w:val="false"/>
                <w:bCs w:val="false"/>
                <w:color w:val="000000"/>
                <w:sz w:val="16"/>
                <w:szCs w:val="16"/>
              </w:rPr>
              <w:t xml:space="preserve">Within 4 business hours</w:t>
            </w:r>
          </w:p>
        </w:tc>
        <w:tc>
          <w:tcPr>
            <w:tcW w:type="dxa" w:w="3789"/>
            <w:tcMar>
              <w:top w:type="dxa" w:w="70"/>
              <w:left w:type="dxa" w:w="90"/>
              <w:bottom w:type="dxa" w:w="70"/>
              <w:right w:type="dxa" w:w="90"/>
            </w:tcMar>
            <w:vAlign w:val="top"/>
          </w:tcPr>
          <w:p>
            <w:r>
              <w:rPr>
                <w:b w:val="false"/>
                <w:bCs w:val="false"/>
                <w:color w:val="000000"/>
                <w:sz w:val="16"/>
                <w:szCs w:val="16"/>
              </w:rPr>
              <w:t xml:space="preserve">KM and ICT Units → KMC; National Programme Coordinator informed.</w:t>
            </w:r>
          </w:p>
        </w:tc>
      </w:tr>
      <w:tr>
        <w:tc>
          <w:tcPr>
            <w:tcW w:type="dxa" w:w="1331"/>
            <w:tcMar>
              <w:top w:type="dxa" w:w="70"/>
              <w:left w:type="dxa" w:w="90"/>
              <w:bottom w:type="dxa" w:w="70"/>
              <w:right w:type="dxa" w:w="90"/>
            </w:tcMar>
            <w:vAlign w:val="top"/>
          </w:tcPr>
          <w:p>
            <w:r>
              <w:rPr>
                <w:b/>
                <w:bCs/>
                <w:color w:val="000000"/>
                <w:sz w:val="16"/>
                <w:szCs w:val="16"/>
              </w:rPr>
              <w:t xml:space="preserve">Medium</w:t>
            </w:r>
          </w:p>
        </w:tc>
        <w:tc>
          <w:tcPr>
            <w:tcW w:type="dxa" w:w="3072"/>
            <w:tcMar>
              <w:top w:type="dxa" w:w="70"/>
              <w:left w:type="dxa" w:w="90"/>
              <w:bottom w:type="dxa" w:w="70"/>
              <w:right w:type="dxa" w:w="90"/>
            </w:tcMar>
            <w:vAlign w:val="top"/>
          </w:tcPr>
          <w:p>
            <w:r>
              <w:rPr>
                <w:b w:val="false"/>
                <w:bCs w:val="false"/>
                <w:color w:val="000000"/>
                <w:sz w:val="16"/>
                <w:szCs w:val="16"/>
              </w:rPr>
              <w:t xml:space="preserve">Repeated failed-login anomaly; a single de-provisioning delay.</w:t>
            </w:r>
          </w:p>
        </w:tc>
        <w:tc>
          <w:tcPr>
            <w:tcW w:type="dxa" w:w="2048"/>
            <w:tcMar>
              <w:top w:type="dxa" w:w="70"/>
              <w:left w:type="dxa" w:w="90"/>
              <w:bottom w:type="dxa" w:w="70"/>
              <w:right w:type="dxa" w:w="90"/>
            </w:tcMar>
            <w:vAlign w:val="top"/>
          </w:tcPr>
          <w:p>
            <w:r>
              <w:rPr>
                <w:b w:val="false"/>
                <w:bCs w:val="false"/>
                <w:color w:val="000000"/>
                <w:sz w:val="16"/>
                <w:szCs w:val="16"/>
              </w:rPr>
              <w:t xml:space="preserve">Within 1 business day</w:t>
            </w:r>
          </w:p>
        </w:tc>
        <w:tc>
          <w:tcPr>
            <w:tcW w:type="dxa" w:w="3789"/>
            <w:tcMar>
              <w:top w:type="dxa" w:w="70"/>
              <w:left w:type="dxa" w:w="90"/>
              <w:bottom w:type="dxa" w:w="70"/>
              <w:right w:type="dxa" w:w="90"/>
            </w:tcMar>
            <w:vAlign w:val="top"/>
          </w:tcPr>
          <w:p>
            <w:r>
              <w:rPr>
                <w:b w:val="false"/>
                <w:bCs w:val="false"/>
                <w:color w:val="000000"/>
                <w:sz w:val="16"/>
                <w:szCs w:val="16"/>
              </w:rPr>
              <w:t xml:space="preserve">KM and ICT Units, logged to the Issue Register (Section 4.4).</w:t>
            </w:r>
          </w:p>
        </w:tc>
      </w:tr>
      <w:tr>
        <w:tc>
          <w:tcPr>
            <w:tcW w:type="dxa" w:w="1331"/>
            <w:tcMar>
              <w:top w:type="dxa" w:w="70"/>
              <w:left w:type="dxa" w:w="90"/>
              <w:bottom w:type="dxa" w:w="70"/>
              <w:right w:type="dxa" w:w="90"/>
            </w:tcMar>
            <w:vAlign w:val="top"/>
          </w:tcPr>
          <w:p>
            <w:r>
              <w:rPr>
                <w:b/>
                <w:bCs/>
                <w:color w:val="000000"/>
                <w:sz w:val="16"/>
                <w:szCs w:val="16"/>
              </w:rPr>
              <w:t xml:space="preserve">Low</w:t>
            </w:r>
          </w:p>
        </w:tc>
        <w:tc>
          <w:tcPr>
            <w:tcW w:type="dxa" w:w="3072"/>
            <w:tcMar>
              <w:top w:type="dxa" w:w="70"/>
              <w:left w:type="dxa" w:w="90"/>
              <w:bottom w:type="dxa" w:w="70"/>
              <w:right w:type="dxa" w:w="90"/>
            </w:tcMar>
            <w:vAlign w:val="top"/>
          </w:tcPr>
          <w:p>
            <w:r>
              <w:rPr>
                <w:b w:val="false"/>
                <w:bCs w:val="false"/>
                <w:color w:val="000000"/>
                <w:sz w:val="16"/>
                <w:szCs w:val="16"/>
              </w:rPr>
              <w:t xml:space="preserve">Isolated, contained anomaly with no evidence of actual compromise.</w:t>
            </w:r>
          </w:p>
        </w:tc>
        <w:tc>
          <w:tcPr>
            <w:tcW w:type="dxa" w:w="2048"/>
            <w:tcMar>
              <w:top w:type="dxa" w:w="70"/>
              <w:left w:type="dxa" w:w="90"/>
              <w:bottom w:type="dxa" w:w="70"/>
              <w:right w:type="dxa" w:w="90"/>
            </w:tcMar>
            <w:vAlign w:val="top"/>
          </w:tcPr>
          <w:p>
            <w:r>
              <w:rPr>
                <w:b w:val="false"/>
                <w:bCs w:val="false"/>
                <w:color w:val="000000"/>
                <w:sz w:val="16"/>
                <w:szCs w:val="16"/>
              </w:rPr>
              <w:t xml:space="preserve">Within 3 business days</w:t>
            </w:r>
          </w:p>
        </w:tc>
        <w:tc>
          <w:tcPr>
            <w:tcW w:type="dxa" w:w="3789"/>
            <w:tcMar>
              <w:top w:type="dxa" w:w="70"/>
              <w:left w:type="dxa" w:w="90"/>
              <w:bottom w:type="dxa" w:w="70"/>
              <w:right w:type="dxa" w:w="90"/>
            </w:tcMar>
            <w:vAlign w:val="top"/>
          </w:tcPr>
          <w:p>
            <w:r>
              <w:rPr>
                <w:b w:val="false"/>
                <w:bCs w:val="false"/>
                <w:color w:val="000000"/>
                <w:sz w:val="16"/>
                <w:szCs w:val="16"/>
              </w:rPr>
              <w:t xml:space="preserve">KM and ICT Units, tracked through routine Support module handling (Section 4.6).</w:t>
            </w:r>
          </w:p>
        </w:tc>
      </w:tr>
    </w:tbl>
    <w:p>
      <w:pPr>
        <w:spacing w:after="100"/>
      </w:pPr>
    </w:p>
    <w:p>
      <w:pPr>
        <w:spacing w:after="160" w:line="264"/>
      </w:pPr>
      <w:r>
        <w:rPr>
          <w:i/>
          <w:iCs/>
          <w:color w:val="555555"/>
          <w:sz w:val="18"/>
          <w:szCs w:val="18"/>
        </w:rPr>
        <w:t xml:space="preserve">The Incident Response process itself follows Detect → Triage → Contain → Eradicate → Recover → Review, mirroring the Support module's own incident lifecycle (Section 4.6) but adding the security-specific triage step that determines NDPR breach-notification obligations. Any Critical or High severity incident produces a logged Decision Register entry (Section 4.4) recording what occurred, what was done, and what changed to prevent recurrence — the same discipline the Architecture Review Report in Section 15 applies to the architecture itself.</w:t>
      </w:r>
    </w:p>
    <w:p>
      <w:pPr>
        <w:spacing w:after="160"/>
      </w:pPr>
    </w:p>
    <w:p>
      <w:pPr>
        <w:pStyle w:val="Heading1"/>
        <w:pBdr>
          <w:bottom w:val="single" w:color="1F3864" w:sz="6" w:space="4"/>
        </w:pBdr>
        <w:spacing w:after="130" w:before="320"/>
      </w:pPr>
      <w:r>
        <w:t xml:space="preserve">8.10 Disaster Recovery</w:t>
      </w:r>
    </w:p>
    <w:p>
      <w:pPr>
        <w:spacing w:after="150" w:line="276"/>
        <w:jc w:val="both"/>
      </w:pPr>
      <w:r>
        <w:t xml:space="preserve">Disaster recovery operationalizes the backup and recovery targets already fixed in Section 6.12 — a 24-hour Recovery Point Objective and an 8-business-hour Recovery Time Objective for the ESM and CKR core platforms — against a genuine system-loss scenario, not only a single-record restore. The cloud-first, managed-services posture fixed as a Technology Principle in Section 1.7 is what makes an 8-hour RTO realistic within this engagement's resources: a managed platform's own infrastructure resilience is relied upon rather than a bespoke, consultant-built failover mechanism the twelve-week schedule could not responsibly deliver. Disaster recovery testing follows the same twice-yearly cadence as the backup restore drills fixed in Section 6.12, with results logged to the Audit module.</w:t>
      </w:r>
    </w:p>
    <w:p>
      <w:pPr>
        <w:pStyle w:val="Heading1"/>
        <w:pBdr>
          <w:bottom w:val="single" w:color="1F3864" w:sz="6" w:space="4"/>
        </w:pBdr>
        <w:spacing w:after="130" w:before="320"/>
      </w:pPr>
      <w:r>
        <w:t xml:space="preserve">8.11 Business Continuity</w:t>
      </w:r>
    </w:p>
    <w:p>
      <w:pPr>
        <w:spacing w:after="150" w:line="276"/>
        <w:jc w:val="both"/>
      </w:pPr>
      <w:r>
        <w:t xml:space="preserve">Business continuity addresses a broader question than disaster recovery: what happens to the programme's governed workflows while ESM or CKR is unavailable, however briefly. A documented manual fallback procedure exists for the single highest-consequence workflow — Approval Workflow (Section 4.3) — so that a time-sensitive approval is not simply blocked during an outage; the fallback routes through the same named approvers using an out-of-band channel (email or phone, per the Section 7.3 Email Gateway profile), with the decision logged into the system retroactively once service is restored, preserving the audit trail's completeness rather than leaving a gap in it. Communication during an outage follows the Notification &amp; Messaging Service's own multi-channel design (Section 3.3), so that a platform outage does not simultaneously disable the channel used to communicate about the outage.</w:t>
      </w:r>
    </w:p>
    <w:p>
      <w:pPr>
        <w:pStyle w:val="Heading1"/>
        <w:pBdr>
          <w:bottom w:val="single" w:color="1F3864" w:sz="6" w:space="4"/>
        </w:pBdr>
        <w:spacing w:after="130" w:before="320"/>
      </w:pPr>
      <w:r>
        <w:t xml:space="preserve">8.12 Security Governance</w:t>
      </w:r>
    </w:p>
    <w:p>
      <w:pPr>
        <w:spacing w:after="150" w:line="276"/>
        <w:jc w:val="both"/>
      </w:pPr>
      <w:r>
        <w:t xml:space="preserve">Security governance follows the Decision Model fixed in Section 2.9 without modification: security risk decisions are owned jointly by the KMC and the National Programme Coordinator, with the KM and ICT Units consulted and the co-financing institutions informed, exactly as Section 2.9's decision table already states. The Enterprise Architecture Review Board (Section 1.7) approves any exception to the security standards fixed in this section, and any such exception is logged to the Decision Register (Section 4.4). This is a deliberate design choice: security governance is not given a separate, parallel governance structure from the rest of this architecture — it operates through the same Charter, the same Review Board, and the same decision-rights model as every other governance concern in this Blueprint, precisely because a parallel security-governance track would be exactly the kind of fragmentation this entire programme exists to eliminate.</w:t>
      </w:r>
    </w:p>
    <w:p>
      <w:pPr>
        <w:pStyle w:val="Heading1"/>
        <w:pBdr>
          <w:bottom w:val="single" w:color="1F3864" w:sz="6" w:space="4"/>
        </w:pBdr>
        <w:spacing w:after="130" w:before="320"/>
      </w:pPr>
      <w:r>
        <w:t xml:space="preserve">8.13 Security Operations</w:t>
      </w:r>
    </w:p>
    <w:p>
      <w:pPr>
        <w:spacing w:after="150" w:line="276"/>
        <w:jc w:val="both"/>
      </w:pPr>
      <w:r>
        <w:t xml:space="preserve">Four recurring operational disciplines keep the security architecture functioning after go-live, owned by the KM and ICT Units as part of their progression toward Level 3 self-sufficiency (Section 2.4).</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3891"/>
        <w:gridCol w:w="3686"/>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Discipline</w:t>
            </w:r>
          </w:p>
        </w:tc>
        <w:tc>
          <w:tcPr>
            <w:tcW w:type="dxa" w:w="3891"/>
            <w:shd w:fill="1F3864" w:val="clear"/>
            <w:tcMar>
              <w:top w:type="dxa" w:w="70"/>
              <w:left w:type="dxa" w:w="90"/>
              <w:bottom w:type="dxa" w:w="70"/>
              <w:right w:type="dxa" w:w="90"/>
            </w:tcMar>
            <w:vAlign w:val="top"/>
          </w:tcPr>
          <w:p>
            <w:r>
              <w:rPr>
                <w:b/>
                <w:bCs/>
                <w:color w:val="FFFFFF"/>
                <w:sz w:val="17"/>
                <w:szCs w:val="17"/>
              </w:rPr>
              <w:t xml:space="preserve">Cadence</w:t>
            </w:r>
          </w:p>
        </w:tc>
        <w:tc>
          <w:tcPr>
            <w:tcW w:type="dxa" w:w="3686"/>
            <w:shd w:fill="1F3864" w:val="clear"/>
            <w:tcMar>
              <w:top w:type="dxa" w:w="70"/>
              <w:left w:type="dxa" w:w="90"/>
              <w:bottom w:type="dxa" w:w="70"/>
              <w:right w:type="dxa" w:w="90"/>
            </w:tcMar>
            <w:vAlign w:val="top"/>
          </w:tcPr>
          <w:p>
            <w:r>
              <w:rPr>
                <w:b/>
                <w:bCs/>
                <w:color w:val="FFFFFF"/>
                <w:sz w:val="17"/>
                <w:szCs w:val="17"/>
              </w:rPr>
              <w:t xml:space="preserve">Owner</w:t>
            </w:r>
          </w:p>
        </w:tc>
      </w:tr>
      <w:tr>
        <w:tc>
          <w:tcPr>
            <w:tcW w:type="dxa" w:w="2662"/>
            <w:tcMar>
              <w:top w:type="dxa" w:w="70"/>
              <w:left w:type="dxa" w:w="90"/>
              <w:bottom w:type="dxa" w:w="70"/>
              <w:right w:type="dxa" w:w="90"/>
            </w:tcMar>
            <w:vAlign w:val="top"/>
          </w:tcPr>
          <w:p>
            <w:r>
              <w:rPr>
                <w:b/>
                <w:bCs/>
                <w:color w:val="000000"/>
                <w:sz w:val="17"/>
                <w:szCs w:val="17"/>
              </w:rPr>
              <w:t xml:space="preserve">Patch management</w:t>
            </w:r>
          </w:p>
        </w:tc>
        <w:tc>
          <w:tcPr>
            <w:tcW w:type="dxa" w:w="3891"/>
            <w:tcMar>
              <w:top w:type="dxa" w:w="70"/>
              <w:left w:type="dxa" w:w="90"/>
              <w:bottom w:type="dxa" w:w="70"/>
              <w:right w:type="dxa" w:w="90"/>
            </w:tcMar>
            <w:vAlign w:val="top"/>
          </w:tcPr>
          <w:p>
            <w:r>
              <w:rPr>
                <w:b w:val="false"/>
                <w:bCs w:val="false"/>
                <w:color w:val="000000"/>
                <w:sz w:val="17"/>
                <w:szCs w:val="17"/>
              </w:rPr>
              <w:t xml:space="preserve">Applied within 30 days of release for standard updates; within 72 hours for critical security patches.</w:t>
            </w:r>
          </w:p>
        </w:tc>
        <w:tc>
          <w:tcPr>
            <w:tcW w:type="dxa" w:w="3686"/>
            <w:tcMar>
              <w:top w:type="dxa" w:w="70"/>
              <w:left w:type="dxa" w:w="90"/>
              <w:bottom w:type="dxa" w:w="70"/>
              <w:right w:type="dxa" w:w="90"/>
            </w:tcMar>
            <w:vAlign w:val="top"/>
          </w:tcPr>
          <w:p>
            <w:r>
              <w:rPr>
                <w:b w:val="false"/>
                <w:bCs w:val="false"/>
                <w:color w:val="000000"/>
                <w:sz w:val="17"/>
                <w:szCs w:val="17"/>
              </w:rPr>
              <w:t xml:space="preserve">KM and ICT Units, with consultant support during the twelve-week build</w:t>
            </w:r>
          </w:p>
        </w:tc>
      </w:tr>
      <w:tr>
        <w:tc>
          <w:tcPr>
            <w:tcW w:type="dxa" w:w="2662"/>
            <w:tcMar>
              <w:top w:type="dxa" w:w="70"/>
              <w:left w:type="dxa" w:w="90"/>
              <w:bottom w:type="dxa" w:w="70"/>
              <w:right w:type="dxa" w:w="90"/>
            </w:tcMar>
            <w:vAlign w:val="top"/>
          </w:tcPr>
          <w:p>
            <w:r>
              <w:rPr>
                <w:b/>
                <w:bCs/>
                <w:color w:val="000000"/>
                <w:sz w:val="17"/>
                <w:szCs w:val="17"/>
              </w:rPr>
              <w:t xml:space="preserve">Vulnerability scanning</w:t>
            </w:r>
          </w:p>
        </w:tc>
        <w:tc>
          <w:tcPr>
            <w:tcW w:type="dxa" w:w="3891"/>
            <w:tcMar>
              <w:top w:type="dxa" w:w="70"/>
              <w:left w:type="dxa" w:w="90"/>
              <w:bottom w:type="dxa" w:w="70"/>
              <w:right w:type="dxa" w:w="90"/>
            </w:tcMar>
            <w:vAlign w:val="top"/>
          </w:tcPr>
          <w:p>
            <w:r>
              <w:rPr>
                <w:b w:val="false"/>
                <w:bCs w:val="false"/>
                <w:color w:val="000000"/>
                <w:sz w:val="17"/>
                <w:szCs w:val="17"/>
              </w:rPr>
              <w:t xml:space="preserve">Automated scanning monthly; a full assessment at go-live and annually thereafter.</w:t>
            </w:r>
          </w:p>
        </w:tc>
        <w:tc>
          <w:tcPr>
            <w:tcW w:type="dxa" w:w="3686"/>
            <w:tcMar>
              <w:top w:type="dxa" w:w="70"/>
              <w:left w:type="dxa" w:w="90"/>
              <w:bottom w:type="dxa" w:w="70"/>
              <w:right w:type="dxa" w:w="90"/>
            </w:tcMar>
            <w:vAlign w:val="top"/>
          </w:tcPr>
          <w:p>
            <w:r>
              <w:rPr>
                <w:b w:val="false"/>
                <w:bCs w:val="false"/>
                <w:color w:val="000000"/>
                <w:sz w:val="17"/>
                <w:szCs w:val="17"/>
              </w:rPr>
              <w:t xml:space="preserve">KM and ICT Units</w:t>
            </w:r>
          </w:p>
        </w:tc>
      </w:tr>
      <w:tr>
        <w:tc>
          <w:tcPr>
            <w:tcW w:type="dxa" w:w="2662"/>
            <w:tcMar>
              <w:top w:type="dxa" w:w="70"/>
              <w:left w:type="dxa" w:w="90"/>
              <w:bottom w:type="dxa" w:w="70"/>
              <w:right w:type="dxa" w:w="90"/>
            </w:tcMar>
            <w:vAlign w:val="top"/>
          </w:tcPr>
          <w:p>
            <w:r>
              <w:rPr>
                <w:b/>
                <w:bCs/>
                <w:color w:val="000000"/>
                <w:sz w:val="17"/>
                <w:szCs w:val="17"/>
              </w:rPr>
              <w:t xml:space="preserve">Access review</w:t>
            </w:r>
          </w:p>
        </w:tc>
        <w:tc>
          <w:tcPr>
            <w:tcW w:type="dxa" w:w="3891"/>
            <w:tcMar>
              <w:top w:type="dxa" w:w="70"/>
              <w:left w:type="dxa" w:w="90"/>
              <w:bottom w:type="dxa" w:w="70"/>
              <w:right w:type="dxa" w:w="90"/>
            </w:tcMar>
            <w:vAlign w:val="top"/>
          </w:tcPr>
          <w:p>
            <w:r>
              <w:rPr>
                <w:b w:val="false"/>
                <w:bCs w:val="false"/>
                <w:color w:val="000000"/>
                <w:sz w:val="17"/>
                <w:szCs w:val="17"/>
              </w:rPr>
              <w:t xml:space="preserve">Quarterly review of all privileged-role assignments; immediate review on any role change request.</w:t>
            </w:r>
          </w:p>
        </w:tc>
        <w:tc>
          <w:tcPr>
            <w:tcW w:type="dxa" w:w="3686"/>
            <w:tcMar>
              <w:top w:type="dxa" w:w="70"/>
              <w:left w:type="dxa" w:w="90"/>
              <w:bottom w:type="dxa" w:w="70"/>
              <w:right w:type="dxa" w:w="90"/>
            </w:tcMar>
            <w:vAlign w:val="top"/>
          </w:tcPr>
          <w:p>
            <w:r>
              <w:rPr>
                <w:b w:val="false"/>
                <w:bCs w:val="false"/>
                <w:color w:val="000000"/>
                <w:sz w:val="17"/>
                <w:szCs w:val="17"/>
              </w:rPr>
              <w:t xml:space="preserve">KM and ICT Units, with National Programme Coordinator sign-off (Section 4.5)</w:t>
            </w:r>
          </w:p>
        </w:tc>
      </w:tr>
      <w:tr>
        <w:tc>
          <w:tcPr>
            <w:tcW w:type="dxa" w:w="2662"/>
            <w:tcMar>
              <w:top w:type="dxa" w:w="70"/>
              <w:left w:type="dxa" w:w="90"/>
              <w:bottom w:type="dxa" w:w="70"/>
              <w:right w:type="dxa" w:w="90"/>
            </w:tcMar>
            <w:vAlign w:val="top"/>
          </w:tcPr>
          <w:p>
            <w:r>
              <w:rPr>
                <w:b/>
                <w:bCs/>
                <w:color w:val="000000"/>
                <w:sz w:val="17"/>
                <w:szCs w:val="17"/>
              </w:rPr>
              <w:t xml:space="preserve">Security-awareness training</w:t>
            </w:r>
          </w:p>
        </w:tc>
        <w:tc>
          <w:tcPr>
            <w:tcW w:type="dxa" w:w="3891"/>
            <w:tcMar>
              <w:top w:type="dxa" w:w="70"/>
              <w:left w:type="dxa" w:w="90"/>
              <w:bottom w:type="dxa" w:w="70"/>
              <w:right w:type="dxa" w:w="90"/>
            </w:tcMar>
            <w:vAlign w:val="top"/>
          </w:tcPr>
          <w:p>
            <w:r>
              <w:rPr>
                <w:b w:val="false"/>
                <w:bCs w:val="false"/>
                <w:color w:val="000000"/>
                <w:sz w:val="17"/>
                <w:szCs w:val="17"/>
              </w:rPr>
              <w:t xml:space="preserve">Delivered progressively during the build (Section 4.6), refreshed annually post-handover.</w:t>
            </w:r>
          </w:p>
        </w:tc>
        <w:tc>
          <w:tcPr>
            <w:tcW w:type="dxa" w:w="3686"/>
            <w:tcMar>
              <w:top w:type="dxa" w:w="70"/>
              <w:left w:type="dxa" w:w="90"/>
              <w:bottom w:type="dxa" w:w="70"/>
              <w:right w:type="dxa" w:w="90"/>
            </w:tcMar>
            <w:vAlign w:val="top"/>
          </w:tcPr>
          <w:p>
            <w:r>
              <w:rPr>
                <w:b w:val="false"/>
                <w:bCs w:val="false"/>
                <w:color w:val="000000"/>
                <w:sz w:val="17"/>
                <w:szCs w:val="17"/>
              </w:rPr>
              <w:t xml:space="preserve">KM and ICT Units, using the Training module's training-of-trainers content</w:t>
            </w:r>
          </w:p>
        </w:tc>
      </w:tr>
    </w:tbl>
    <w:p>
      <w:pPr>
        <w:spacing w:after="160"/>
      </w:pPr>
    </w:p>
    <w:p>
      <w:pPr>
        <w:pStyle w:val="Heading1"/>
        <w:pBdr>
          <w:bottom w:val="single" w:color="1F3864" w:sz="6" w:space="4"/>
        </w:pBdr>
        <w:spacing w:after="130" w:before="320"/>
      </w:pPr>
      <w:r>
        <w:t xml:space="preserve">8.14 Transition to Section 9</w:t>
      </w:r>
    </w:p>
    <w:p>
      <w:pPr>
        <w:spacing w:after="150" w:line="276"/>
        <w:jc w:val="both"/>
      </w:pPr>
      <w:r>
        <w:t xml:space="preserve">Section 9 (AI Strategy) builds on the security and governance discipline fixed in this section — particularly the principle that no AI feature should be proposed unless its output is explainable and auditable — to specify the AI-assisted capabilities held for the Phase 2 roadmap, clearly separated from the Phase 1 baseline this Blueprint commits to delivering within the fixed twelve-week schedule.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2026-07-18T07:55:03.290Z</dcterms:created>
  <dcterms:modified xsi:type="dcterms:W3CDTF">2026-07-18T07:55:03.290Z</dcterms:modified>
</cp:coreProperties>
</file>

<file path=docProps/custom.xml><?xml version="1.0" encoding="utf-8"?>
<Properties xmlns="http://schemas.openxmlformats.org/officeDocument/2006/custom-properties" xmlns:vt="http://schemas.openxmlformats.org/officeDocument/2006/docPropsVTypes"/>
</file>