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Enterprise Architecture &amp; Digital Transformation Blueprint</w:t>
      </w:r>
    </w:p>
    <w:p>
      <w:pPr>
        <w:spacing w:after="60"/>
        <w:jc w:val="center"/>
      </w:pPr>
      <w:r>
        <w:rPr>
          <w:b/>
          <w:bCs/>
          <w:color w:val="2E5395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5395"/>
          <w:sz w:val="24"/>
          <w:szCs w:val="24"/>
        </w:rPr>
        <w:t xml:space="preserve">Section 9 of 16 — AI Strategy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9.1 AI Strategy Positioning</w:t>
      </w:r>
    </w:p>
    <w:p>
      <w:pPr>
        <w:spacing w:after="150" w:line="276"/>
        <w:jc w:val="both"/>
      </w:pPr>
      <w:r>
        <w:t xml:space="preserve">Artificial Intelligence sits outside the TOR's explicit scope, as the Solution Strategy established in Phase 1 analysis and as the Phase Discipline principle fixed in Section 1.7 requires this Blueprint to honour without exception: Phase 1 — the fixed twelve-week baseline this engagement is contracted to deliver — includes zero AI features. Every capability named in this section is a Phase 2 roadmap item, to be proposed as a distinct, separately costed, optional follow-on, never folded silently into the Phase 1 price or timeline. This positioning is stated first, plainly, because the single greatest risk in an AI Strategy section is overpromising against a fixed-price, fixed-schedule contract three co-financing DFIs will hold the consultant to.</w:t>
      </w:r>
    </w:p>
    <w:p>
      <w:pPr>
        <w:spacing w:after="150" w:line="276"/>
        <w:jc w:val="both"/>
      </w:pPr>
      <w:r>
        <w:t xml:space="preserve">What Phase 1 does deliver is the foundation every capability in this section depends on: the shared taxonomy and metadata standard (Section 5.5), the ontology (Section 5.6), the semantic layer's non-AI precondition (Section 5.16), and the Knowledge Graph's node and edge structure (Section 5.15). No AI feature proposed below assumes a foundation Phase 1 has not actually built — the same discipline already stated in Section 5.16 and repeated here as the governing constraint on this entire section.</w:t>
      </w: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9.2 AI Governance Principles</w:t>
      </w:r>
    </w:p>
    <w:p>
      <w:pPr>
        <w:spacing w:after="150" w:line="276"/>
        <w:jc w:val="both"/>
      </w:pPr>
      <w:r>
        <w:t xml:space="preserve">Three principles govern every AI capability in this roadmap, before any capability-specific detail is considered.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8602"/>
      </w:tblGrid>
      <w:tr>
        <w:trPr>
          <w:tblHeader/>
        </w:trPr>
        <w:tc>
          <w:tcPr>
            <w:tcW w:type="dxa" w:w="163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860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</w:tr>
      <w:tr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AI</w:t>
            </w:r>
          </w:p>
        </w:tc>
        <w:tc>
          <w:tcPr>
            <w:tcW w:type="dxa" w:w="8602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AI feature is proposed unless its output is explainable and auditable, given the fiduciary scrutiny of three co-financing DFIs and NDPR's compliance requirements — the exact standard the Solution Strategy fixed for AI in Phase 1 analysis, carried forward here without dilution.</w:t>
            </w:r>
          </w:p>
        </w:tc>
      </w:tr>
      <w:tr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Responsible AI</w:t>
            </w:r>
          </w:p>
        </w:tc>
        <w:tc>
          <w:tcPr>
            <w:tcW w:type="dxa" w:w="8602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augments named human roles already established in this Blueprint's Organisation Model (Section 2.7) and Decision Model (Section 2.9); it never replaces the accountability those roles hold. An AI-suggested classification, summary, or recommendation is exactly that — a suggestion — until a named steward, approver, or the KMC accepts it.</w:t>
            </w:r>
          </w:p>
        </w:tc>
      </w:tr>
      <w:tr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</w:t>
            </w:r>
          </w:p>
        </w:tc>
        <w:tc>
          <w:tcPr>
            <w:tcW w:type="dxa" w:w="8602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 AI capability in this roadmap has an explicit human oversight point, named in its own profile below. Where no credible human oversight point can be designed for a proposed capability, that capability is not included in this roadmap — a discipline that has, in practice, excluded fully autonomous content publication or fully autonomous approval decisions from consideration entirely.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9.3 AI Capability Roadmap Overview</w:t>
      </w:r>
    </w:p>
    <w:p>
      <w:pPr>
        <w:spacing w:after="150" w:line="276"/>
        <w:jc w:val="both"/>
      </w:pPr>
      <w:r>
        <w:t xml:space="preserve">Thirteen capabilities are grouped into three families — Search &amp; Discovery, Content Intelligence, and Interaction &amp; Analytics — each mapped to its Phase 1 foundation and its Phase 2 priority.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"/>
        <w:gridCol w:w="2253"/>
        <w:gridCol w:w="1843"/>
        <w:gridCol w:w="4096"/>
        <w:gridCol w:w="1638"/>
      </w:tblGrid>
      <w:tr>
        <w:trPr>
          <w:tblHeader/>
        </w:trPr>
        <w:tc>
          <w:tcPr>
            <w:tcW w:type="dxa" w:w="41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5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84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type="dxa" w:w="409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 1 Foundation It Builds On</w:t>
            </w:r>
          </w:p>
        </w:tc>
        <w:tc>
          <w:tcPr>
            <w:tcW w:type="dxa" w:w="163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 2 Priority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Semantic Search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Search &amp; Discovery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Semantic layer precondition (Section 5.16); taxonomy (Section 5.5)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Natural Language Search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Search &amp; Discovery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Semantic layer; Enterprise Search Service (Section 3.4)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 Recommendations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Search &amp; Discovery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Ontology relationships (Section 5.6); usage data (Section 5.3)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 Discovery (Graph-Based)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Search &amp; Discovery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 Graph Strategy (Section 5.15)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 Summarisation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Model (Section 5.2); classified, structured content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Automatic Classification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Taxonomy (Section 5.5); Classification process (Section 5.7)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Optical Character Recognition (OCR)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Data Migration pipeline (Section 6.8), for scanned legacy content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 Intelligence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Metadata Standards (Section 5.4); Document Lifecycle (Section 5.9)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Translation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Language metadata field (Section 5.4)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Speech-to-Text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Content Intelligence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Event Record content type (Section 5.2), for meeting and training capture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 Assistant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Interaction &amp; Analytics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Full functional module set (Section 4), as the surface it operates over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Chatbot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Interaction &amp; Analytics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Help Desk module (Section 4.6); Knowledge Repository content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1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25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Predictive Analytics</w:t>
            </w:r>
          </w:p>
        </w:tc>
        <w:tc>
          <w:tcPr>
            <w:tcW w:type="dxa" w:w="1843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Interaction &amp; Analytics</w:t>
            </w:r>
          </w:p>
        </w:tc>
        <w:tc>
          <w:tcPr>
            <w:tcW w:type="dxa" w:w="4096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Analytics and Business Intelligence modules (Section 4.4); accumulated KPI history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9.4 Capability Profiles — Search and Discovery</w:t>
      </w:r>
    </w:p>
    <w:p>
      <w:pPr>
        <w:spacing w:after="150" w:line="276"/>
        <w:jc w:val="both"/>
      </w:pPr>
      <w:r>
        <w:t xml:space="preserve">Four capabilities extend the Enterprise Search Service (Section 3.4) and the Knowledge Graph Strategy (Section 5.15) with AI-assisted discovery, each profiled against Purpose, Human Oversight Point, and Ethical/Risk Consideration.</w:t>
      </w:r>
    </w:p>
    <w:p>
      <w:pPr>
        <w:pStyle w:val="Heading2"/>
        <w:spacing w:after="80" w:before="240"/>
      </w:pPr>
      <w:r>
        <w:t xml:space="preserve">1. Semantic Search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Returns results based on conceptual meaning rather than exact keyword match, over the semantic layer whose non-AI foundation is fixed in Section 5.16.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Search results remain fully access-filtered by the existing Zero Trust and ABAC controls (Section 8.3–8.4) before any semantic ranking is applied — AI never bypasses the access boundary, only re-ranks within it.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Semantic ranking models can embed bias from their training data; result rankings are periodically reviewed against the KMC's own editorial judgment to catch systematic skew.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2. Natural Language Search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Allows a user to search using an ordinary question rather than constructed keywords, lowering the barrier for state-level users with less search-tool experience.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underlying result set is identical to what Semantic Search and Enterprise Search would return through their governed access rules; natural language only changes the query interface, not the access-control path.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Misinterpreted queries risk returning irrelevant results confidently; a visible 'showing results for' confirmation of how the query was interpreted keeps the user able to correct it.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3. Knowledge Recommendations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Surfaces related knowledge items to a user based on the ontology's relationship types (Section 5.6) and accumulated usage data (Section 5.3), the specific usage-driven curation mechanism named as a Knowledge Management Principle in Section 1.7.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Recommendations are presented as suggestions alongside, never in place of, direct search and browse navigation; a user can always reach the full catalogue without accepting any recommendation.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Recommendation systems can create narrowing 'filter bubbles'; recommendations are diversified across states and components rather than optimized purely for engagement, consistent with CKR's institutional-memory purpose (Section 5.3) rather than a commercial engagement metric.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4. Knowledge Discovery (Graph-Based)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Once the Phase 2 Knowledge Graph (Section 5.15) is built, allows a user researching a specific state's agro-processing results to discover related reports, case studies, and contacts automatically — the exact use case the Solution Strategy itself names.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Graph traversal surfaces existing, already-published, already-classified content only; it does not generate new content or inferences presented as fact.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Graph relationships are only as reliable as the ontology and classification discipline fixed in Phase 1 (Sections 5.6–5.7); this capability's rollout is explicitly sequenced after Phase 1 classification quality is confirmed, not before.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9.5 Capability Profiles — Content Intelligence</w:t>
      </w:r>
    </w:p>
    <w:p>
      <w:pPr>
        <w:spacing w:after="150" w:line="276"/>
        <w:jc w:val="both"/>
      </w:pPr>
      <w:r>
        <w:t xml:space="preserve">Six capabilities assist the Content Model and Classification processes fixed in Section 5, each reducing manual effort while keeping a named human decision point.</w:t>
      </w:r>
    </w:p>
    <w:p>
      <w:pPr>
        <w:pStyle w:val="Heading2"/>
        <w:spacing w:after="80" w:before="240"/>
      </w:pPr>
      <w:r>
        <w:t xml:space="preserve">5. Document Summarisation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Generates a draft abstract or executive summary of a long document or report, reducing the manual-drafting burden the TOR's Problem Statement identifies.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 AI-generated summary is labelled as machine-generated and requires the content owner's or steward's explicit review and acceptance before it is stored as the item's Core Content abstract (Section 5.3) — it is never auto-published.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Summarisation can omit material nuance or introduce factual drift from the source; the source document remains the authoritative record at all times, with the summary clearly marked as a derived convenience, not a replacement.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6. Automatic Classification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Suggests taxonomy terms and content type at the point of capture, strengthening the manual, steward-validated classification baseline fixed for Phase 1 in Section 5.7.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Suggested terms populate the classification fields as a pre-fill only; the submitting user or reviewing steward confirms or corrects them before the item advances past the Classify stage of the Document Lifecycle (Section 5.9).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 incorrect auto-classification that goes unreviewed would silently degrade Search reliability (Section 5.17); periodic sampling of accepted classifications against steward judgment monitors for this specific failure mode.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7. Optical Character Recognition (OCR)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Converts scanned or image-based legacy documents into searchable text during the Data Migration pipeline (Section 6.8), where the Master Bid &amp; Delivery Strategy's own scenario planning expects a meaningful share of legacy content to be scanned rather than digitally native.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OCR output feeds the same Migration Stage 4 (Validate) reconciliation and sampling check already fixed in Section 6.8 — OCR errors are caught by the same control that catches any other migration accuracy issue, not a separate one.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Poor-quality scans can produce garbled OCR text; content below a defined confidence threshold is flagged for manual transcription rather than migrated with silently low-quality text.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8. Document Intelligence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Extracts structured metadata (dates, named entities, referenced amounts) from unstructured document text, pre-filling Metadata Standards fields (Section 5.4) beyond what Automatic Classification alone covers.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Extracted fields are presented for confirmation in the same capture-time review step as Automatic Classification; both are part of a single pre-fill-then-confirm interaction, not two separate manual steps.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Extraction errors on donor amounts or dates carry real consequence for reporting accuracy; any field feeding the Reports module (Section 4.4) specifically requires human confirmation before use, with no exception.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9. Translation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Machine-translates content for stakeholders more comfortable in a language other than English, supporting the TOR's own inclusive stakeholder groups — community organizations, women, and youth — without requiring a full human translation workflow for every item.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Machine-translated content is clearly labelled as such; official, donor-facing reports and any content with legal or contractual weight continue to use human translation, consistent with the REOI's own English-language requirement for the formal submission record.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Machine translation quality varies by language pair; supported languages are limited to those with demonstrated adequate quality, reviewed periodically rather than assumed uniformly reliable.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10. Speech-to-Text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Transcribes recorded meetings, training sessions, and stakeholder consultation events into searchable text, supporting the Event Record content type (Section 5.2) and the Meetings module (Section 4.2).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Transcripts are reviewed by the meeting convenor or a designated note-taker before being stored as the official minutes record; the audio or video recording remains the authoritative source.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Transcription accuracy degrades with background noise or multiple overlapping speakers, common in field-based stakeholder consultations; low-confidence transcript segments are flagged rather than presented as verbatim with false confidence.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9.6 Capability Profiles — Interaction and Analytics</w:t>
      </w:r>
    </w:p>
    <w:p>
      <w:pPr>
        <w:spacing w:after="150" w:line="276"/>
        <w:jc w:val="both"/>
      </w:pPr>
      <w:r>
        <w:t xml:space="preserve">Three capabilities extend the functional modules fixed in Section 4 with conversational and predictive assistance, each the most consequential in this roadmap and therefore the most tightly scoped.</w:t>
      </w:r>
    </w:p>
    <w:p>
      <w:pPr>
        <w:pStyle w:val="Heading2"/>
        <w:spacing w:after="80" w:before="240"/>
      </w:pPr>
      <w:r>
        <w:t xml:space="preserve">11. AI Assistant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general-purpose assistant helping users navigate ESM/CKR functionality, draft routine content, and answer 'how do I' questions against the full functional module set (Section 4).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Assistant operates strictly within each user's own existing access permissions (Section 8.3) — it can never surface content or perform an action the user could not already reach directly — and any action with governance consequence (submitting, approving, publishing, or deleting) still requires the user's own explicit confirmation through the normal module interface, not through the Assistant directly.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general assistant carries the highest risk of confidently incorrect output ('hallucination') in this entire roadmap; it is scoped to informational and drafting assistance only, explicitly excluded from any workflow-approval or publication action, and is the single capability in this roadmap recommended for the most cautious, phased rollout — beginning with read-only guidance before any drafting assistance is enabled.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12. Chatbot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narrower, Help-Desk-scoped conversational interface (Section 4.6, module 26) answering common questions from the CKR's own published knowledge base, reducing first-response time for routine queries.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Chatbot answers only from published, already-reviewed CKR content — it does not generate answers from unpublished or restricted ESM material — and escalates to a human Help Desk responder whenever it cannot ground an answer in existing published content.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narrowly scoped, knowledge-base-grounded Chatbot carries materially lower risk than the general AI Assistant above; it is nonetheless monitored for answer accuracy against the same knowledge-usage-metrics KPI (Section 4.3) that governs CKR content quality generally.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t xml:space="preserve">13. Predictive Analytics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7987"/>
      </w:tblGrid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Extends the Business Intelligence module (Section 4.4) with predictive flagging of workflow bottlenecks and milestones at risk, using the programme's own accumulated approval-cycle and KPI history — the specific use case the Solution Strategy names for this capability.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Human Oversight Point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Predictions are presented as flags and probabilities feeding the Executive Dashboard's existing milestone-at-risk view (Section 4.2), reviewed by the National Programme Coordinator and state managers as one input among others — never as an automated trigger for programme decisions.</w:t>
            </w:r>
          </w:p>
        </w:tc>
      </w:tr>
      <w:tr>
        <w:tc>
          <w:tcPr>
            <w:tcW w:type="dxa" w:w="2253"/>
            <w:shd w:fill="EDEF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Ethical / Risk Consideration</w:t>
            </w:r>
          </w:p>
        </w:tc>
        <w:tc>
          <w:tcPr>
            <w:tcW w:type="dxa" w:w="7987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Predictive models require a meaningful history of accumulated data to be reliable; this capability is explicitly sequenced for introduction only after sufficient Phase 1 operational history exists, not at Phase 2's outset, avoiding early predictions built on too little data to be trustworthy.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9.7 AI Governance Framework</w:t>
      </w:r>
    </w:p>
    <w:p>
      <w:pPr>
        <w:spacing w:after="150" w:line="276"/>
        <w:jc w:val="both"/>
      </w:pPr>
      <w:r>
        <w:t xml:space="preserve">Deployment of any Phase 2 AI capability follows the same governance path as every other architectural decision in this Blueprint, not a separate AI-specific approval track: the Enterprise Architecture Review Board (Section 1.7) reviews each capability against the Ethical AI, Responsible AI, and Human Oversight principles fixed in Section 9.2 before it proceeds to design; the KMC and National Programme Coordinator hold joint security-risk accountability (Section 2.9) for any AI capability that touches classification, access, or publication decisions; and every AI-assisted action that a user accepts is logged to the Audit module (Section 4.4) with a marker distinguishing it from a purely human action, so the audit trail always shows where AI assistance was involved, not only what the final action was.</w:t>
      </w:r>
    </w:p>
    <w:p>
      <w:pPr>
        <w:spacing w:after="150" w:line="276"/>
        <w:jc w:val="both"/>
      </w:pPr>
      <w:r>
        <w:t xml:space="preserve">This governance framework is what allows this Blueprint to propose a genuinely useful thirteen-capability AI roadmap without contradicting the caution the Solution Strategy itself recommends: 'no AI feature should be proposed unless its output is explainable and auditable, given the fiduciary scrutiny of three co-financing DFIs.' Every profile in Sections 9.4 through 9.6 satisfies that standard individually, not only the roadmap as a whole.</w:t>
      </w:r>
    </w:p>
    <w:p>
      <w:pPr>
        <w:pStyle w:val="Heading1"/>
        <w:pBdr>
          <w:bottom w:val="single" w:color="1F3864" w:sz="6" w:space="4"/>
        </w:pBdr>
        <w:spacing w:after="130" w:before="320"/>
      </w:pPr>
      <w:r>
        <w:t xml:space="preserve">9.8 Transition to Section 10</w:t>
      </w:r>
    </w:p>
    <w:p>
      <w:pPr>
        <w:spacing w:after="150" w:line="276"/>
        <w:jc w:val="both"/>
      </w:pPr>
      <w:r>
        <w:t xml:space="preserve">Section 10 (Technology Stack Evaluation) applies the build-versus-configure decision framework fixed in Section 3.1 to name and compare specific technology options — languages, frameworks, databases, and infrastructure — for both the Phase 1 baseline this Blueprint commits to and the Phase 2 AI capabilities specified in this section.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70" w:before="200"/>
    </w:pPr>
    <w:rPr>
      <w:rFonts w:ascii="Arial" w:cs="Arial" w:eastAsia="Arial" w:hAnsi="Arial"/>
      <w:b/>
      <w:bCs/>
      <w:color w:val="2E539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2026-07-18T08:05:02.009Z</dcterms:created>
  <dcterms:modified xsi:type="dcterms:W3CDTF">2026-07-18T08:05:02.009Z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