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2E5395"/>
          <w:sz w:val="22"/>
          <w:szCs w:val="22"/>
        </w:rPr>
        <w:t xml:space="preserve">Enterprise System Management (ESM) Platform and Central Knowledge Repository (CKR)</w:t>
      </w:r>
    </w:p>
    <w:p>
      <w:pPr>
        <w:spacing w:after="40"/>
        <w:jc w:val="center"/>
      </w:pPr>
      <w:r>
        <w:rPr>
          <w:b/>
          <w:bCs/>
          <w:color w:val="2E5395"/>
          <w:sz w:val="24"/>
          <w:szCs w:val="24"/>
        </w:rPr>
        <w:t xml:space="preserve">Section 10 of 16 — Technology Stack Evaluation</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3864" w:sz="6" w:space="4"/>
        </w:pBdr>
        <w:spacing w:after="130" w:before="320"/>
      </w:pPr>
      <w:r>
        <w:t xml:space="preserve">10.1 Technology Evaluation Methodology</w:t>
      </w:r>
    </w:p>
    <w:p>
      <w:pPr>
        <w:spacing w:after="150" w:line="276"/>
        <w:jc w:val="both"/>
      </w:pPr>
      <w:r>
        <w:t xml:space="preserve">This section is where this Blueprint departs, deliberately, from the platform-neutral language used everywhere else. The Technology Independence principle (Section 1.7) governs how every earlier section describes technology — by class, not by vendor — precisely so that the actual selection could be made once, here, through an explicit, defensible evaluation rather than an assumption smuggled in early. Four criteria, extending the three-variable decision framework first fixed in Section 3.1, are applied consistently across every category below: the fixed twelve-week schedule; the post-project sustainability requirement, meaning the client's own KM and ICT Units can plausibly learn to administer the choice without permanent consultant dependency; any TOR-specific naming or constraint; and vendor/licensing lock-in risk, favouring options with strong data-export and open-standard characteristics per the mitigation principle already fixed in Section 3.1.</w:t>
      </w:r>
    </w:p>
    <w:p>
      <w:pPr>
        <w:spacing w:after="150" w:line="276"/>
        <w:jc w:val="both"/>
      </w:pPr>
      <w:r>
        <w:t xml:space="preserve">Ten technology categories are evaluated, covering all twenty-one named technologies in the governing prompt. Each evaluation names a clear recommendation — this Blueprint does not hedge with 'either option would work' — while stating the trade-off honestly, consistent with the Architecture Review discipline elaborated fully in Section 15.</w:t>
      </w:r>
    </w:p>
    <w:p>
      <w:pPr>
        <w:pStyle w:val="Heading1"/>
        <w:pBdr>
          <w:bottom w:val="single" w:color="1F3864" w:sz="6" w:space="4"/>
        </w:pBdr>
        <w:spacing w:after="130" w:before="320"/>
      </w:pPr>
      <w:r>
        <w:t xml:space="preserve">10.2 Backend Application Framework</w:t>
      </w:r>
    </w:p>
    <w:p>
      <w:pPr>
        <w:spacing w:after="150" w:line="276"/>
        <w:jc w:val="both"/>
      </w:pPr>
      <w:r>
        <w:t xml:space="preserve">Five frameworks are compared: .NET, Spring Boot (Java), Laravel (PHP), Node.js, and Django (Python).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4301"/>
        <w:gridCol w:w="4301"/>
      </w:tblGrid>
      <w:tr>
        <w:trPr>
          <w:tblHeader/>
        </w:trPr>
        <w:tc>
          <w:tcPr>
            <w:tcW w:type="dxa" w:w="1638"/>
            <w:shd w:fill="1F3864" w:val="clear"/>
            <w:tcMar>
              <w:top w:type="dxa" w:w="70"/>
              <w:left w:type="dxa" w:w="90"/>
              <w:bottom w:type="dxa" w:w="70"/>
              <w:right w:type="dxa" w:w="90"/>
            </w:tcMar>
            <w:vAlign w:val="top"/>
          </w:tcPr>
          <w:p>
            <w:r>
              <w:rPr>
                <w:b/>
                <w:bCs/>
                <w:color w:val="FFFFFF"/>
                <w:sz w:val="17"/>
                <w:szCs w:val="17"/>
              </w:rPr>
              <w:t xml:space="preserve">Framework</w:t>
            </w:r>
          </w:p>
        </w:tc>
        <w:tc>
          <w:tcPr>
            <w:tcW w:type="dxa" w:w="4301"/>
            <w:shd w:fill="1F3864" w:val="clear"/>
            <w:tcMar>
              <w:top w:type="dxa" w:w="70"/>
              <w:left w:type="dxa" w:w="90"/>
              <w:bottom w:type="dxa" w:w="70"/>
              <w:right w:type="dxa" w:w="90"/>
            </w:tcMar>
            <w:vAlign w:val="top"/>
          </w:tcPr>
          <w:p>
            <w:r>
              <w:rPr>
                <w:b/>
                <w:bCs/>
                <w:color w:val="FFFFFF"/>
                <w:sz w:val="17"/>
                <w:szCs w:val="17"/>
              </w:rPr>
              <w:t xml:space="preserve">Strengths</w:t>
            </w:r>
          </w:p>
        </w:tc>
        <w:tc>
          <w:tcPr>
            <w:tcW w:type="dxa" w:w="4301"/>
            <w:shd w:fill="1F3864" w:val="clear"/>
            <w:tcMar>
              <w:top w:type="dxa" w:w="70"/>
              <w:left w:type="dxa" w:w="90"/>
              <w:bottom w:type="dxa" w:w="70"/>
              <w:right w:type="dxa" w:w="90"/>
            </w:tcMar>
            <w:vAlign w:val="top"/>
          </w:tcPr>
          <w:p>
            <w:r>
              <w:rPr>
                <w:b/>
                <w:bCs/>
                <w:color w:val="FFFFFF"/>
                <w:sz w:val="17"/>
                <w:szCs w:val="17"/>
              </w:rPr>
              <w:t xml:space="preserve">Weaknesses for This Engagement</w:t>
            </w:r>
          </w:p>
        </w:tc>
      </w:tr>
      <w:tr>
        <w:tc>
          <w:tcPr>
            <w:tcW w:type="dxa" w:w="1638"/>
            <w:tcMar>
              <w:top w:type="dxa" w:w="70"/>
              <w:left w:type="dxa" w:w="90"/>
              <w:bottom w:type="dxa" w:w="70"/>
              <w:right w:type="dxa" w:w="90"/>
            </w:tcMar>
            <w:vAlign w:val="top"/>
          </w:tcPr>
          <w:p>
            <w:r>
              <w:rPr>
                <w:b/>
                <w:bCs/>
                <w:color w:val="000000"/>
                <w:sz w:val="16"/>
                <w:szCs w:val="16"/>
              </w:rPr>
              <w:t xml:space="preserve">.NET</w:t>
            </w:r>
          </w:p>
        </w:tc>
        <w:tc>
          <w:tcPr>
            <w:tcW w:type="dxa" w:w="4301"/>
            <w:tcMar>
              <w:top w:type="dxa" w:w="70"/>
              <w:left w:type="dxa" w:w="90"/>
              <w:bottom w:type="dxa" w:w="70"/>
              <w:right w:type="dxa" w:w="90"/>
            </w:tcMar>
            <w:vAlign w:val="top"/>
          </w:tcPr>
          <w:p>
            <w:r>
              <w:rPr>
                <w:b w:val="false"/>
                <w:bCs w:val="false"/>
                <w:color w:val="000000"/>
                <w:sz w:val="16"/>
                <w:szCs w:val="16"/>
              </w:rPr>
              <w:t xml:space="preserve">Strong enterprise tooling; excellent Microsoft 365/Azure integration if that cloud path is chosen (Section 10.7).</w:t>
            </w:r>
          </w:p>
        </w:tc>
        <w:tc>
          <w:tcPr>
            <w:tcW w:type="dxa" w:w="4301"/>
            <w:tcMar>
              <w:top w:type="dxa" w:w="70"/>
              <w:left w:type="dxa" w:w="90"/>
              <w:bottom w:type="dxa" w:w="70"/>
              <w:right w:type="dxa" w:w="90"/>
            </w:tcMar>
            <w:vAlign w:val="top"/>
          </w:tcPr>
          <w:p>
            <w:r>
              <w:rPr>
                <w:b w:val="false"/>
                <w:bCs w:val="false"/>
                <w:color w:val="000000"/>
                <w:sz w:val="16"/>
                <w:szCs w:val="16"/>
              </w:rPr>
              <w:t xml:space="preserve">Steeper licensing and hosting cost profile in some configurations; smaller pool of low-cost local Nigerian development talent than PHP or Node.js, a relevant sustainability constraint.</w:t>
            </w:r>
          </w:p>
        </w:tc>
      </w:tr>
      <w:tr>
        <w:tc>
          <w:tcPr>
            <w:tcW w:type="dxa" w:w="1638"/>
            <w:tcMar>
              <w:top w:type="dxa" w:w="70"/>
              <w:left w:type="dxa" w:w="90"/>
              <w:bottom w:type="dxa" w:w="70"/>
              <w:right w:type="dxa" w:w="90"/>
            </w:tcMar>
            <w:vAlign w:val="top"/>
          </w:tcPr>
          <w:p>
            <w:r>
              <w:rPr>
                <w:b/>
                <w:bCs/>
                <w:color w:val="000000"/>
                <w:sz w:val="16"/>
                <w:szCs w:val="16"/>
              </w:rPr>
              <w:t xml:space="preserve">Spring Boot (Java)</w:t>
            </w:r>
          </w:p>
        </w:tc>
        <w:tc>
          <w:tcPr>
            <w:tcW w:type="dxa" w:w="4301"/>
            <w:tcMar>
              <w:top w:type="dxa" w:w="70"/>
              <w:left w:type="dxa" w:w="90"/>
              <w:bottom w:type="dxa" w:w="70"/>
              <w:right w:type="dxa" w:w="90"/>
            </w:tcMar>
            <w:vAlign w:val="top"/>
          </w:tcPr>
          <w:p>
            <w:r>
              <w:rPr>
                <w:b w:val="false"/>
                <w:bCs w:val="false"/>
                <w:color w:val="000000"/>
                <w:sz w:val="16"/>
                <w:szCs w:val="16"/>
              </w:rPr>
              <w:t xml:space="preserve">Mature, battle-tested for large enterprise systems; strong ecosystem for complex workflow engines.</w:t>
            </w:r>
          </w:p>
        </w:tc>
        <w:tc>
          <w:tcPr>
            <w:tcW w:type="dxa" w:w="4301"/>
            <w:tcMar>
              <w:top w:type="dxa" w:w="70"/>
              <w:left w:type="dxa" w:w="90"/>
              <w:bottom w:type="dxa" w:w="70"/>
              <w:right w:type="dxa" w:w="90"/>
            </w:tcMar>
            <w:vAlign w:val="top"/>
          </w:tcPr>
          <w:p>
            <w:r>
              <w:rPr>
                <w:b w:val="false"/>
                <w:bCs w:val="false"/>
                <w:color w:val="000000"/>
                <w:sz w:val="16"/>
                <w:szCs w:val="16"/>
              </w:rPr>
              <w:t xml:space="preserve">Heavier development overhead and longer ramp-up time than the schedule comfortably absorbs within twelve weeks; higher administrative complexity for KM and ICT Units to inherit.</w:t>
            </w:r>
          </w:p>
        </w:tc>
      </w:tr>
      <w:tr>
        <w:tc>
          <w:tcPr>
            <w:tcW w:type="dxa" w:w="1638"/>
            <w:tcMar>
              <w:top w:type="dxa" w:w="70"/>
              <w:left w:type="dxa" w:w="90"/>
              <w:bottom w:type="dxa" w:w="70"/>
              <w:right w:type="dxa" w:w="90"/>
            </w:tcMar>
            <w:vAlign w:val="top"/>
          </w:tcPr>
          <w:p>
            <w:r>
              <w:rPr>
                <w:b/>
                <w:bCs/>
                <w:color w:val="000000"/>
                <w:sz w:val="16"/>
                <w:szCs w:val="16"/>
              </w:rPr>
              <w:t xml:space="preserve">Laravel (PHP)</w:t>
            </w:r>
          </w:p>
        </w:tc>
        <w:tc>
          <w:tcPr>
            <w:tcW w:type="dxa" w:w="4301"/>
            <w:tcMar>
              <w:top w:type="dxa" w:w="70"/>
              <w:left w:type="dxa" w:w="90"/>
              <w:bottom w:type="dxa" w:w="70"/>
              <w:right w:type="dxa" w:w="90"/>
            </w:tcMar>
            <w:vAlign w:val="top"/>
          </w:tcPr>
          <w:p>
            <w:r>
              <w:rPr>
                <w:b w:val="false"/>
                <w:bCs w:val="false"/>
                <w:color w:val="000000"/>
                <w:sz w:val="16"/>
                <w:szCs w:val="16"/>
              </w:rPr>
              <w:t xml:space="preserve">Directly aligned with the TOR's own 'WordPress or equivalent' naming for the CKR CMS, since WordPress itself is PHP-based; very large, low-cost Nigerian and West African developer talent pool, directly supporting post-handover sustainability; fast development velocity for content-centric applications.</w:t>
            </w:r>
          </w:p>
        </w:tc>
      </w:tr>
      <w:tr>
        <w:tc>
          <w:tcPr>
            <w:tcW w:type="dxa" w:w="1638"/>
            <w:tcMar>
              <w:top w:type="dxa" w:w="70"/>
              <w:left w:type="dxa" w:w="90"/>
              <w:bottom w:type="dxa" w:w="70"/>
              <w:right w:type="dxa" w:w="90"/>
            </w:tcMar>
            <w:vAlign w:val="top"/>
          </w:tcPr>
          <w:p>
            <w:r>
              <w:rPr>
                <w:b/>
                <w:bCs/>
                <w:color w:val="000000"/>
                <w:sz w:val="16"/>
                <w:szCs w:val="16"/>
              </w:rPr>
              <w:t xml:space="preserve">Node.js</w:t>
            </w:r>
          </w:p>
        </w:tc>
        <w:tc>
          <w:tcPr>
            <w:tcW w:type="dxa" w:w="4301"/>
            <w:tcMar>
              <w:top w:type="dxa" w:w="70"/>
              <w:left w:type="dxa" w:w="90"/>
              <w:bottom w:type="dxa" w:w="70"/>
              <w:right w:type="dxa" w:w="90"/>
            </w:tcMar>
            <w:vAlign w:val="top"/>
          </w:tcPr>
          <w:p>
            <w:r>
              <w:rPr>
                <w:b w:val="false"/>
                <w:bCs w:val="false"/>
                <w:color w:val="000000"/>
                <w:sz w:val="16"/>
                <w:szCs w:val="16"/>
              </w:rPr>
              <w:t xml:space="preserve">Single language (JavaScript/TypeScript) across frontend and backend, simplifying the skill set KM and ICT Units must maintain; strong fit for the event-driven notification and webhook patterns fixed in Section 7.1.</w:t>
            </w:r>
          </w:p>
        </w:tc>
        <w:tc>
          <w:tcPr>
            <w:tcW w:type="dxa" w:w="4301"/>
            <w:tcMar>
              <w:top w:type="dxa" w:w="70"/>
              <w:left w:type="dxa" w:w="90"/>
              <w:bottom w:type="dxa" w:w="70"/>
              <w:right w:type="dxa" w:w="90"/>
            </w:tcMar>
            <w:vAlign w:val="top"/>
          </w:tcPr>
          <w:p>
            <w:r>
              <w:rPr>
                <w:b w:val="false"/>
                <w:bCs w:val="false"/>
                <w:color w:val="000000"/>
                <w:sz w:val="16"/>
                <w:szCs w:val="16"/>
              </w:rPr>
              <w:t xml:space="preserve">Less mature for heavyweight, long-running workflow-engine logic than the alternatives; requires more deliberate architecture discipline to avoid callback complexity at scale.</w:t>
            </w:r>
          </w:p>
        </w:tc>
      </w:tr>
      <w:tr>
        <w:tc>
          <w:tcPr>
            <w:tcW w:type="dxa" w:w="1638"/>
            <w:tcMar>
              <w:top w:type="dxa" w:w="70"/>
              <w:left w:type="dxa" w:w="90"/>
              <w:bottom w:type="dxa" w:w="70"/>
              <w:right w:type="dxa" w:w="90"/>
            </w:tcMar>
            <w:vAlign w:val="top"/>
          </w:tcPr>
          <w:p>
            <w:r>
              <w:rPr>
                <w:b/>
                <w:bCs/>
                <w:color w:val="000000"/>
                <w:sz w:val="16"/>
                <w:szCs w:val="16"/>
              </w:rPr>
              <w:t xml:space="preserve">Django (Python)</w:t>
            </w:r>
          </w:p>
        </w:tc>
        <w:tc>
          <w:tcPr>
            <w:tcW w:type="dxa" w:w="4301"/>
            <w:tcMar>
              <w:top w:type="dxa" w:w="70"/>
              <w:left w:type="dxa" w:w="90"/>
              <w:bottom w:type="dxa" w:w="70"/>
              <w:right w:type="dxa" w:w="90"/>
            </w:tcMar>
            <w:vAlign w:val="top"/>
          </w:tcPr>
          <w:p>
            <w:r>
              <w:rPr>
                <w:b w:val="false"/>
                <w:bCs w:val="false"/>
                <w:color w:val="000000"/>
                <w:sz w:val="16"/>
                <w:szCs w:val="16"/>
              </w:rPr>
              <w:t xml:space="preserve">Rapid development for structured, data-centric applications; strong built-in admin tooling useful for the Governance &amp; Administration Console (Section 3.4).</w:t>
            </w:r>
          </w:p>
        </w:tc>
        <w:tc>
          <w:tcPr>
            <w:tcW w:type="dxa" w:w="4301"/>
            <w:tcMar>
              <w:top w:type="dxa" w:w="70"/>
              <w:left w:type="dxa" w:w="90"/>
              <w:bottom w:type="dxa" w:w="70"/>
              <w:right w:type="dxa" w:w="90"/>
            </w:tcMar>
            <w:vAlign w:val="top"/>
          </w:tcPr>
          <w:p>
            <w:r>
              <w:rPr>
                <w:b w:val="false"/>
                <w:bCs w:val="false"/>
                <w:color w:val="000000"/>
                <w:sz w:val="16"/>
                <w:szCs w:val="16"/>
              </w:rPr>
              <w:t xml:space="preserve">Smaller local Nigerian talent pool than PHP or JavaScript, a sustainability consideration; less natural fit for the CKR's CMS-class requirement than Laravel or WordPress itself.</w:t>
            </w:r>
          </w:p>
        </w:tc>
      </w:tr>
    </w:tbl>
    <w:p>
      <w:pPr>
        <w:spacing w:after="100"/>
      </w:pPr>
    </w:p>
    <w:p>
      <w:pPr>
        <w:spacing w:after="150" w:line="276"/>
        <w:jc w:val="both"/>
      </w:pPr>
      <w:r>
        <w:t xml:space="preserve">Recommendation: Laravel (PHP) for the CKR's CMS-class platform, directly consistent with the TOR's own 'WordPress or equivalent' naming and the largest, lowest-cost local talent pool for post-handover sustainability; Node.js for the ESM's workflow, notification, and API-gateway layer, where its event-driven strengths align directly with the Workflow module's SLA-escalation mechanism (Section 4.3) and the webhook-based integration pattern fixed in Section 7.1. This is a deliberate two-framework decision, not an oversight: the CKR and ESM are independent systems under TOR Section 4, and nothing in the Architecture Principles requires them to share a backend framework, only a shared taxonomy and governance model (Section 1.7), which is a data and process-layer commitment, not a code-layer one.</w:t>
      </w:r>
    </w:p>
    <w:p>
      <w:pPr>
        <w:spacing w:after="150" w:line="276"/>
        <w:jc w:val="both"/>
      </w:pPr>
      <w:r>
        <w:t xml:space="preserve">Trade-off accepted: maintaining two backend frameworks (PHP and Node.js/TypeScript) rather than one increases the skill breadth KM and ICT Units must eventually hold, compared to a single-framework approach such as Django or .NET across both systems. This is judged an acceptable trade-off because it is bounded — exactly two frameworks, not more — and because it optimizes each system for its own TOR-mandated constraint rather than forcing a one-size-fits-all choice that would fit neither system as well.</w:t>
      </w:r>
    </w:p>
    <w:p>
      <w:pPr>
        <w:spacing w:after="160"/>
      </w:pPr>
    </w:p>
    <w:p>
      <w:pPr>
        <w:pStyle w:val="Heading1"/>
        <w:pBdr>
          <w:bottom w:val="single" w:color="1F3864" w:sz="6" w:space="4"/>
        </w:pBdr>
        <w:spacing w:after="130" w:before="320"/>
      </w:pPr>
      <w:r>
        <w:t xml:space="preserve">10.3 Database Platform</w:t>
      </w:r>
    </w:p>
    <w:p>
      <w:pPr>
        <w:spacing w:after="150" w:line="276"/>
        <w:jc w:val="both"/>
      </w:pPr>
      <w:r>
        <w:t xml:space="preserve">PostgreSQL and SQL Server are compared as the operational (relational) database class fixed in Section 6.4.</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4096"/>
        <w:gridCol w:w="4096"/>
      </w:tblGrid>
      <w:tr>
        <w:trPr>
          <w:tblHeader/>
        </w:trPr>
        <w:tc>
          <w:tcPr>
            <w:tcW w:type="dxa" w:w="2048"/>
            <w:shd w:fill="1F3864" w:val="clear"/>
            <w:tcMar>
              <w:top w:type="dxa" w:w="70"/>
              <w:left w:type="dxa" w:w="90"/>
              <w:bottom w:type="dxa" w:w="70"/>
              <w:right w:type="dxa" w:w="90"/>
            </w:tcMar>
            <w:vAlign w:val="top"/>
          </w:tcPr>
          <w:p>
            <w:r>
              <w:rPr>
                <w:b/>
                <w:bCs/>
                <w:color w:val="FFFFFF"/>
                <w:sz w:val="17"/>
                <w:szCs w:val="17"/>
              </w:rPr>
              <w:t xml:space="preserve">Criterion</w:t>
            </w:r>
          </w:p>
        </w:tc>
        <w:tc>
          <w:tcPr>
            <w:tcW w:type="dxa" w:w="4096"/>
            <w:shd w:fill="1F3864" w:val="clear"/>
            <w:tcMar>
              <w:top w:type="dxa" w:w="70"/>
              <w:left w:type="dxa" w:w="90"/>
              <w:bottom w:type="dxa" w:w="70"/>
              <w:right w:type="dxa" w:w="90"/>
            </w:tcMar>
            <w:vAlign w:val="top"/>
          </w:tcPr>
          <w:p>
            <w:r>
              <w:rPr>
                <w:b/>
                <w:bCs/>
                <w:color w:val="FFFFFF"/>
                <w:sz w:val="17"/>
                <w:szCs w:val="17"/>
              </w:rPr>
              <w:t xml:space="preserve">PostgreSQL</w:t>
            </w:r>
          </w:p>
        </w:tc>
        <w:tc>
          <w:tcPr>
            <w:tcW w:type="dxa" w:w="4096"/>
            <w:shd w:fill="1F3864" w:val="clear"/>
            <w:tcMar>
              <w:top w:type="dxa" w:w="70"/>
              <w:left w:type="dxa" w:w="90"/>
              <w:bottom w:type="dxa" w:w="70"/>
              <w:right w:type="dxa" w:w="90"/>
            </w:tcMar>
            <w:vAlign w:val="top"/>
          </w:tcPr>
          <w:p>
            <w:r>
              <w:rPr>
                <w:b/>
                <w:bCs/>
                <w:color w:val="FFFFFF"/>
                <w:sz w:val="17"/>
                <w:szCs w:val="17"/>
              </w:rPr>
              <w:t xml:space="preserve">SQL Server</w:t>
            </w:r>
          </w:p>
        </w:tc>
      </w:tr>
      <w:tr>
        <w:tc>
          <w:tcPr>
            <w:tcW w:type="dxa" w:w="2048"/>
            <w:tcMar>
              <w:top w:type="dxa" w:w="70"/>
              <w:left w:type="dxa" w:w="90"/>
              <w:bottom w:type="dxa" w:w="70"/>
              <w:right w:type="dxa" w:w="90"/>
            </w:tcMar>
            <w:vAlign w:val="top"/>
          </w:tcPr>
          <w:p>
            <w:r>
              <w:rPr>
                <w:b/>
                <w:bCs/>
                <w:color w:val="000000"/>
                <w:sz w:val="17"/>
                <w:szCs w:val="17"/>
              </w:rPr>
              <w:t xml:space="preserve">Licensing cost</w:t>
            </w:r>
          </w:p>
        </w:tc>
        <w:tc>
          <w:tcPr>
            <w:tcW w:type="dxa" w:w="4096"/>
            <w:tcMar>
              <w:top w:type="dxa" w:w="70"/>
              <w:left w:type="dxa" w:w="90"/>
              <w:bottom w:type="dxa" w:w="70"/>
              <w:right w:type="dxa" w:w="90"/>
            </w:tcMar>
            <w:vAlign w:val="top"/>
          </w:tcPr>
          <w:p>
            <w:r>
              <w:rPr>
                <w:b w:val="false"/>
                <w:bCs w:val="false"/>
                <w:color w:val="000000"/>
                <w:sz w:val="17"/>
                <w:szCs w:val="17"/>
              </w:rPr>
              <w:t xml:space="preserve">Open-source, no licensing fee — a direct, ongoing cost saving for a donor-funded programme.</w:t>
            </w:r>
          </w:p>
        </w:tc>
        <w:tc>
          <w:tcPr>
            <w:tcW w:type="dxa" w:w="4096"/>
            <w:tcMar>
              <w:top w:type="dxa" w:w="70"/>
              <w:left w:type="dxa" w:w="90"/>
              <w:bottom w:type="dxa" w:w="70"/>
              <w:right w:type="dxa" w:w="90"/>
            </w:tcMar>
            <w:vAlign w:val="top"/>
          </w:tcPr>
          <w:p>
            <w:r>
              <w:rPr>
                <w:b w:val="false"/>
                <w:bCs w:val="false"/>
                <w:color w:val="000000"/>
                <w:sz w:val="17"/>
                <w:szCs w:val="17"/>
              </w:rPr>
              <w:t xml:space="preserve">Commercial licensing cost, recurring across the programme's multi-year lifecycle.</w:t>
            </w:r>
          </w:p>
        </w:tc>
      </w:tr>
      <w:tr>
        <w:tc>
          <w:tcPr>
            <w:tcW w:type="dxa" w:w="2048"/>
            <w:tcMar>
              <w:top w:type="dxa" w:w="70"/>
              <w:left w:type="dxa" w:w="90"/>
              <w:bottom w:type="dxa" w:w="70"/>
              <w:right w:type="dxa" w:w="90"/>
            </w:tcMar>
            <w:vAlign w:val="top"/>
          </w:tcPr>
          <w:p>
            <w:r>
              <w:rPr>
                <w:b/>
                <w:bCs/>
                <w:color w:val="000000"/>
                <w:sz w:val="17"/>
                <w:szCs w:val="17"/>
              </w:rPr>
              <w:t xml:space="preserve">Vendor lock-in</w:t>
            </w:r>
          </w:p>
        </w:tc>
        <w:tc>
          <w:tcPr>
            <w:tcW w:type="dxa" w:w="4096"/>
            <w:tcMar>
              <w:top w:type="dxa" w:w="70"/>
              <w:left w:type="dxa" w:w="90"/>
              <w:bottom w:type="dxa" w:w="70"/>
              <w:right w:type="dxa" w:w="90"/>
            </w:tcMar>
            <w:vAlign w:val="top"/>
          </w:tcPr>
          <w:p>
            <w:r>
              <w:rPr>
                <w:b w:val="false"/>
                <w:bCs w:val="false"/>
                <w:color w:val="000000"/>
                <w:sz w:val="17"/>
                <w:szCs w:val="17"/>
              </w:rPr>
              <w:t xml:space="preserve">Strong open-standard SQL compliance and mature export tooling, aligned with the anti-lock-in principle (Section 3.1).</w:t>
            </w:r>
          </w:p>
        </w:tc>
        <w:tc>
          <w:tcPr>
            <w:tcW w:type="dxa" w:w="4096"/>
            <w:tcMar>
              <w:top w:type="dxa" w:w="70"/>
              <w:left w:type="dxa" w:w="90"/>
              <w:bottom w:type="dxa" w:w="70"/>
              <w:right w:type="dxa" w:w="90"/>
            </w:tcMar>
            <w:vAlign w:val="top"/>
          </w:tcPr>
          <w:p>
            <w:r>
              <w:rPr>
                <w:b w:val="false"/>
                <w:bCs w:val="false"/>
                <w:color w:val="000000"/>
                <w:sz w:val="17"/>
                <w:szCs w:val="17"/>
              </w:rPr>
              <w:t xml:space="preserve">Migrating away from SQL Server later is more involved due to proprietary extensions commonly used in practice.</w:t>
            </w:r>
          </w:p>
        </w:tc>
      </w:tr>
      <w:tr>
        <w:tc>
          <w:tcPr>
            <w:tcW w:type="dxa" w:w="2048"/>
            <w:tcMar>
              <w:top w:type="dxa" w:w="70"/>
              <w:left w:type="dxa" w:w="90"/>
              <w:bottom w:type="dxa" w:w="70"/>
              <w:right w:type="dxa" w:w="90"/>
            </w:tcMar>
            <w:vAlign w:val="top"/>
          </w:tcPr>
          <w:p>
            <w:r>
              <w:rPr>
                <w:b/>
                <w:bCs/>
                <w:color w:val="000000"/>
                <w:sz w:val="17"/>
                <w:szCs w:val="17"/>
              </w:rPr>
              <w:t xml:space="preserve">Sustainability for KM/ICT Units</w:t>
            </w:r>
          </w:p>
        </w:tc>
        <w:tc>
          <w:tcPr>
            <w:tcW w:type="dxa" w:w="4096"/>
            <w:tcMar>
              <w:top w:type="dxa" w:w="70"/>
              <w:left w:type="dxa" w:w="90"/>
              <w:bottom w:type="dxa" w:w="70"/>
              <w:right w:type="dxa" w:w="90"/>
            </w:tcMar>
            <w:vAlign w:val="top"/>
          </w:tcPr>
          <w:p>
            <w:r>
              <w:rPr>
                <w:b w:val="false"/>
                <w:bCs w:val="false"/>
                <w:color w:val="000000"/>
                <w:sz w:val="17"/>
                <w:szCs w:val="17"/>
              </w:rPr>
              <w:t xml:space="preserve">Large open-source community documentation; widely taught, lowering the training burden.</w:t>
            </w:r>
          </w:p>
        </w:tc>
        <w:tc>
          <w:tcPr>
            <w:tcW w:type="dxa" w:w="4096"/>
            <w:tcMar>
              <w:top w:type="dxa" w:w="70"/>
              <w:left w:type="dxa" w:w="90"/>
              <w:bottom w:type="dxa" w:w="70"/>
              <w:right w:type="dxa" w:w="90"/>
            </w:tcMar>
            <w:vAlign w:val="top"/>
          </w:tcPr>
          <w:p>
            <w:r>
              <w:rPr>
                <w:b w:val="false"/>
                <w:bCs w:val="false"/>
                <w:color w:val="000000"/>
                <w:sz w:val="17"/>
                <w:szCs w:val="17"/>
              </w:rPr>
              <w:t xml:space="preserve">Strong tooling (SQL Server Management Studio) but tied to a specific vendor ecosystem and licensing model to maintain.</w:t>
            </w:r>
          </w:p>
        </w:tc>
      </w:tr>
      <w:tr>
        <w:tc>
          <w:tcPr>
            <w:tcW w:type="dxa" w:w="2048"/>
            <w:tcMar>
              <w:top w:type="dxa" w:w="70"/>
              <w:left w:type="dxa" w:w="90"/>
              <w:bottom w:type="dxa" w:w="70"/>
              <w:right w:type="dxa" w:w="90"/>
            </w:tcMar>
            <w:vAlign w:val="top"/>
          </w:tcPr>
          <w:p>
            <w:r>
              <w:rPr>
                <w:b/>
                <w:bCs/>
                <w:color w:val="000000"/>
                <w:sz w:val="17"/>
                <w:szCs w:val="17"/>
              </w:rPr>
              <w:t xml:space="preserve">Fit with TOR</w:t>
            </w:r>
          </w:p>
        </w:tc>
        <w:tc>
          <w:tcPr>
            <w:tcW w:type="dxa" w:w="4096"/>
            <w:tcMar>
              <w:top w:type="dxa" w:w="70"/>
              <w:left w:type="dxa" w:w="90"/>
              <w:bottom w:type="dxa" w:w="70"/>
              <w:right w:type="dxa" w:w="90"/>
            </w:tcMar>
            <w:vAlign w:val="top"/>
          </w:tcPr>
          <w:p>
            <w:r>
              <w:rPr>
                <w:b w:val="false"/>
                <w:bCs w:val="false"/>
                <w:color w:val="000000"/>
                <w:sz w:val="17"/>
                <w:szCs w:val="17"/>
              </w:rPr>
              <w:t xml:space="preserve">No TOR-named preference; PostgreSQL satisfies every functional requirement in Section 6.1–6.2 without qualification.</w:t>
            </w:r>
          </w:p>
        </w:tc>
        <w:tc>
          <w:tcPr>
            <w:tcW w:type="dxa" w:w="4096"/>
            <w:tcMar>
              <w:top w:type="dxa" w:w="70"/>
              <w:left w:type="dxa" w:w="90"/>
              <w:bottom w:type="dxa" w:w="70"/>
              <w:right w:type="dxa" w:w="90"/>
            </w:tcMar>
            <w:vAlign w:val="top"/>
          </w:tcPr>
          <w:p>
            <w:r>
              <w:rPr>
                <w:b w:val="false"/>
                <w:bCs w:val="false"/>
                <w:color w:val="000000"/>
                <w:sz w:val="17"/>
                <w:szCs w:val="17"/>
              </w:rPr>
              <w:t xml:space="preserve">No TOR-named preference; equally functionally capable, but at higher lifecycle cost.</w:t>
            </w:r>
          </w:p>
        </w:tc>
      </w:tr>
    </w:tbl>
    <w:p>
      <w:pPr>
        <w:spacing w:after="100"/>
      </w:pPr>
    </w:p>
    <w:p>
      <w:pPr>
        <w:spacing w:after="160" w:line="264"/>
      </w:pPr>
      <w:r>
        <w:rPr>
          <w:i/>
          <w:iCs/>
          <w:color w:val="555555"/>
          <w:sz w:val="18"/>
          <w:szCs w:val="18"/>
        </w:rPr>
        <w:t xml:space="preserve">Recommendation: PostgreSQL, for its zero licensing cost over a multi-year donor-funded programme lifecycle, its strong open-standard compliance supporting the anti-lock-in principle, and its broad availability of low-cost, well-documented administration skill in the Nigerian market. Trade-off accepted: PostgreSQL's tooling ecosystem, while mature, is less polished in places than SQL Server's integrated Microsoft tooling — judged an acceptable trade-off given the recurring licensing saving and the sustainability benefit of a skill set not tied to a single vendor's ecosystem.</w:t>
      </w:r>
    </w:p>
    <w:p>
      <w:pPr>
        <w:spacing w:after="160"/>
      </w:pPr>
    </w:p>
    <w:p>
      <w:pPr>
        <w:pStyle w:val="Heading1"/>
        <w:pBdr>
          <w:bottom w:val="single" w:color="1F3864" w:sz="6" w:space="4"/>
        </w:pBdr>
        <w:spacing w:after="130" w:before="320"/>
      </w:pPr>
      <w:r>
        <w:t xml:space="preserve">10.4 Search Platform</w:t>
      </w:r>
    </w:p>
    <w:p>
      <w:pPr>
        <w:spacing w:after="150" w:line="276"/>
        <w:jc w:val="both"/>
      </w:pPr>
      <w:r>
        <w:t xml:space="preserve">ElasticSearch and OpenSearch are compared as the search index class fixed in Section 6.4 and the technical foundation of the Search Strategy (Section 5.17).</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43"/>
        <w:gridCol w:w="4198"/>
        <w:gridCol w:w="4198"/>
      </w:tblGrid>
      <w:tr>
        <w:trPr>
          <w:tblHeader/>
        </w:trPr>
        <w:tc>
          <w:tcPr>
            <w:tcW w:type="dxa" w:w="1843"/>
            <w:shd w:fill="1F3864" w:val="clear"/>
            <w:tcMar>
              <w:top w:type="dxa" w:w="70"/>
              <w:left w:type="dxa" w:w="90"/>
              <w:bottom w:type="dxa" w:w="70"/>
              <w:right w:type="dxa" w:w="90"/>
            </w:tcMar>
            <w:vAlign w:val="top"/>
          </w:tcPr>
          <w:p>
            <w:r>
              <w:rPr>
                <w:b/>
                <w:bCs/>
                <w:color w:val="FFFFFF"/>
                <w:sz w:val="17"/>
                <w:szCs w:val="17"/>
              </w:rPr>
              <w:t xml:space="preserve">Criterion</w:t>
            </w:r>
          </w:p>
        </w:tc>
        <w:tc>
          <w:tcPr>
            <w:tcW w:type="dxa" w:w="4198"/>
            <w:shd w:fill="1F3864" w:val="clear"/>
            <w:tcMar>
              <w:top w:type="dxa" w:w="70"/>
              <w:left w:type="dxa" w:w="90"/>
              <w:bottom w:type="dxa" w:w="70"/>
              <w:right w:type="dxa" w:w="90"/>
            </w:tcMar>
            <w:vAlign w:val="top"/>
          </w:tcPr>
          <w:p>
            <w:r>
              <w:rPr>
                <w:b/>
                <w:bCs/>
                <w:color w:val="FFFFFF"/>
                <w:sz w:val="17"/>
                <w:szCs w:val="17"/>
              </w:rPr>
              <w:t xml:space="preserve">ElasticSearch</w:t>
            </w:r>
          </w:p>
        </w:tc>
        <w:tc>
          <w:tcPr>
            <w:tcW w:type="dxa" w:w="4198"/>
            <w:shd w:fill="1F3864" w:val="clear"/>
            <w:tcMar>
              <w:top w:type="dxa" w:w="70"/>
              <w:left w:type="dxa" w:w="90"/>
              <w:bottom w:type="dxa" w:w="70"/>
              <w:right w:type="dxa" w:w="90"/>
            </w:tcMar>
            <w:vAlign w:val="top"/>
          </w:tcPr>
          <w:p>
            <w:r>
              <w:rPr>
                <w:b/>
                <w:bCs/>
                <w:color w:val="FFFFFF"/>
                <w:sz w:val="17"/>
                <w:szCs w:val="17"/>
              </w:rPr>
              <w:t xml:space="preserve">OpenSearch</w:t>
            </w:r>
          </w:p>
        </w:tc>
      </w:tr>
      <w:tr>
        <w:tc>
          <w:tcPr>
            <w:tcW w:type="dxa" w:w="1843"/>
            <w:tcMar>
              <w:top w:type="dxa" w:w="70"/>
              <w:left w:type="dxa" w:w="90"/>
              <w:bottom w:type="dxa" w:w="70"/>
              <w:right w:type="dxa" w:w="90"/>
            </w:tcMar>
            <w:vAlign w:val="top"/>
          </w:tcPr>
          <w:p>
            <w:r>
              <w:rPr>
                <w:b/>
                <w:bCs/>
                <w:color w:val="000000"/>
                <w:sz w:val="17"/>
                <w:szCs w:val="17"/>
              </w:rPr>
              <w:t xml:space="preserve">Licensing</w:t>
            </w:r>
          </w:p>
        </w:tc>
        <w:tc>
          <w:tcPr>
            <w:tcW w:type="dxa" w:w="4198"/>
            <w:tcMar>
              <w:top w:type="dxa" w:w="70"/>
              <w:left w:type="dxa" w:w="90"/>
              <w:bottom w:type="dxa" w:w="70"/>
              <w:right w:type="dxa" w:w="90"/>
            </w:tcMar>
            <w:vAlign w:val="top"/>
          </w:tcPr>
          <w:p>
            <w:r>
              <w:rPr>
                <w:b w:val="false"/>
                <w:bCs w:val="false"/>
                <w:color w:val="000000"/>
                <w:sz w:val="17"/>
                <w:szCs w:val="17"/>
              </w:rPr>
              <w:t xml:space="preserve">Elastic's post-2021 licensing changes restrict some features under a non-fully-open license, a direct vendor lock-in concern under the Section 3.1 mitigation principle.</w:t>
            </w:r>
          </w:p>
        </w:tc>
        <w:tc>
          <w:tcPr>
            <w:tcW w:type="dxa" w:w="4198"/>
            <w:tcMar>
              <w:top w:type="dxa" w:w="70"/>
              <w:left w:type="dxa" w:w="90"/>
              <w:bottom w:type="dxa" w:w="70"/>
              <w:right w:type="dxa" w:w="90"/>
            </w:tcMar>
            <w:vAlign w:val="top"/>
          </w:tcPr>
          <w:p>
            <w:r>
              <w:rPr>
                <w:b w:val="false"/>
                <w:bCs w:val="false"/>
                <w:color w:val="000000"/>
                <w:sz w:val="17"/>
                <w:szCs w:val="17"/>
              </w:rPr>
              <w:t xml:space="preserve">A genuinely open-source fork (Apache 2.0), maintained by a broad community including AWS, with no equivalent licensing restriction.</w:t>
            </w:r>
          </w:p>
        </w:tc>
      </w:tr>
      <w:tr>
        <w:tc>
          <w:tcPr>
            <w:tcW w:type="dxa" w:w="1843"/>
            <w:tcMar>
              <w:top w:type="dxa" w:w="70"/>
              <w:left w:type="dxa" w:w="90"/>
              <w:bottom w:type="dxa" w:w="70"/>
              <w:right w:type="dxa" w:w="90"/>
            </w:tcMar>
            <w:vAlign w:val="top"/>
          </w:tcPr>
          <w:p>
            <w:r>
              <w:rPr>
                <w:b/>
                <w:bCs/>
                <w:color w:val="000000"/>
                <w:sz w:val="17"/>
                <w:szCs w:val="17"/>
              </w:rPr>
              <w:t xml:space="preserve">Functional fit</w:t>
            </w:r>
          </w:p>
        </w:tc>
        <w:tc>
          <w:tcPr>
            <w:tcW w:type="dxa" w:w="4198"/>
            <w:tcMar>
              <w:top w:type="dxa" w:w="70"/>
              <w:left w:type="dxa" w:w="90"/>
              <w:bottom w:type="dxa" w:w="70"/>
              <w:right w:type="dxa" w:w="90"/>
            </w:tcMar>
            <w:vAlign w:val="top"/>
          </w:tcPr>
          <w:p>
            <w:r>
              <w:rPr>
                <w:b w:val="false"/>
                <w:bCs w:val="false"/>
                <w:color w:val="000000"/>
                <w:sz w:val="17"/>
                <w:szCs w:val="17"/>
              </w:rPr>
              <w:t xml:space="preserve">Mature, widely documented; functionally equivalent to OpenSearch for this programme's federated-index requirement (Section 5.17).</w:t>
            </w:r>
          </w:p>
        </w:tc>
        <w:tc>
          <w:tcPr>
            <w:tcW w:type="dxa" w:w="4198"/>
            <w:tcMar>
              <w:top w:type="dxa" w:w="70"/>
              <w:left w:type="dxa" w:w="90"/>
              <w:bottom w:type="dxa" w:w="70"/>
              <w:right w:type="dxa" w:w="90"/>
            </w:tcMar>
            <w:vAlign w:val="top"/>
          </w:tcPr>
          <w:p>
            <w:r>
              <w:rPr>
                <w:b w:val="false"/>
                <w:bCs w:val="false"/>
                <w:color w:val="000000"/>
                <w:sz w:val="17"/>
                <w:szCs w:val="17"/>
              </w:rPr>
              <w:t xml:space="preserve">Functionally equivalent for this programme's needs; feature parity with ElasticSearch has grown steadily since the fork.</w:t>
            </w:r>
          </w:p>
        </w:tc>
      </w:tr>
      <w:tr>
        <w:tc>
          <w:tcPr>
            <w:tcW w:type="dxa" w:w="1843"/>
            <w:tcMar>
              <w:top w:type="dxa" w:w="70"/>
              <w:left w:type="dxa" w:w="90"/>
              <w:bottom w:type="dxa" w:w="70"/>
              <w:right w:type="dxa" w:w="90"/>
            </w:tcMar>
            <w:vAlign w:val="top"/>
          </w:tcPr>
          <w:p>
            <w:r>
              <w:rPr>
                <w:b/>
                <w:bCs/>
                <w:color w:val="000000"/>
                <w:sz w:val="17"/>
                <w:szCs w:val="17"/>
              </w:rPr>
              <w:t xml:space="preserve">Sustainability</w:t>
            </w:r>
          </w:p>
        </w:tc>
        <w:tc>
          <w:tcPr>
            <w:tcW w:type="dxa" w:w="4198"/>
            <w:tcMar>
              <w:top w:type="dxa" w:w="70"/>
              <w:left w:type="dxa" w:w="90"/>
              <w:bottom w:type="dxa" w:w="70"/>
              <w:right w:type="dxa" w:w="90"/>
            </w:tcMar>
            <w:vAlign w:val="top"/>
          </w:tcPr>
          <w:p>
            <w:r>
              <w:rPr>
                <w:b w:val="false"/>
                <w:bCs w:val="false"/>
                <w:color w:val="000000"/>
                <w:sz w:val="17"/>
                <w:szCs w:val="17"/>
              </w:rPr>
              <w:t xml:space="preserve">Some advanced features require a paid subscription, a recurring cost and a dependency KM and ICT Units would inherit.</w:t>
            </w:r>
          </w:p>
        </w:tc>
        <w:tc>
          <w:tcPr>
            <w:tcW w:type="dxa" w:w="4198"/>
            <w:tcMar>
              <w:top w:type="dxa" w:w="70"/>
              <w:left w:type="dxa" w:w="90"/>
              <w:bottom w:type="dxa" w:w="70"/>
              <w:right w:type="dxa" w:w="90"/>
            </w:tcMar>
            <w:vAlign w:val="top"/>
          </w:tcPr>
          <w:p>
            <w:r>
              <w:rPr>
                <w:b w:val="false"/>
                <w:bCs w:val="false"/>
                <w:color w:val="000000"/>
                <w:sz w:val="17"/>
                <w:szCs w:val="17"/>
              </w:rPr>
              <w:t xml:space="preserve">Fully open-source feature set avoids any future paid-tier dependency.</w:t>
            </w:r>
          </w:p>
        </w:tc>
      </w:tr>
    </w:tbl>
    <w:p>
      <w:pPr>
        <w:spacing w:after="100"/>
      </w:pPr>
    </w:p>
    <w:p>
      <w:pPr>
        <w:spacing w:after="160" w:line="264"/>
      </w:pPr>
      <w:r>
        <w:rPr>
          <w:i/>
          <w:iCs/>
          <w:color w:val="555555"/>
          <w:sz w:val="18"/>
          <w:szCs w:val="18"/>
        </w:rPr>
        <w:t xml:space="preserve">Recommendation: OpenSearch, specifically because of the licensing and vendor lock-in consideration — the exact factor the Section 3.1 decision framework treats as a first-order concern, not an afterthought. ElasticSearch's technical maturity is real, but this programme's federated-search requirement (two access-bounded indexes, taxonomy-driven ranking) does not depend on any feature unique to ElasticSearch's restricted tier, so the licensing risk is accepted for no offsetting functional gain.</w:t>
      </w:r>
    </w:p>
    <w:p>
      <w:pPr>
        <w:spacing w:after="160"/>
      </w:pPr>
    </w:p>
    <w:p>
      <w:pPr>
        <w:pStyle w:val="Heading1"/>
        <w:pBdr>
          <w:bottom w:val="single" w:color="1F3864" w:sz="6" w:space="4"/>
        </w:pBdr>
        <w:spacing w:after="130" w:before="320"/>
      </w:pPr>
      <w:r>
        <w:t xml:space="preserve">10.5 Caching Layer</w:t>
      </w:r>
    </w:p>
    <w:p>
      <w:pPr>
        <w:spacing w:after="150" w:line="276"/>
        <w:jc w:val="both"/>
      </w:pPr>
      <w:r>
        <w:t xml:space="preserve">Redis is the recommended caching technology for the caching layer fixed in Section 6.13, evaluated on its own since no comparably named alternative appears in the governing prompt. Redis is an in-memory data store with strong support for the specific caching pattern this architecture needs — fronting the Analytics store and Public Portal (Section 6.13) — and its open-source core, wide adoption, and low operational complexity make it a low-risk choice against all four decision criteria: it is fast to configure within the schedule, well-documented for KM and ICT Units to administer, carries no TOR-relevant constraint either way, and its data-export simplicity (cache content is, by design, always reconstructable from the source of truth) means it carries no meaningful lock-in risk at all — a cache is, definitionally, disposable infrastructure.</w:t>
      </w:r>
    </w:p>
    <w:p>
      <w:pPr>
        <w:pStyle w:val="Heading1"/>
        <w:pBdr>
          <w:bottom w:val="single" w:color="1F3864" w:sz="6" w:space="4"/>
        </w:pBdr>
        <w:spacing w:after="130" w:before="320"/>
      </w:pPr>
      <w:r>
        <w:t xml:space="preserve">10.6 Containerization and Orchestration</w:t>
      </w:r>
    </w:p>
    <w:p>
      <w:pPr>
        <w:spacing w:after="150" w:line="276"/>
        <w:jc w:val="both"/>
      </w:pPr>
      <w:r>
        <w:t xml:space="preserve">Docker and Kubernetes are evaluated as two distinct decisions — containerization and orchestration — since adopting one does not obligate adopting the other at the same intensity.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3072"/>
        <w:gridCol w:w="5530"/>
      </w:tblGrid>
      <w:tr>
        <w:trPr>
          <w:tblHeader/>
        </w:trPr>
        <w:tc>
          <w:tcPr>
            <w:tcW w:type="dxa" w:w="1638"/>
            <w:shd w:fill="1F3864" w:val="clear"/>
            <w:tcMar>
              <w:top w:type="dxa" w:w="70"/>
              <w:left w:type="dxa" w:w="90"/>
              <w:bottom w:type="dxa" w:w="70"/>
              <w:right w:type="dxa" w:w="90"/>
            </w:tcMar>
            <w:vAlign w:val="top"/>
          </w:tcPr>
          <w:p>
            <w:r>
              <w:rPr>
                <w:b/>
                <w:bCs/>
                <w:color w:val="FFFFFF"/>
                <w:sz w:val="17"/>
                <w:szCs w:val="17"/>
              </w:rPr>
              <w:t xml:space="preserve">Decision</w:t>
            </w:r>
          </w:p>
        </w:tc>
        <w:tc>
          <w:tcPr>
            <w:tcW w:type="dxa" w:w="3072"/>
            <w:shd w:fill="1F3864" w:val="clear"/>
            <w:tcMar>
              <w:top w:type="dxa" w:w="70"/>
              <w:left w:type="dxa" w:w="90"/>
              <w:bottom w:type="dxa" w:w="70"/>
              <w:right w:type="dxa" w:w="90"/>
            </w:tcMar>
            <w:vAlign w:val="top"/>
          </w:tcPr>
          <w:p>
            <w:r>
              <w:rPr>
                <w:b/>
                <w:bCs/>
                <w:color w:val="FFFFFF"/>
                <w:sz w:val="17"/>
                <w:szCs w:val="17"/>
              </w:rPr>
              <w:t xml:space="preserve">Recommendation</w:t>
            </w:r>
          </w:p>
        </w:tc>
        <w:tc>
          <w:tcPr>
            <w:tcW w:type="dxa" w:w="5530"/>
            <w:shd w:fill="1F3864" w:val="clear"/>
            <w:tcMar>
              <w:top w:type="dxa" w:w="70"/>
              <w:left w:type="dxa" w:w="90"/>
              <w:bottom w:type="dxa" w:w="70"/>
              <w:right w:type="dxa" w:w="90"/>
            </w:tcMar>
            <w:vAlign w:val="top"/>
          </w:tcPr>
          <w:p>
            <w:r>
              <w:rPr>
                <w:b/>
                <w:bCs/>
                <w:color w:val="FFFFFF"/>
                <w:sz w:val="17"/>
                <w:szCs w:val="17"/>
              </w:rPr>
              <w:t xml:space="preserve">Justification</w:t>
            </w:r>
          </w:p>
        </w:tc>
      </w:tr>
      <w:tr>
        <w:tc>
          <w:tcPr>
            <w:tcW w:type="dxa" w:w="1638"/>
            <w:tcMar>
              <w:top w:type="dxa" w:w="70"/>
              <w:left w:type="dxa" w:w="90"/>
              <w:bottom w:type="dxa" w:w="70"/>
              <w:right w:type="dxa" w:w="90"/>
            </w:tcMar>
            <w:vAlign w:val="top"/>
          </w:tcPr>
          <w:p>
            <w:r>
              <w:rPr>
                <w:b/>
                <w:bCs/>
                <w:color w:val="000000"/>
                <w:sz w:val="17"/>
                <w:szCs w:val="17"/>
              </w:rPr>
              <w:t xml:space="preserve">Containerization</w:t>
            </w:r>
          </w:p>
        </w:tc>
        <w:tc>
          <w:tcPr>
            <w:tcW w:type="dxa" w:w="3072"/>
            <w:tcMar>
              <w:top w:type="dxa" w:w="70"/>
              <w:left w:type="dxa" w:w="90"/>
              <w:bottom w:type="dxa" w:w="70"/>
              <w:right w:type="dxa" w:w="90"/>
            </w:tcMar>
            <w:vAlign w:val="top"/>
          </w:tcPr>
          <w:p>
            <w:r>
              <w:rPr>
                <w:b w:val="false"/>
                <w:bCs w:val="false"/>
                <w:color w:val="000000"/>
                <w:sz w:val="17"/>
                <w:szCs w:val="17"/>
              </w:rPr>
              <w:t xml:space="preserve">Docker — adopted without qualification.</w:t>
            </w:r>
          </w:p>
        </w:tc>
        <w:tc>
          <w:tcPr>
            <w:tcW w:type="dxa" w:w="5530"/>
            <w:tcMar>
              <w:top w:type="dxa" w:w="70"/>
              <w:left w:type="dxa" w:w="90"/>
              <w:bottom w:type="dxa" w:w="70"/>
              <w:right w:type="dxa" w:w="90"/>
            </w:tcMar>
            <w:vAlign w:val="top"/>
          </w:tcPr>
          <w:p>
            <w:r>
              <w:rPr>
                <w:b w:val="false"/>
                <w:bCs w:val="false"/>
                <w:color w:val="000000"/>
                <w:sz w:val="17"/>
                <w:szCs w:val="17"/>
              </w:rPr>
              <w:t xml:space="preserve">Docker packaging gives every application in the Section 3.3 portfolio a consistent, portable deployment unit across development, staging, and production, directly supporting the migration and rollback discipline the Implementation Blueprint (Section 13) will require. This is a Must Have regardless of orchestration choice.</w:t>
            </w:r>
          </w:p>
        </w:tc>
      </w:tr>
      <w:tr>
        <w:tc>
          <w:tcPr>
            <w:tcW w:type="dxa" w:w="1638"/>
            <w:tcMar>
              <w:top w:type="dxa" w:w="70"/>
              <w:left w:type="dxa" w:w="90"/>
              <w:bottom w:type="dxa" w:w="70"/>
              <w:right w:type="dxa" w:w="90"/>
            </w:tcMar>
            <w:vAlign w:val="top"/>
          </w:tcPr>
          <w:p>
            <w:r>
              <w:rPr>
                <w:b/>
                <w:bCs/>
                <w:color w:val="000000"/>
                <w:sz w:val="17"/>
                <w:szCs w:val="17"/>
              </w:rPr>
              <w:t xml:space="preserve">Orchestration</w:t>
            </w:r>
          </w:p>
        </w:tc>
        <w:tc>
          <w:tcPr>
            <w:tcW w:type="dxa" w:w="3072"/>
            <w:tcMar>
              <w:top w:type="dxa" w:w="70"/>
              <w:left w:type="dxa" w:w="90"/>
              <w:bottom w:type="dxa" w:w="70"/>
              <w:right w:type="dxa" w:w="90"/>
            </w:tcMar>
            <w:vAlign w:val="top"/>
          </w:tcPr>
          <w:p>
            <w:r>
              <w:rPr>
                <w:b w:val="false"/>
                <w:bCs w:val="false"/>
                <w:color w:val="000000"/>
                <w:sz w:val="17"/>
                <w:szCs w:val="17"/>
              </w:rPr>
              <w:t xml:space="preserve">A managed container service (for example, a cloud provider's managed container platform) rather than a self-managed Kubernetes cluster.</w:t>
            </w:r>
          </w:p>
        </w:tc>
        <w:tc>
          <w:tcPr>
            <w:tcW w:type="dxa" w:w="5530"/>
            <w:tcMar>
              <w:top w:type="dxa" w:w="70"/>
              <w:left w:type="dxa" w:w="90"/>
              <w:bottom w:type="dxa" w:w="70"/>
              <w:right w:type="dxa" w:w="90"/>
            </w:tcMar>
            <w:vAlign w:val="top"/>
          </w:tcPr>
          <w:p>
            <w:r>
              <w:rPr>
                <w:b w:val="false"/>
                <w:bCs w:val="false"/>
                <w:color w:val="000000"/>
                <w:sz w:val="17"/>
                <w:szCs w:val="17"/>
              </w:rPr>
              <w:t xml:space="preserve">Full Kubernetes carries real operational complexity — cluster upgrades, networking, and security patching — that would consume schedule time disproportionate to this programme's actual scale (two core applications and a handful of shared services, not dozens of microservices). A managed container service delivers the same deployment consistency and elastic scaling Kubernetes would provide, without requiring KM and ICT Units to develop full Kubernetes administration expertise to sustain it post-handover — directly serving the sustainability decision variable.</w:t>
            </w:r>
          </w:p>
        </w:tc>
      </w:tr>
    </w:tbl>
    <w:p>
      <w:pPr>
        <w:spacing w:after="100"/>
      </w:pPr>
    </w:p>
    <w:p>
      <w:pPr>
        <w:spacing w:after="160" w:line="264"/>
      </w:pPr>
      <w:r>
        <w:rPr>
          <w:i/>
          <w:iCs/>
          <w:color w:val="555555"/>
          <w:sz w:val="18"/>
          <w:szCs w:val="18"/>
        </w:rPr>
        <w:t xml:space="preserve">This is a deliberate, stated departure from defaulting to Kubernetes simply because it is the best-known orchestration platform: the Architecture Review discipline (Section 15) specifically requires challenging assumptions rather than reaching for the most prominent tool by reputation alone, and a managed container service is the right-sized choice for this programme's actual scale and the client's actual post-handover operating capacity (Section 2.4 Capability Heat Map).</w:t>
      </w:r>
    </w:p>
    <w:p>
      <w:pPr>
        <w:spacing w:after="160"/>
      </w:pPr>
    </w:p>
    <w:p>
      <w:pPr>
        <w:pStyle w:val="Heading1"/>
        <w:pBdr>
          <w:bottom w:val="single" w:color="1F3864" w:sz="6" w:space="4"/>
        </w:pBdr>
        <w:spacing w:after="130" w:before="320"/>
      </w:pPr>
      <w:r>
        <w:t xml:space="preserve">10.7 Cloud Platform</w:t>
      </w:r>
    </w:p>
    <w:p>
      <w:pPr>
        <w:spacing w:after="150" w:line="276"/>
        <w:jc w:val="both"/>
      </w:pPr>
      <w:r>
        <w:t xml:space="preserve">Microsoft Azure and Amazon Web Services (AWS) are compared as the cloud-first hosting platform the Technology Principles (Section 1.7) already commit this architecture to using.</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4096"/>
        <w:gridCol w:w="4096"/>
      </w:tblGrid>
      <w:tr>
        <w:trPr>
          <w:tblHeader/>
        </w:trPr>
        <w:tc>
          <w:tcPr>
            <w:tcW w:type="dxa" w:w="2048"/>
            <w:shd w:fill="1F3864" w:val="clear"/>
            <w:tcMar>
              <w:top w:type="dxa" w:w="70"/>
              <w:left w:type="dxa" w:w="90"/>
              <w:bottom w:type="dxa" w:w="70"/>
              <w:right w:type="dxa" w:w="90"/>
            </w:tcMar>
            <w:vAlign w:val="top"/>
          </w:tcPr>
          <w:p>
            <w:r>
              <w:rPr>
                <w:b/>
                <w:bCs/>
                <w:color w:val="FFFFFF"/>
                <w:sz w:val="17"/>
                <w:szCs w:val="17"/>
              </w:rPr>
              <w:t xml:space="preserve">Criterion</w:t>
            </w:r>
          </w:p>
        </w:tc>
        <w:tc>
          <w:tcPr>
            <w:tcW w:type="dxa" w:w="4096"/>
            <w:shd w:fill="1F3864" w:val="clear"/>
            <w:tcMar>
              <w:top w:type="dxa" w:w="70"/>
              <w:left w:type="dxa" w:w="90"/>
              <w:bottom w:type="dxa" w:w="70"/>
              <w:right w:type="dxa" w:w="90"/>
            </w:tcMar>
            <w:vAlign w:val="top"/>
          </w:tcPr>
          <w:p>
            <w:r>
              <w:rPr>
                <w:b/>
                <w:bCs/>
                <w:color w:val="FFFFFF"/>
                <w:sz w:val="17"/>
                <w:szCs w:val="17"/>
              </w:rPr>
              <w:t xml:space="preserve">Azure</w:t>
            </w:r>
          </w:p>
        </w:tc>
        <w:tc>
          <w:tcPr>
            <w:tcW w:type="dxa" w:w="4096"/>
            <w:shd w:fill="1F3864" w:val="clear"/>
            <w:tcMar>
              <w:top w:type="dxa" w:w="70"/>
              <w:left w:type="dxa" w:w="90"/>
              <w:bottom w:type="dxa" w:w="70"/>
              <w:right w:type="dxa" w:w="90"/>
            </w:tcMar>
            <w:vAlign w:val="top"/>
          </w:tcPr>
          <w:p>
            <w:r>
              <w:rPr>
                <w:b/>
                <w:bCs/>
                <w:color w:val="FFFFFF"/>
                <w:sz w:val="17"/>
                <w:szCs w:val="17"/>
              </w:rPr>
              <w:t xml:space="preserve">AWS</w:t>
            </w:r>
          </w:p>
        </w:tc>
      </w:tr>
      <w:tr>
        <w:tc>
          <w:tcPr>
            <w:tcW w:type="dxa" w:w="2048"/>
            <w:tcMar>
              <w:top w:type="dxa" w:w="70"/>
              <w:left w:type="dxa" w:w="90"/>
              <w:bottom w:type="dxa" w:w="70"/>
              <w:right w:type="dxa" w:w="90"/>
            </w:tcMar>
            <w:vAlign w:val="top"/>
          </w:tcPr>
          <w:p>
            <w:r>
              <w:rPr>
                <w:b/>
                <w:bCs/>
                <w:color w:val="000000"/>
                <w:sz w:val="16"/>
                <w:szCs w:val="16"/>
              </w:rPr>
              <w:t xml:space="preserve">Regional presence / data residency</w:t>
            </w:r>
          </w:p>
        </w:tc>
        <w:tc>
          <w:tcPr>
            <w:tcW w:type="dxa" w:w="4096"/>
            <w:tcMar>
              <w:top w:type="dxa" w:w="70"/>
              <w:left w:type="dxa" w:w="90"/>
              <w:bottom w:type="dxa" w:w="70"/>
              <w:right w:type="dxa" w:w="90"/>
            </w:tcMar>
            <w:vAlign w:val="top"/>
          </w:tcPr>
          <w:p>
            <w:r>
              <w:rPr>
                <w:b w:val="false"/>
                <w:bCs w:val="false"/>
                <w:color w:val="000000"/>
                <w:sz w:val="16"/>
                <w:szCs w:val="16"/>
              </w:rPr>
              <w:t xml:space="preserve">Azure's South Africa regions offer geographic proximity relevant to NDPR data-residency considerations (Section 6.11) and network latency for Nigerian users.</w:t>
            </w:r>
          </w:p>
        </w:tc>
        <w:tc>
          <w:tcPr>
            <w:tcW w:type="dxa" w:w="4096"/>
            <w:tcMar>
              <w:top w:type="dxa" w:w="70"/>
              <w:left w:type="dxa" w:w="90"/>
              <w:bottom w:type="dxa" w:w="70"/>
              <w:right w:type="dxa" w:w="90"/>
            </w:tcMar>
            <w:vAlign w:val="top"/>
          </w:tcPr>
          <w:p>
            <w:r>
              <w:rPr>
                <w:b w:val="false"/>
                <w:bCs w:val="false"/>
                <w:color w:val="000000"/>
                <w:sz w:val="16"/>
                <w:szCs w:val="16"/>
              </w:rPr>
              <w:t xml:space="preserve">AWS's Africa (Cape Town) region offers comparable proximity and residency posture.</w:t>
            </w:r>
          </w:p>
        </w:tc>
      </w:tr>
      <w:tr>
        <w:tc>
          <w:tcPr>
            <w:tcW w:type="dxa" w:w="2048"/>
            <w:tcMar>
              <w:top w:type="dxa" w:w="70"/>
              <w:left w:type="dxa" w:w="90"/>
              <w:bottom w:type="dxa" w:w="70"/>
              <w:right w:type="dxa" w:w="90"/>
            </w:tcMar>
            <w:vAlign w:val="top"/>
          </w:tcPr>
          <w:p>
            <w:r>
              <w:rPr>
                <w:b/>
                <w:bCs/>
                <w:color w:val="000000"/>
                <w:sz w:val="16"/>
                <w:szCs w:val="16"/>
              </w:rPr>
              <w:t xml:space="preserve">Ecosystem integration</w:t>
            </w:r>
          </w:p>
        </w:tc>
        <w:tc>
          <w:tcPr>
            <w:tcW w:type="dxa" w:w="4096"/>
            <w:tcMar>
              <w:top w:type="dxa" w:w="70"/>
              <w:left w:type="dxa" w:w="90"/>
              <w:bottom w:type="dxa" w:w="70"/>
              <w:right w:type="dxa" w:w="90"/>
            </w:tcMar>
            <w:vAlign w:val="top"/>
          </w:tcPr>
          <w:p>
            <w:r>
              <w:rPr>
                <w:b w:val="false"/>
                <w:bCs w:val="false"/>
                <w:color w:val="000000"/>
                <w:sz w:val="16"/>
                <w:szCs w:val="16"/>
              </w:rPr>
              <w:t xml:space="preserve">Native integration with Microsoft 365 and Power BI (Sections 7.4, 10.10), reducing integration effort if the client's KM and ICT Units already operate in a Microsoft-centric productivity environment.</w:t>
            </w:r>
          </w:p>
        </w:tc>
        <w:tc>
          <w:tcPr>
            <w:tcW w:type="dxa" w:w="4096"/>
            <w:tcMar>
              <w:top w:type="dxa" w:w="70"/>
              <w:left w:type="dxa" w:w="90"/>
              <w:bottom w:type="dxa" w:w="70"/>
              <w:right w:type="dxa" w:w="90"/>
            </w:tcMar>
            <w:vAlign w:val="top"/>
          </w:tcPr>
          <w:p>
            <w:r>
              <w:rPr>
                <w:b w:val="false"/>
                <w:bCs w:val="false"/>
                <w:color w:val="000000"/>
                <w:sz w:val="16"/>
                <w:szCs w:val="16"/>
              </w:rPr>
              <w:t xml:space="preserve">Broader managed-service breadth in some categories (for example, a wider range of managed container and messaging services), but without the same native Microsoft 365/Power BI integration advantage.</w:t>
            </w:r>
          </w:p>
        </w:tc>
      </w:tr>
      <w:tr>
        <w:tc>
          <w:tcPr>
            <w:tcW w:type="dxa" w:w="2048"/>
            <w:tcMar>
              <w:top w:type="dxa" w:w="70"/>
              <w:left w:type="dxa" w:w="90"/>
              <w:bottom w:type="dxa" w:w="70"/>
              <w:right w:type="dxa" w:w="90"/>
            </w:tcMar>
            <w:vAlign w:val="top"/>
          </w:tcPr>
          <w:p>
            <w:r>
              <w:rPr>
                <w:b/>
                <w:bCs/>
                <w:color w:val="000000"/>
                <w:sz w:val="16"/>
                <w:szCs w:val="16"/>
              </w:rPr>
              <w:t xml:space="preserve">Managed container service fit</w:t>
            </w:r>
          </w:p>
        </w:tc>
        <w:tc>
          <w:tcPr>
            <w:tcW w:type="dxa" w:w="4096"/>
            <w:tcMar>
              <w:top w:type="dxa" w:w="70"/>
              <w:left w:type="dxa" w:w="90"/>
              <w:bottom w:type="dxa" w:w="70"/>
              <w:right w:type="dxa" w:w="90"/>
            </w:tcMar>
            <w:vAlign w:val="top"/>
          </w:tcPr>
          <w:p>
            <w:r>
              <w:rPr>
                <w:b w:val="false"/>
                <w:bCs w:val="false"/>
                <w:color w:val="000000"/>
                <w:sz w:val="16"/>
                <w:szCs w:val="16"/>
              </w:rPr>
              <w:t xml:space="preserve">Azure Container Apps / Azure Kubernetes Service (lighter-weight managed tier available) supports the Section 10.6 orchestration recommendation directly.</w:t>
            </w:r>
          </w:p>
        </w:tc>
        <w:tc>
          <w:tcPr>
            <w:tcW w:type="dxa" w:w="4096"/>
            <w:tcMar>
              <w:top w:type="dxa" w:w="70"/>
              <w:left w:type="dxa" w:w="90"/>
              <w:bottom w:type="dxa" w:w="70"/>
              <w:right w:type="dxa" w:w="90"/>
            </w:tcMar>
            <w:vAlign w:val="top"/>
          </w:tcPr>
          <w:p>
            <w:r>
              <w:rPr>
                <w:b w:val="false"/>
                <w:bCs w:val="false"/>
                <w:color w:val="000000"/>
                <w:sz w:val="16"/>
                <w:szCs w:val="16"/>
              </w:rPr>
              <w:t xml:space="preserve">Amazon ECS provides an equally strong managed-container fit, with a comparable operational-simplicity profile to Azure's lighter-weight tier.</w:t>
            </w:r>
          </w:p>
        </w:tc>
      </w:tr>
      <w:tr>
        <w:tc>
          <w:tcPr>
            <w:tcW w:type="dxa" w:w="2048"/>
            <w:tcMar>
              <w:top w:type="dxa" w:w="70"/>
              <w:left w:type="dxa" w:w="90"/>
              <w:bottom w:type="dxa" w:w="70"/>
              <w:right w:type="dxa" w:w="90"/>
            </w:tcMar>
            <w:vAlign w:val="top"/>
          </w:tcPr>
          <w:p>
            <w:r>
              <w:rPr>
                <w:b/>
                <w:bCs/>
                <w:color w:val="000000"/>
                <w:sz w:val="16"/>
                <w:szCs w:val="16"/>
              </w:rPr>
              <w:t xml:space="preserve">Sustainability</w:t>
            </w:r>
          </w:p>
        </w:tc>
        <w:tc>
          <w:tcPr>
            <w:tcW w:type="dxa" w:w="4096"/>
            <w:tcMar>
              <w:top w:type="dxa" w:w="70"/>
              <w:left w:type="dxa" w:w="90"/>
              <w:bottom w:type="dxa" w:w="70"/>
              <w:right w:type="dxa" w:w="90"/>
            </w:tcMar>
            <w:vAlign w:val="top"/>
          </w:tcPr>
          <w:p>
            <w:r>
              <w:rPr>
                <w:b w:val="false"/>
                <w:bCs w:val="false"/>
                <w:color w:val="000000"/>
                <w:sz w:val="16"/>
                <w:szCs w:val="16"/>
              </w:rPr>
              <w:t xml:space="preserve">Government and donor-programme familiarity with Microsoft ecosystems in the Nigerian public sector context is generally high, easing the KM and ICT Units' learning curve.</w:t>
            </w:r>
          </w:p>
        </w:tc>
        <w:tc>
          <w:tcPr>
            <w:tcW w:type="dxa" w:w="4096"/>
            <w:tcMar>
              <w:top w:type="dxa" w:w="70"/>
              <w:left w:type="dxa" w:w="90"/>
              <w:bottom w:type="dxa" w:w="70"/>
              <w:right w:type="dxa" w:w="90"/>
            </w:tcMar>
            <w:vAlign w:val="top"/>
          </w:tcPr>
          <w:p>
            <w:r>
              <w:rPr>
                <w:b w:val="false"/>
                <w:bCs w:val="false"/>
                <w:color w:val="000000"/>
                <w:sz w:val="16"/>
                <w:szCs w:val="16"/>
              </w:rPr>
              <w:t xml:space="preserve">Strong global documentation and training resources, though with less specific alignment to the Microsoft-centric tooling already recommended elsewhere in this stack (Power BI, potentially Microsoft 365).</w:t>
            </w:r>
          </w:p>
        </w:tc>
      </w:tr>
    </w:tbl>
    <w:p>
      <w:pPr>
        <w:spacing w:after="100"/>
      </w:pPr>
    </w:p>
    <w:p>
      <w:pPr>
        <w:spacing w:after="150" w:line="276"/>
        <w:jc w:val="both"/>
      </w:pPr>
      <w:r>
        <w:t xml:space="preserve">Recommendation: Microsoft Azure, primarily because of the integration coherence it offers with Power BI (Section 10.10) and, where the client's own productivity suite is Microsoft 365 (Section 7.4, integration #7), a single-vendor identity and productivity ecosystem that reduces the number of distinct platforms KM and ICT Units must learn to sustain. This recommendation is explicitly conditional, not absolute: if the Weeks 1–2 requirements analysis confirms the client's KM and ICT Units already standardize on Google Workspace rather than Microsoft 365, this recommendation should be revisited in favour of AWS, whose managed-service capability is functionally comparable. The choice is an integration-coherence decision, not a claim that one platform is technically superior to the other.</w:t>
      </w:r>
    </w:p>
    <w:p>
      <w:pPr>
        <w:spacing w:after="160"/>
      </w:pPr>
    </w:p>
    <w:p>
      <w:pPr>
        <w:pStyle w:val="Heading1"/>
        <w:pBdr>
          <w:bottom w:val="single" w:color="1F3864" w:sz="6" w:space="4"/>
        </w:pBdr>
        <w:spacing w:after="130" w:before="320"/>
      </w:pPr>
      <w:r>
        <w:t xml:space="preserve">10.8 Web Server / Reverse Proxy</w:t>
      </w:r>
    </w:p>
    <w:p>
      <w:pPr>
        <w:spacing w:after="150" w:line="276"/>
        <w:jc w:val="both"/>
      </w:pPr>
      <w:r>
        <w:t xml:space="preserve">NGINX is recommended as the reverse proxy and load balancer sitting in front of the Laravel and Node.js application layers (Section 10.2), evaluated on its own since no comparably named alternative appears in the governing prompt. NGINX is the de facto standard for this role: lightweight, well-documented, capable of TLS termination consistent with the encryption-in-transit standard fixed in Section 8.5, and directly supports the rate-limiting control the Integration &amp; API Gateway requires (Section 7.5). It satisfies all four decision criteria without qualification — fast to configure, easy for KM and ICT Units to administer, carries no TOR-relevant constraint, and is fully open-source with no lock-in risk.</w:t>
      </w:r>
    </w:p>
    <w:p>
      <w:pPr>
        <w:pStyle w:val="Heading1"/>
        <w:pBdr>
          <w:bottom w:val="single" w:color="1F3864" w:sz="6" w:space="4"/>
        </w:pBdr>
        <w:spacing w:after="130" w:before="320"/>
      </w:pPr>
      <w:r>
        <w:t xml:space="preserve">10.9 Identity and Access Management Platform</w:t>
      </w:r>
    </w:p>
    <w:p>
      <w:pPr>
        <w:spacing w:after="150" w:line="276"/>
        <w:jc w:val="both"/>
      </w:pPr>
      <w:r>
        <w:t xml:space="preserve">Keycloak is recommended as the identity platform underlying the Identity &amp; Access Management Service (Section 3.3, application #3), evaluated against the alternative of a cloud-native identity service tied to the chosen cloud provider (for example, Azure Active Directory / Entra ID). Keycloak is open-source, self-hostable, and supports the OAuth 2.0 and SAML standards already fixed as the integration authentication baseline (Section 7.5, Section 7.3 profile #2) — meaning it can run on Azure today without binding the programme's identity layer to Azure specifically, directly serving the vendor lock-in mitigation principle (Section 3.1): if a future decision moved hosting from Azure to AWS or elsewhere, the identity layer would migrate with the rest of the platform rather than requiring a separate, disruptive identity-migration project.</w:t>
      </w:r>
    </w:p>
    <w:p>
      <w:pPr>
        <w:spacing w:after="150" w:line="276"/>
        <w:jc w:val="both"/>
      </w:pPr>
      <w:r>
        <w:t xml:space="preserve">The trade-off accepted is real: a cloud-native identity service would require less initial configuration effort than standing up and administering Keycloak independently. This is judged acceptable because identity is the single most consequential layer to have locked into a specific cloud vendor — it touches every application in the portfolio (Section 3.3) — and the modest additional configuration effort within the twelve-week schedule is a reasonable price for avoiding that specific, high-consequence lock-in.</w:t>
      </w:r>
    </w:p>
    <w:p>
      <w:pPr>
        <w:pStyle w:val="Heading1"/>
        <w:pBdr>
          <w:bottom w:val="single" w:color="1F3864" w:sz="6" w:space="4"/>
        </w:pBdr>
        <w:spacing w:after="130" w:before="320"/>
      </w:pPr>
      <w:r>
        <w:t xml:space="preserve">10.10 Business Intelligence and Reporting</w:t>
      </w:r>
    </w:p>
    <w:p>
      <w:pPr>
        <w:spacing w:after="150" w:line="276"/>
        <w:jc w:val="both"/>
      </w:pPr>
      <w:r>
        <w:t xml:space="preserve">Power BI and Grafana are compared, but for two distinct purposes within this architecture rather than as direct substitutes for one another.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38"/>
        <w:gridCol w:w="3891"/>
        <w:gridCol w:w="4710"/>
      </w:tblGrid>
      <w:tr>
        <w:trPr>
          <w:tblHeader/>
        </w:trPr>
        <w:tc>
          <w:tcPr>
            <w:tcW w:type="dxa" w:w="1638"/>
            <w:shd w:fill="1F3864" w:val="clear"/>
            <w:tcMar>
              <w:top w:type="dxa" w:w="70"/>
              <w:left w:type="dxa" w:w="90"/>
              <w:bottom w:type="dxa" w:w="70"/>
              <w:right w:type="dxa" w:w="90"/>
            </w:tcMar>
            <w:vAlign w:val="top"/>
          </w:tcPr>
          <w:p>
            <w:r>
              <w:rPr>
                <w:b/>
                <w:bCs/>
                <w:color w:val="FFFFFF"/>
                <w:sz w:val="17"/>
                <w:szCs w:val="17"/>
              </w:rPr>
              <w:t xml:space="preserve">Tool</w:t>
            </w:r>
          </w:p>
        </w:tc>
        <w:tc>
          <w:tcPr>
            <w:tcW w:type="dxa" w:w="3891"/>
            <w:shd w:fill="1F3864" w:val="clear"/>
            <w:tcMar>
              <w:top w:type="dxa" w:w="70"/>
              <w:left w:type="dxa" w:w="90"/>
              <w:bottom w:type="dxa" w:w="70"/>
              <w:right w:type="dxa" w:w="90"/>
            </w:tcMar>
            <w:vAlign w:val="top"/>
          </w:tcPr>
          <w:p>
            <w:r>
              <w:rPr>
                <w:b/>
                <w:bCs/>
                <w:color w:val="FFFFFF"/>
                <w:sz w:val="17"/>
                <w:szCs w:val="17"/>
              </w:rPr>
              <w:t xml:space="preserve">Best Fit</w:t>
            </w:r>
          </w:p>
        </w:tc>
        <w:tc>
          <w:tcPr>
            <w:tcW w:type="dxa" w:w="4710"/>
            <w:shd w:fill="1F3864" w:val="clear"/>
            <w:tcMar>
              <w:top w:type="dxa" w:w="70"/>
              <w:left w:type="dxa" w:w="90"/>
              <w:bottom w:type="dxa" w:w="70"/>
              <w:right w:type="dxa" w:w="90"/>
            </w:tcMar>
            <w:vAlign w:val="top"/>
          </w:tcPr>
          <w:p>
            <w:r>
              <w:rPr>
                <w:b/>
                <w:bCs/>
                <w:color w:val="FFFFFF"/>
                <w:sz w:val="17"/>
                <w:szCs w:val="17"/>
              </w:rPr>
              <w:t xml:space="preserve">Recommendation</w:t>
            </w:r>
          </w:p>
        </w:tc>
      </w:tr>
      <w:tr>
        <w:tc>
          <w:tcPr>
            <w:tcW w:type="dxa" w:w="1638"/>
            <w:tcMar>
              <w:top w:type="dxa" w:w="70"/>
              <w:left w:type="dxa" w:w="90"/>
              <w:bottom w:type="dxa" w:w="70"/>
              <w:right w:type="dxa" w:w="90"/>
            </w:tcMar>
            <w:vAlign w:val="top"/>
          </w:tcPr>
          <w:p>
            <w:r>
              <w:rPr>
                <w:b/>
                <w:bCs/>
                <w:color w:val="000000"/>
                <w:sz w:val="17"/>
                <w:szCs w:val="17"/>
              </w:rPr>
              <w:t xml:space="preserve">Power BI</w:t>
            </w:r>
          </w:p>
        </w:tc>
        <w:tc>
          <w:tcPr>
            <w:tcW w:type="dxa" w:w="3891"/>
            <w:tcMar>
              <w:top w:type="dxa" w:w="70"/>
              <w:left w:type="dxa" w:w="90"/>
              <w:bottom w:type="dxa" w:w="70"/>
              <w:right w:type="dxa" w:w="90"/>
            </w:tcMar>
            <w:vAlign w:val="top"/>
          </w:tcPr>
          <w:p>
            <w:r>
              <w:rPr>
                <w:b w:val="false"/>
                <w:bCs w:val="false"/>
                <w:color w:val="000000"/>
                <w:sz w:val="17"/>
                <w:szCs w:val="17"/>
              </w:rPr>
              <w:t xml:space="preserve">Donor- and executive-facing reporting and dashboards (Section 4.4 Reports, Analytics, Business Intelligence modules).</w:t>
            </w:r>
          </w:p>
        </w:tc>
        <w:tc>
          <w:tcPr>
            <w:tcW w:type="dxa" w:w="4710"/>
            <w:tcMar>
              <w:top w:type="dxa" w:w="70"/>
              <w:left w:type="dxa" w:w="90"/>
              <w:bottom w:type="dxa" w:w="70"/>
              <w:right w:type="dxa" w:w="90"/>
            </w:tcMar>
            <w:vAlign w:val="top"/>
          </w:tcPr>
          <w:p>
            <w:r>
              <w:rPr>
                <w:b w:val="false"/>
                <w:bCs w:val="false"/>
                <w:color w:val="000000"/>
                <w:sz w:val="17"/>
                <w:szCs w:val="17"/>
              </w:rPr>
              <w:t xml:space="preserve">Recommended for the Reporting &amp; Business Intelligence Application (Section 3.3, application #5), consistent with the donor-format export integration already profiled in Section 7.4 and its native fit with the Azure/Microsoft 365 ecosystem recommended in Section 10.7.</w:t>
            </w:r>
          </w:p>
        </w:tc>
      </w:tr>
      <w:tr>
        <w:tc>
          <w:tcPr>
            <w:tcW w:type="dxa" w:w="1638"/>
            <w:tcMar>
              <w:top w:type="dxa" w:w="70"/>
              <w:left w:type="dxa" w:w="90"/>
              <w:bottom w:type="dxa" w:w="70"/>
              <w:right w:type="dxa" w:w="90"/>
            </w:tcMar>
            <w:vAlign w:val="top"/>
          </w:tcPr>
          <w:p>
            <w:r>
              <w:rPr>
                <w:b/>
                <w:bCs/>
                <w:color w:val="000000"/>
                <w:sz w:val="17"/>
                <w:szCs w:val="17"/>
              </w:rPr>
              <w:t xml:space="preserve">Grafana</w:t>
            </w:r>
          </w:p>
        </w:tc>
        <w:tc>
          <w:tcPr>
            <w:tcW w:type="dxa" w:w="3891"/>
            <w:tcMar>
              <w:top w:type="dxa" w:w="70"/>
              <w:left w:type="dxa" w:w="90"/>
              <w:bottom w:type="dxa" w:w="70"/>
              <w:right w:type="dxa" w:w="90"/>
            </w:tcMar>
            <w:vAlign w:val="top"/>
          </w:tcPr>
          <w:p>
            <w:r>
              <w:rPr>
                <w:b w:val="false"/>
                <w:bCs w:val="false"/>
                <w:color w:val="000000"/>
                <w:sz w:val="17"/>
                <w:szCs w:val="17"/>
              </w:rPr>
              <w:t xml:space="preserve">Operational and infrastructure monitoring — system health, uptime, and the security-operations monitoring named in Section 8.7.</w:t>
            </w:r>
          </w:p>
        </w:tc>
        <w:tc>
          <w:tcPr>
            <w:tcW w:type="dxa" w:w="4710"/>
            <w:tcMar>
              <w:top w:type="dxa" w:w="70"/>
              <w:left w:type="dxa" w:w="90"/>
              <w:bottom w:type="dxa" w:w="70"/>
              <w:right w:type="dxa" w:w="90"/>
            </w:tcMar>
            <w:vAlign w:val="top"/>
          </w:tcPr>
          <w:p>
            <w:r>
              <w:rPr>
                <w:b w:val="false"/>
                <w:bCs w:val="false"/>
                <w:color w:val="000000"/>
                <w:sz w:val="17"/>
                <w:szCs w:val="17"/>
              </w:rPr>
              <w:t xml:space="preserve">Recommended specifically for the KM and ICT Units' internal Support and Security Operations function (Sections 4.6, 8.13), not for donor-facing reporting, where its open-source, infrastructure-centric strength is better matched than Power BI's business-reporting orientation.</w:t>
            </w:r>
          </w:p>
        </w:tc>
      </w:tr>
    </w:tbl>
    <w:p>
      <w:pPr>
        <w:spacing w:after="100"/>
      </w:pPr>
    </w:p>
    <w:p>
      <w:pPr>
        <w:spacing w:after="160" w:line="264"/>
      </w:pPr>
      <w:r>
        <w:rPr>
          <w:i/>
          <w:iCs/>
          <w:color w:val="555555"/>
          <w:sz w:val="18"/>
          <w:szCs w:val="18"/>
        </w:rPr>
        <w:t xml:space="preserve">This is a deliberate split-use recommendation rather than a single winner: Power BI serves the audience Section 2.11's Stakeholder Model identifies as high-power (donors, National Programme Coordinator), while Grafana serves the KM and ICT Units' own operational needs at no incremental licensing cost — avoiding the alternative of paying for Power BI capacity to monitor infrastructure health, a use case it is not optimized for.</w:t>
      </w:r>
    </w:p>
    <w:p>
      <w:pPr>
        <w:spacing w:after="160"/>
      </w:pPr>
    </w:p>
    <w:p>
      <w:pPr>
        <w:pStyle w:val="Heading1"/>
        <w:pBdr>
          <w:bottom w:val="single" w:color="1F3864" w:sz="6" w:space="4"/>
        </w:pBdr>
        <w:spacing w:after="130" w:before="320"/>
      </w:pPr>
      <w:r>
        <w:t xml:space="preserve">10.11 Messaging and Event Streaming</w:t>
      </w:r>
    </w:p>
    <w:p>
      <w:pPr>
        <w:spacing w:after="150" w:line="276"/>
        <w:jc w:val="both"/>
      </w:pPr>
      <w:r>
        <w:t xml:space="preserve">RabbitMQ and Kafka are compared as the technology underlying the event-driven pipelines fixed in Section 6.5 and the Notification &amp; Messaging Service (Section 3.3, application #6).</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4096"/>
        <w:gridCol w:w="4096"/>
      </w:tblGrid>
      <w:tr>
        <w:trPr>
          <w:tblHeader/>
        </w:trPr>
        <w:tc>
          <w:tcPr>
            <w:tcW w:type="dxa" w:w="2048"/>
            <w:shd w:fill="1F3864" w:val="clear"/>
            <w:tcMar>
              <w:top w:type="dxa" w:w="70"/>
              <w:left w:type="dxa" w:w="90"/>
              <w:bottom w:type="dxa" w:w="70"/>
              <w:right w:type="dxa" w:w="90"/>
            </w:tcMar>
            <w:vAlign w:val="top"/>
          </w:tcPr>
          <w:p>
            <w:r>
              <w:rPr>
                <w:b/>
                <w:bCs/>
                <w:color w:val="FFFFFF"/>
                <w:sz w:val="17"/>
                <w:szCs w:val="17"/>
              </w:rPr>
              <w:t xml:space="preserve">Criterion</w:t>
            </w:r>
          </w:p>
        </w:tc>
        <w:tc>
          <w:tcPr>
            <w:tcW w:type="dxa" w:w="4096"/>
            <w:shd w:fill="1F3864" w:val="clear"/>
            <w:tcMar>
              <w:top w:type="dxa" w:w="70"/>
              <w:left w:type="dxa" w:w="90"/>
              <w:bottom w:type="dxa" w:w="70"/>
              <w:right w:type="dxa" w:w="90"/>
            </w:tcMar>
            <w:vAlign w:val="top"/>
          </w:tcPr>
          <w:p>
            <w:r>
              <w:rPr>
                <w:b/>
                <w:bCs/>
                <w:color w:val="FFFFFF"/>
                <w:sz w:val="17"/>
                <w:szCs w:val="17"/>
              </w:rPr>
              <w:t xml:space="preserve">RabbitMQ</w:t>
            </w:r>
          </w:p>
        </w:tc>
        <w:tc>
          <w:tcPr>
            <w:tcW w:type="dxa" w:w="4096"/>
            <w:shd w:fill="1F3864" w:val="clear"/>
            <w:tcMar>
              <w:top w:type="dxa" w:w="70"/>
              <w:left w:type="dxa" w:w="90"/>
              <w:bottom w:type="dxa" w:w="70"/>
              <w:right w:type="dxa" w:w="90"/>
            </w:tcMar>
            <w:vAlign w:val="top"/>
          </w:tcPr>
          <w:p>
            <w:r>
              <w:rPr>
                <w:b/>
                <w:bCs/>
                <w:color w:val="FFFFFF"/>
                <w:sz w:val="17"/>
                <w:szCs w:val="17"/>
              </w:rPr>
              <w:t xml:space="preserve">Kafka</w:t>
            </w:r>
          </w:p>
        </w:tc>
      </w:tr>
      <w:tr>
        <w:tc>
          <w:tcPr>
            <w:tcW w:type="dxa" w:w="2048"/>
            <w:tcMar>
              <w:top w:type="dxa" w:w="70"/>
              <w:left w:type="dxa" w:w="90"/>
              <w:bottom w:type="dxa" w:w="70"/>
              <w:right w:type="dxa" w:w="90"/>
            </w:tcMar>
            <w:vAlign w:val="top"/>
          </w:tcPr>
          <w:p>
            <w:r>
              <w:rPr>
                <w:b/>
                <w:bCs/>
                <w:color w:val="000000"/>
                <w:sz w:val="17"/>
                <w:szCs w:val="17"/>
              </w:rPr>
              <w:t xml:space="preserve">Fit to this programme's scale</w:t>
            </w:r>
          </w:p>
        </w:tc>
        <w:tc>
          <w:tcPr>
            <w:tcW w:type="dxa" w:w="4096"/>
            <w:tcMar>
              <w:top w:type="dxa" w:w="70"/>
              <w:left w:type="dxa" w:w="90"/>
              <w:bottom w:type="dxa" w:w="70"/>
              <w:right w:type="dxa" w:w="90"/>
            </w:tcMar>
            <w:vAlign w:val="top"/>
          </w:tcPr>
          <w:p>
            <w:r>
              <w:rPr>
                <w:b w:val="false"/>
                <w:bCs w:val="false"/>
                <w:color w:val="000000"/>
                <w:sz w:val="17"/>
                <w:szCs w:val="17"/>
              </w:rPr>
              <w:t xml:space="preserve">Well-suited to moderate-volume, transactional messaging — exactly the workflow-notification and content-indexing event volume this programme generates across seven states and the FCT.</w:t>
            </w:r>
          </w:p>
        </w:tc>
        <w:tc>
          <w:tcPr>
            <w:tcW w:type="dxa" w:w="4096"/>
            <w:tcMar>
              <w:top w:type="dxa" w:w="70"/>
              <w:left w:type="dxa" w:w="90"/>
              <w:bottom w:type="dxa" w:w="70"/>
              <w:right w:type="dxa" w:w="90"/>
            </w:tcMar>
            <w:vAlign w:val="top"/>
          </w:tcPr>
          <w:p>
            <w:r>
              <w:rPr>
                <w:b w:val="false"/>
                <w:bCs w:val="false"/>
                <w:color w:val="000000"/>
                <w:sz w:val="17"/>
                <w:szCs w:val="17"/>
              </w:rPr>
              <w:t xml:space="preserve">Designed for high-throughput event streaming at a scale (millions of events, long-term event replay) this programme does not currently generate and is not projected to reach within the Section 11 roadmap horizon.</w:t>
            </w:r>
          </w:p>
        </w:tc>
      </w:tr>
      <w:tr>
        <w:tc>
          <w:tcPr>
            <w:tcW w:type="dxa" w:w="2048"/>
            <w:tcMar>
              <w:top w:type="dxa" w:w="70"/>
              <w:left w:type="dxa" w:w="90"/>
              <w:bottom w:type="dxa" w:w="70"/>
              <w:right w:type="dxa" w:w="90"/>
            </w:tcMar>
            <w:vAlign w:val="top"/>
          </w:tcPr>
          <w:p>
            <w:r>
              <w:rPr>
                <w:b/>
                <w:bCs/>
                <w:color w:val="000000"/>
                <w:sz w:val="17"/>
                <w:szCs w:val="17"/>
              </w:rPr>
              <w:t xml:space="preserve">Operational complexity</w:t>
            </w:r>
          </w:p>
        </w:tc>
        <w:tc>
          <w:tcPr>
            <w:tcW w:type="dxa" w:w="4096"/>
            <w:tcMar>
              <w:top w:type="dxa" w:w="70"/>
              <w:left w:type="dxa" w:w="90"/>
              <w:bottom w:type="dxa" w:w="70"/>
              <w:right w:type="dxa" w:w="90"/>
            </w:tcMar>
            <w:vAlign w:val="top"/>
          </w:tcPr>
          <w:p>
            <w:r>
              <w:rPr>
                <w:b w:val="false"/>
                <w:bCs w:val="false"/>
                <w:color w:val="000000"/>
                <w:sz w:val="17"/>
                <w:szCs w:val="17"/>
              </w:rPr>
              <w:t xml:space="preserve">Simpler to deploy, configure, and administer, matching the sustainability decision variable directly.</w:t>
            </w:r>
          </w:p>
        </w:tc>
        <w:tc>
          <w:tcPr>
            <w:tcW w:type="dxa" w:w="4096"/>
            <w:tcMar>
              <w:top w:type="dxa" w:w="70"/>
              <w:left w:type="dxa" w:w="90"/>
              <w:bottom w:type="dxa" w:w="70"/>
              <w:right w:type="dxa" w:w="90"/>
            </w:tcMar>
            <w:vAlign w:val="top"/>
          </w:tcPr>
          <w:p>
            <w:r>
              <w:rPr>
                <w:b w:val="false"/>
                <w:bCs w:val="false"/>
                <w:color w:val="000000"/>
                <w:sz w:val="17"/>
                <w:szCs w:val="17"/>
              </w:rPr>
              <w:t xml:space="preserve">Materially higher operational complexity — cluster management, partition strategy — that would be difficult for KM and ICT Units to sustain without ongoing specialist support.</w:t>
            </w:r>
          </w:p>
        </w:tc>
      </w:tr>
      <w:tr>
        <w:tc>
          <w:tcPr>
            <w:tcW w:type="dxa" w:w="2048"/>
            <w:tcMar>
              <w:top w:type="dxa" w:w="70"/>
              <w:left w:type="dxa" w:w="90"/>
              <w:bottom w:type="dxa" w:w="70"/>
              <w:right w:type="dxa" w:w="90"/>
            </w:tcMar>
            <w:vAlign w:val="top"/>
          </w:tcPr>
          <w:p>
            <w:r>
              <w:rPr>
                <w:b/>
                <w:bCs/>
                <w:color w:val="000000"/>
                <w:sz w:val="17"/>
                <w:szCs w:val="17"/>
              </w:rPr>
              <w:t xml:space="preserve">Future scalability</w:t>
            </w:r>
          </w:p>
        </w:tc>
        <w:tc>
          <w:tcPr>
            <w:tcW w:type="dxa" w:w="4096"/>
            <w:tcMar>
              <w:top w:type="dxa" w:w="70"/>
              <w:left w:type="dxa" w:w="90"/>
              <w:bottom w:type="dxa" w:w="70"/>
              <w:right w:type="dxa" w:w="90"/>
            </w:tcMar>
            <w:vAlign w:val="top"/>
          </w:tcPr>
          <w:p>
            <w:r>
              <w:rPr>
                <w:b w:val="false"/>
                <w:bCs w:val="false"/>
                <w:color w:val="000000"/>
                <w:sz w:val="17"/>
                <w:szCs w:val="17"/>
              </w:rPr>
              <w:t xml:space="preserve">Sufficient headroom for the Digital Transformation Roadmap's own growth projections (Section 11).</w:t>
            </w:r>
          </w:p>
        </w:tc>
        <w:tc>
          <w:tcPr>
            <w:tcW w:type="dxa" w:w="4096"/>
            <w:tcMar>
              <w:top w:type="dxa" w:w="70"/>
              <w:left w:type="dxa" w:w="90"/>
              <w:bottom w:type="dxa" w:w="70"/>
              <w:right w:type="dxa" w:w="90"/>
            </w:tcMar>
            <w:vAlign w:val="top"/>
          </w:tcPr>
          <w:p>
            <w:r>
              <w:rPr>
                <w:b w:val="false"/>
                <w:bCs w:val="false"/>
                <w:color w:val="000000"/>
                <w:sz w:val="17"/>
                <w:szCs w:val="17"/>
              </w:rPr>
              <w:t xml:space="preserve">Would only become justified if a future integration (for example, a high-volume Future ERP or MIS system, Section 7.4 profile #11) introduced event volume at genuinely different order of magnitude.</w:t>
            </w:r>
          </w:p>
        </w:tc>
      </w:tr>
    </w:tbl>
    <w:p>
      <w:pPr>
        <w:spacing w:after="100"/>
      </w:pPr>
    </w:p>
    <w:p>
      <w:pPr>
        <w:spacing w:after="160" w:line="264"/>
      </w:pPr>
      <w:r>
        <w:rPr>
          <w:i/>
          <w:iCs/>
          <w:color w:val="555555"/>
          <w:sz w:val="18"/>
          <w:szCs w:val="18"/>
        </w:rPr>
        <w:t xml:space="preserve">Recommendation: RabbitMQ for the Phase 1 baseline and the foreseeable Phase 2 roadmap. Kafka is explicitly not recommended at this time — adopting it now would be over-engineering relative to this programme's actual message volume, violating the same 'right-sized choice' discipline already applied to the orchestration decision in Section 10.6. If a future Section 11 roadmap milestone introduces genuinely high-volume event streaming, Kafka should be revisited then, against the evidence of actual load at that time, not adopted speculatively now.</w:t>
      </w:r>
    </w:p>
    <w:p>
      <w:pPr>
        <w:spacing w:after="160"/>
      </w:pPr>
    </w:p>
    <w:p>
      <w:pPr>
        <w:pStyle w:val="Heading1"/>
        <w:pBdr>
          <w:bottom w:val="single" w:color="1F3864" w:sz="6" w:space="4"/>
        </w:pBdr>
        <w:spacing w:after="130" w:before="320"/>
      </w:pPr>
      <w:r>
        <w:t xml:space="preserve">10.12 Operating System</w:t>
      </w:r>
    </w:p>
    <w:p>
      <w:pPr>
        <w:spacing w:after="150" w:line="276"/>
        <w:jc w:val="both"/>
      </w:pPr>
      <w:r>
        <w:t xml:space="preserve">Linux is recommended as the operating system across every server-side component in this stack — application servers, database, search, and cache — evaluated against the implicit alternative of Windows Server. Linux carries no per-instance licensing cost, is the native and best-supported operating environment for every other technology recommended in this section (PostgreSQL, OpenSearch, Redis, Docker, NGINX, Keycloak, RabbitMQ), and benefits from the largest available pool of cloud-native operational documentation. Windows Server would only be a defensible alternative if .NET had been selected as the backend framework in Section 10.2, which it was not, removing the one factor that would have favoured it.</w:t>
      </w:r>
    </w:p>
    <w:p>
      <w:pPr>
        <w:pStyle w:val="Heading1"/>
        <w:pBdr>
          <w:bottom w:val="single" w:color="1F3864" w:sz="6" w:space="4"/>
        </w:pBdr>
        <w:spacing w:after="130" w:before="320"/>
      </w:pPr>
      <w:r>
        <w:t xml:space="preserve">10.13 Recommended Technology Stack Summary</w:t>
      </w:r>
    </w:p>
    <w:p>
      <w:pPr>
        <w:spacing w:after="150" w:line="276"/>
        <w:jc w:val="both"/>
      </w:pPr>
      <w:r>
        <w:t xml:space="preserve">Every recommendation made in Sections 10.2 through 10.12 is consolidated here into a single reference table.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53"/>
        <w:gridCol w:w="2458"/>
        <w:gridCol w:w="2253"/>
        <w:gridCol w:w="3277"/>
      </w:tblGrid>
      <w:tr>
        <w:trPr>
          <w:tblHeader/>
        </w:trPr>
        <w:tc>
          <w:tcPr>
            <w:tcW w:type="dxa" w:w="2253"/>
            <w:shd w:fill="1F3864" w:val="clear"/>
            <w:tcMar>
              <w:top w:type="dxa" w:w="70"/>
              <w:left w:type="dxa" w:w="90"/>
              <w:bottom w:type="dxa" w:w="70"/>
              <w:right w:type="dxa" w:w="90"/>
            </w:tcMar>
            <w:vAlign w:val="top"/>
          </w:tcPr>
          <w:p>
            <w:r>
              <w:rPr>
                <w:b/>
                <w:bCs/>
                <w:color w:val="FFFFFF"/>
                <w:sz w:val="17"/>
                <w:szCs w:val="17"/>
              </w:rPr>
              <w:t xml:space="preserve">Layer</w:t>
            </w:r>
          </w:p>
        </w:tc>
        <w:tc>
          <w:tcPr>
            <w:tcW w:type="dxa" w:w="2458"/>
            <w:shd w:fill="1F3864" w:val="clear"/>
            <w:tcMar>
              <w:top w:type="dxa" w:w="70"/>
              <w:left w:type="dxa" w:w="90"/>
              <w:bottom w:type="dxa" w:w="70"/>
              <w:right w:type="dxa" w:w="90"/>
            </w:tcMar>
            <w:vAlign w:val="top"/>
          </w:tcPr>
          <w:p>
            <w:r>
              <w:rPr>
                <w:b/>
                <w:bCs/>
                <w:color w:val="FFFFFF"/>
                <w:sz w:val="17"/>
                <w:szCs w:val="17"/>
              </w:rPr>
              <w:t xml:space="preserve">Recommended Technology</w:t>
            </w:r>
          </w:p>
        </w:tc>
        <w:tc>
          <w:tcPr>
            <w:tcW w:type="dxa" w:w="2253"/>
            <w:shd w:fill="1F3864" w:val="clear"/>
            <w:tcMar>
              <w:top w:type="dxa" w:w="70"/>
              <w:left w:type="dxa" w:w="90"/>
              <w:bottom w:type="dxa" w:w="70"/>
              <w:right w:type="dxa" w:w="90"/>
            </w:tcMar>
            <w:vAlign w:val="top"/>
          </w:tcPr>
          <w:p>
            <w:r>
              <w:rPr>
                <w:b/>
                <w:bCs/>
                <w:color w:val="FFFFFF"/>
                <w:sz w:val="17"/>
                <w:szCs w:val="17"/>
              </w:rPr>
              <w:t xml:space="preserve">Alternative Considered</w:t>
            </w:r>
          </w:p>
        </w:tc>
        <w:tc>
          <w:tcPr>
            <w:tcW w:type="dxa" w:w="3277"/>
            <w:shd w:fill="1F3864" w:val="clear"/>
            <w:tcMar>
              <w:top w:type="dxa" w:w="70"/>
              <w:left w:type="dxa" w:w="90"/>
              <w:bottom w:type="dxa" w:w="70"/>
              <w:right w:type="dxa" w:w="90"/>
            </w:tcMar>
            <w:vAlign w:val="top"/>
          </w:tcPr>
          <w:p>
            <w:r>
              <w:rPr>
                <w:b/>
                <w:bCs/>
                <w:color w:val="FFFFFF"/>
                <w:sz w:val="17"/>
                <w:szCs w:val="17"/>
              </w:rPr>
              <w:t xml:space="preserve">Key Reason</w:t>
            </w:r>
          </w:p>
        </w:tc>
      </w:tr>
      <w:tr>
        <w:tc>
          <w:tcPr>
            <w:tcW w:type="dxa" w:w="2253"/>
            <w:tcMar>
              <w:top w:type="dxa" w:w="70"/>
              <w:left w:type="dxa" w:w="90"/>
              <w:bottom w:type="dxa" w:w="70"/>
              <w:right w:type="dxa" w:w="90"/>
            </w:tcMar>
            <w:vAlign w:val="top"/>
          </w:tcPr>
          <w:p>
            <w:r>
              <w:rPr>
                <w:b/>
                <w:bCs/>
                <w:color w:val="000000"/>
                <w:sz w:val="16"/>
                <w:szCs w:val="16"/>
              </w:rPr>
              <w:t xml:space="preserve">Backend framework (CKR)</w:t>
            </w:r>
          </w:p>
        </w:tc>
        <w:tc>
          <w:tcPr>
            <w:tcW w:type="dxa" w:w="2458"/>
            <w:tcMar>
              <w:top w:type="dxa" w:w="70"/>
              <w:left w:type="dxa" w:w="90"/>
              <w:bottom w:type="dxa" w:w="70"/>
              <w:right w:type="dxa" w:w="90"/>
            </w:tcMar>
            <w:vAlign w:val="top"/>
          </w:tcPr>
          <w:p>
            <w:r>
              <w:rPr>
                <w:b w:val="false"/>
                <w:bCs w:val="false"/>
                <w:color w:val="000000"/>
                <w:sz w:val="16"/>
                <w:szCs w:val="16"/>
              </w:rPr>
              <w:t xml:space="preserve">Laravel (PHP)</w:t>
            </w:r>
          </w:p>
        </w:tc>
        <w:tc>
          <w:tcPr>
            <w:tcW w:type="dxa" w:w="2253"/>
            <w:tcMar>
              <w:top w:type="dxa" w:w="70"/>
              <w:left w:type="dxa" w:w="90"/>
              <w:bottom w:type="dxa" w:w="70"/>
              <w:right w:type="dxa" w:w="90"/>
            </w:tcMar>
            <w:vAlign w:val="top"/>
          </w:tcPr>
          <w:p>
            <w:r>
              <w:rPr>
                <w:b w:val="false"/>
                <w:bCs w:val="false"/>
                <w:color w:val="000000"/>
                <w:sz w:val="16"/>
                <w:szCs w:val="16"/>
              </w:rPr>
              <w:t xml:space="preserve">Django, .NET</w:t>
            </w:r>
          </w:p>
        </w:tc>
        <w:tc>
          <w:tcPr>
            <w:tcW w:type="dxa" w:w="3277"/>
            <w:tcMar>
              <w:top w:type="dxa" w:w="70"/>
              <w:left w:type="dxa" w:w="90"/>
              <w:bottom w:type="dxa" w:w="70"/>
              <w:right w:type="dxa" w:w="90"/>
            </w:tcMar>
            <w:vAlign w:val="top"/>
          </w:tcPr>
          <w:p>
            <w:r>
              <w:rPr>
                <w:b w:val="false"/>
                <w:bCs w:val="false"/>
                <w:color w:val="000000"/>
                <w:sz w:val="16"/>
                <w:szCs w:val="16"/>
              </w:rPr>
              <w:t xml:space="preserve">TOR's own 'WordPress or equivalent' naming; largest local talent pool</w:t>
            </w:r>
          </w:p>
        </w:tc>
      </w:tr>
      <w:tr>
        <w:tc>
          <w:tcPr>
            <w:tcW w:type="dxa" w:w="2253"/>
            <w:tcMar>
              <w:top w:type="dxa" w:w="70"/>
              <w:left w:type="dxa" w:w="90"/>
              <w:bottom w:type="dxa" w:w="70"/>
              <w:right w:type="dxa" w:w="90"/>
            </w:tcMar>
            <w:vAlign w:val="top"/>
          </w:tcPr>
          <w:p>
            <w:r>
              <w:rPr>
                <w:b/>
                <w:bCs/>
                <w:color w:val="000000"/>
                <w:sz w:val="16"/>
                <w:szCs w:val="16"/>
              </w:rPr>
              <w:t xml:space="preserve">Backend framework (ESM)</w:t>
            </w:r>
          </w:p>
        </w:tc>
        <w:tc>
          <w:tcPr>
            <w:tcW w:type="dxa" w:w="2458"/>
            <w:tcMar>
              <w:top w:type="dxa" w:w="70"/>
              <w:left w:type="dxa" w:w="90"/>
              <w:bottom w:type="dxa" w:w="70"/>
              <w:right w:type="dxa" w:w="90"/>
            </w:tcMar>
            <w:vAlign w:val="top"/>
          </w:tcPr>
          <w:p>
            <w:r>
              <w:rPr>
                <w:b w:val="false"/>
                <w:bCs w:val="false"/>
                <w:color w:val="000000"/>
                <w:sz w:val="16"/>
                <w:szCs w:val="16"/>
              </w:rPr>
              <w:t xml:space="preserve">Node.js</w:t>
            </w:r>
          </w:p>
        </w:tc>
        <w:tc>
          <w:tcPr>
            <w:tcW w:type="dxa" w:w="2253"/>
            <w:tcMar>
              <w:top w:type="dxa" w:w="70"/>
              <w:left w:type="dxa" w:w="90"/>
              <w:bottom w:type="dxa" w:w="70"/>
              <w:right w:type="dxa" w:w="90"/>
            </w:tcMar>
            <w:vAlign w:val="top"/>
          </w:tcPr>
          <w:p>
            <w:r>
              <w:rPr>
                <w:b w:val="false"/>
                <w:bCs w:val="false"/>
                <w:color w:val="000000"/>
                <w:sz w:val="16"/>
                <w:szCs w:val="16"/>
              </w:rPr>
              <w:t xml:space="preserve">Spring Boot, .NET</w:t>
            </w:r>
          </w:p>
        </w:tc>
        <w:tc>
          <w:tcPr>
            <w:tcW w:type="dxa" w:w="3277"/>
            <w:tcMar>
              <w:top w:type="dxa" w:w="70"/>
              <w:left w:type="dxa" w:w="90"/>
              <w:bottom w:type="dxa" w:w="70"/>
              <w:right w:type="dxa" w:w="90"/>
            </w:tcMar>
            <w:vAlign w:val="top"/>
          </w:tcPr>
          <w:p>
            <w:r>
              <w:rPr>
                <w:b w:val="false"/>
                <w:bCs w:val="false"/>
                <w:color w:val="000000"/>
                <w:sz w:val="16"/>
                <w:szCs w:val="16"/>
              </w:rPr>
              <w:t xml:space="preserve">Event-driven fit for Workflow and Notifications; single-language stack</w:t>
            </w:r>
          </w:p>
        </w:tc>
      </w:tr>
      <w:tr>
        <w:tc>
          <w:tcPr>
            <w:tcW w:type="dxa" w:w="2253"/>
            <w:tcMar>
              <w:top w:type="dxa" w:w="70"/>
              <w:left w:type="dxa" w:w="90"/>
              <w:bottom w:type="dxa" w:w="70"/>
              <w:right w:type="dxa" w:w="90"/>
            </w:tcMar>
            <w:vAlign w:val="top"/>
          </w:tcPr>
          <w:p>
            <w:r>
              <w:rPr>
                <w:b/>
                <w:bCs/>
                <w:color w:val="000000"/>
                <w:sz w:val="16"/>
                <w:szCs w:val="16"/>
              </w:rPr>
              <w:t xml:space="preserve">Database</w:t>
            </w:r>
          </w:p>
        </w:tc>
        <w:tc>
          <w:tcPr>
            <w:tcW w:type="dxa" w:w="2458"/>
            <w:tcMar>
              <w:top w:type="dxa" w:w="70"/>
              <w:left w:type="dxa" w:w="90"/>
              <w:bottom w:type="dxa" w:w="70"/>
              <w:right w:type="dxa" w:w="90"/>
            </w:tcMar>
            <w:vAlign w:val="top"/>
          </w:tcPr>
          <w:p>
            <w:r>
              <w:rPr>
                <w:b w:val="false"/>
                <w:bCs w:val="false"/>
                <w:color w:val="000000"/>
                <w:sz w:val="16"/>
                <w:szCs w:val="16"/>
              </w:rPr>
              <w:t xml:space="preserve">PostgreSQL</w:t>
            </w:r>
          </w:p>
        </w:tc>
        <w:tc>
          <w:tcPr>
            <w:tcW w:type="dxa" w:w="2253"/>
            <w:tcMar>
              <w:top w:type="dxa" w:w="70"/>
              <w:left w:type="dxa" w:w="90"/>
              <w:bottom w:type="dxa" w:w="70"/>
              <w:right w:type="dxa" w:w="90"/>
            </w:tcMar>
            <w:vAlign w:val="top"/>
          </w:tcPr>
          <w:p>
            <w:r>
              <w:rPr>
                <w:b w:val="false"/>
                <w:bCs w:val="false"/>
                <w:color w:val="000000"/>
                <w:sz w:val="16"/>
                <w:szCs w:val="16"/>
              </w:rPr>
              <w:t xml:space="preserve">SQL Server</w:t>
            </w:r>
          </w:p>
        </w:tc>
        <w:tc>
          <w:tcPr>
            <w:tcW w:type="dxa" w:w="3277"/>
            <w:tcMar>
              <w:top w:type="dxa" w:w="70"/>
              <w:left w:type="dxa" w:w="90"/>
              <w:bottom w:type="dxa" w:w="70"/>
              <w:right w:type="dxa" w:w="90"/>
            </w:tcMar>
            <w:vAlign w:val="top"/>
          </w:tcPr>
          <w:p>
            <w:r>
              <w:rPr>
                <w:b w:val="false"/>
                <w:bCs w:val="false"/>
                <w:color w:val="000000"/>
                <w:sz w:val="16"/>
                <w:szCs w:val="16"/>
              </w:rPr>
              <w:t xml:space="preserve">No licensing cost; strong open-standard compliance</w:t>
            </w:r>
          </w:p>
        </w:tc>
      </w:tr>
      <w:tr>
        <w:tc>
          <w:tcPr>
            <w:tcW w:type="dxa" w:w="2253"/>
            <w:tcMar>
              <w:top w:type="dxa" w:w="70"/>
              <w:left w:type="dxa" w:w="90"/>
              <w:bottom w:type="dxa" w:w="70"/>
              <w:right w:type="dxa" w:w="90"/>
            </w:tcMar>
            <w:vAlign w:val="top"/>
          </w:tcPr>
          <w:p>
            <w:r>
              <w:rPr>
                <w:b/>
                <w:bCs/>
                <w:color w:val="000000"/>
                <w:sz w:val="16"/>
                <w:szCs w:val="16"/>
              </w:rPr>
              <w:t xml:space="preserve">Search</w:t>
            </w:r>
          </w:p>
        </w:tc>
        <w:tc>
          <w:tcPr>
            <w:tcW w:type="dxa" w:w="2458"/>
            <w:tcMar>
              <w:top w:type="dxa" w:w="70"/>
              <w:left w:type="dxa" w:w="90"/>
              <w:bottom w:type="dxa" w:w="70"/>
              <w:right w:type="dxa" w:w="90"/>
            </w:tcMar>
            <w:vAlign w:val="top"/>
          </w:tcPr>
          <w:p>
            <w:r>
              <w:rPr>
                <w:b w:val="false"/>
                <w:bCs w:val="false"/>
                <w:color w:val="000000"/>
                <w:sz w:val="16"/>
                <w:szCs w:val="16"/>
              </w:rPr>
              <w:t xml:space="preserve">OpenSearch</w:t>
            </w:r>
          </w:p>
        </w:tc>
        <w:tc>
          <w:tcPr>
            <w:tcW w:type="dxa" w:w="2253"/>
            <w:tcMar>
              <w:top w:type="dxa" w:w="70"/>
              <w:left w:type="dxa" w:w="90"/>
              <w:bottom w:type="dxa" w:w="70"/>
              <w:right w:type="dxa" w:w="90"/>
            </w:tcMar>
            <w:vAlign w:val="top"/>
          </w:tcPr>
          <w:p>
            <w:r>
              <w:rPr>
                <w:b w:val="false"/>
                <w:bCs w:val="false"/>
                <w:color w:val="000000"/>
                <w:sz w:val="16"/>
                <w:szCs w:val="16"/>
              </w:rPr>
              <w:t xml:space="preserve">ElasticSearch</w:t>
            </w:r>
          </w:p>
        </w:tc>
        <w:tc>
          <w:tcPr>
            <w:tcW w:type="dxa" w:w="3277"/>
            <w:tcMar>
              <w:top w:type="dxa" w:w="70"/>
              <w:left w:type="dxa" w:w="90"/>
              <w:bottom w:type="dxa" w:w="70"/>
              <w:right w:type="dxa" w:w="90"/>
            </w:tcMar>
            <w:vAlign w:val="top"/>
          </w:tcPr>
          <w:p>
            <w:r>
              <w:rPr>
                <w:b w:val="false"/>
                <w:bCs w:val="false"/>
                <w:color w:val="000000"/>
                <w:sz w:val="16"/>
                <w:szCs w:val="16"/>
              </w:rPr>
              <w:t xml:space="preserve">Fully open-source; avoids post-2021 licensing restriction</w:t>
            </w:r>
          </w:p>
        </w:tc>
      </w:tr>
      <w:tr>
        <w:tc>
          <w:tcPr>
            <w:tcW w:type="dxa" w:w="2253"/>
            <w:tcMar>
              <w:top w:type="dxa" w:w="70"/>
              <w:left w:type="dxa" w:w="90"/>
              <w:bottom w:type="dxa" w:w="70"/>
              <w:right w:type="dxa" w:w="90"/>
            </w:tcMar>
            <w:vAlign w:val="top"/>
          </w:tcPr>
          <w:p>
            <w:r>
              <w:rPr>
                <w:b/>
                <w:bCs/>
                <w:color w:val="000000"/>
                <w:sz w:val="16"/>
                <w:szCs w:val="16"/>
              </w:rPr>
              <w:t xml:space="preserve">Cache</w:t>
            </w:r>
          </w:p>
        </w:tc>
        <w:tc>
          <w:tcPr>
            <w:tcW w:type="dxa" w:w="2458"/>
            <w:tcMar>
              <w:top w:type="dxa" w:w="70"/>
              <w:left w:type="dxa" w:w="90"/>
              <w:bottom w:type="dxa" w:w="70"/>
              <w:right w:type="dxa" w:w="90"/>
            </w:tcMar>
            <w:vAlign w:val="top"/>
          </w:tcPr>
          <w:p>
            <w:r>
              <w:rPr>
                <w:b w:val="false"/>
                <w:bCs w:val="false"/>
                <w:color w:val="000000"/>
                <w:sz w:val="16"/>
                <w:szCs w:val="16"/>
              </w:rPr>
              <w:t xml:space="preserve">Redis</w:t>
            </w:r>
          </w:p>
        </w:tc>
        <w:tc>
          <w:tcPr>
            <w:tcW w:type="dxa" w:w="2253"/>
            <w:tcMar>
              <w:top w:type="dxa" w:w="70"/>
              <w:left w:type="dxa" w:w="90"/>
              <w:bottom w:type="dxa" w:w="70"/>
              <w:right w:type="dxa" w:w="90"/>
            </w:tcMar>
            <w:vAlign w:val="top"/>
          </w:tcPr>
          <w:p>
            <w:r>
              <w:rPr>
                <w:b w:val="false"/>
                <w:bCs w:val="false"/>
                <w:color w:val="000000"/>
                <w:sz w:val="16"/>
                <w:szCs w:val="16"/>
              </w:rPr>
              <w:t xml:space="preserve">—</w:t>
            </w:r>
          </w:p>
        </w:tc>
        <w:tc>
          <w:tcPr>
            <w:tcW w:type="dxa" w:w="3277"/>
            <w:tcMar>
              <w:top w:type="dxa" w:w="70"/>
              <w:left w:type="dxa" w:w="90"/>
              <w:bottom w:type="dxa" w:w="70"/>
              <w:right w:type="dxa" w:w="90"/>
            </w:tcMar>
            <w:vAlign w:val="top"/>
          </w:tcPr>
          <w:p>
            <w:r>
              <w:rPr>
                <w:b w:val="false"/>
                <w:bCs w:val="false"/>
                <w:color w:val="000000"/>
                <w:sz w:val="16"/>
                <w:szCs w:val="16"/>
              </w:rPr>
              <w:t xml:space="preserve">Low operational complexity; no lock-in risk</w:t>
            </w:r>
          </w:p>
        </w:tc>
      </w:tr>
      <w:tr>
        <w:tc>
          <w:tcPr>
            <w:tcW w:type="dxa" w:w="2253"/>
            <w:tcMar>
              <w:top w:type="dxa" w:w="70"/>
              <w:left w:type="dxa" w:w="90"/>
              <w:bottom w:type="dxa" w:w="70"/>
              <w:right w:type="dxa" w:w="90"/>
            </w:tcMar>
            <w:vAlign w:val="top"/>
          </w:tcPr>
          <w:p>
            <w:r>
              <w:rPr>
                <w:b/>
                <w:bCs/>
                <w:color w:val="000000"/>
                <w:sz w:val="16"/>
                <w:szCs w:val="16"/>
              </w:rPr>
              <w:t xml:space="preserve">Containerization</w:t>
            </w:r>
          </w:p>
        </w:tc>
        <w:tc>
          <w:tcPr>
            <w:tcW w:type="dxa" w:w="2458"/>
            <w:tcMar>
              <w:top w:type="dxa" w:w="70"/>
              <w:left w:type="dxa" w:w="90"/>
              <w:bottom w:type="dxa" w:w="70"/>
              <w:right w:type="dxa" w:w="90"/>
            </w:tcMar>
            <w:vAlign w:val="top"/>
          </w:tcPr>
          <w:p>
            <w:r>
              <w:rPr>
                <w:b w:val="false"/>
                <w:bCs w:val="false"/>
                <w:color w:val="000000"/>
                <w:sz w:val="16"/>
                <w:szCs w:val="16"/>
              </w:rPr>
              <w:t xml:space="preserve">Docker</w:t>
            </w:r>
          </w:p>
        </w:tc>
        <w:tc>
          <w:tcPr>
            <w:tcW w:type="dxa" w:w="2253"/>
            <w:tcMar>
              <w:top w:type="dxa" w:w="70"/>
              <w:left w:type="dxa" w:w="90"/>
              <w:bottom w:type="dxa" w:w="70"/>
              <w:right w:type="dxa" w:w="90"/>
            </w:tcMar>
            <w:vAlign w:val="top"/>
          </w:tcPr>
          <w:p>
            <w:r>
              <w:rPr>
                <w:b w:val="false"/>
                <w:bCs w:val="false"/>
                <w:color w:val="000000"/>
                <w:sz w:val="16"/>
                <w:szCs w:val="16"/>
              </w:rPr>
              <w:t xml:space="preserve">—</w:t>
            </w:r>
          </w:p>
        </w:tc>
        <w:tc>
          <w:tcPr>
            <w:tcW w:type="dxa" w:w="3277"/>
            <w:tcMar>
              <w:top w:type="dxa" w:w="70"/>
              <w:left w:type="dxa" w:w="90"/>
              <w:bottom w:type="dxa" w:w="70"/>
              <w:right w:type="dxa" w:w="90"/>
            </w:tcMar>
            <w:vAlign w:val="top"/>
          </w:tcPr>
          <w:p>
            <w:r>
              <w:rPr>
                <w:b w:val="false"/>
                <w:bCs w:val="false"/>
                <w:color w:val="000000"/>
                <w:sz w:val="16"/>
                <w:szCs w:val="16"/>
              </w:rPr>
              <w:t xml:space="preserve">Portable, consistent deployment unit</w:t>
            </w:r>
          </w:p>
        </w:tc>
      </w:tr>
      <w:tr>
        <w:tc>
          <w:tcPr>
            <w:tcW w:type="dxa" w:w="2253"/>
            <w:tcMar>
              <w:top w:type="dxa" w:w="70"/>
              <w:left w:type="dxa" w:w="90"/>
              <w:bottom w:type="dxa" w:w="70"/>
              <w:right w:type="dxa" w:w="90"/>
            </w:tcMar>
            <w:vAlign w:val="top"/>
          </w:tcPr>
          <w:p>
            <w:r>
              <w:rPr>
                <w:b/>
                <w:bCs/>
                <w:color w:val="000000"/>
                <w:sz w:val="16"/>
                <w:szCs w:val="16"/>
              </w:rPr>
              <w:t xml:space="preserve">Orchestration</w:t>
            </w:r>
          </w:p>
        </w:tc>
        <w:tc>
          <w:tcPr>
            <w:tcW w:type="dxa" w:w="2458"/>
            <w:tcMar>
              <w:top w:type="dxa" w:w="70"/>
              <w:left w:type="dxa" w:w="90"/>
              <w:bottom w:type="dxa" w:w="70"/>
              <w:right w:type="dxa" w:w="90"/>
            </w:tcMar>
            <w:vAlign w:val="top"/>
          </w:tcPr>
          <w:p>
            <w:r>
              <w:rPr>
                <w:b w:val="false"/>
                <w:bCs w:val="false"/>
                <w:color w:val="000000"/>
                <w:sz w:val="16"/>
                <w:szCs w:val="16"/>
              </w:rPr>
              <w:t xml:space="preserve">Managed container service</w:t>
            </w:r>
          </w:p>
        </w:tc>
        <w:tc>
          <w:tcPr>
            <w:tcW w:type="dxa" w:w="2253"/>
            <w:tcMar>
              <w:top w:type="dxa" w:w="70"/>
              <w:left w:type="dxa" w:w="90"/>
              <w:bottom w:type="dxa" w:w="70"/>
              <w:right w:type="dxa" w:w="90"/>
            </w:tcMar>
            <w:vAlign w:val="top"/>
          </w:tcPr>
          <w:p>
            <w:r>
              <w:rPr>
                <w:b w:val="false"/>
                <w:bCs w:val="false"/>
                <w:color w:val="000000"/>
                <w:sz w:val="16"/>
                <w:szCs w:val="16"/>
              </w:rPr>
              <w:t xml:space="preserve">Self-managed Kubernetes</w:t>
            </w:r>
          </w:p>
        </w:tc>
        <w:tc>
          <w:tcPr>
            <w:tcW w:type="dxa" w:w="3277"/>
            <w:tcMar>
              <w:top w:type="dxa" w:w="70"/>
              <w:left w:type="dxa" w:w="90"/>
              <w:bottom w:type="dxa" w:w="70"/>
              <w:right w:type="dxa" w:w="90"/>
            </w:tcMar>
            <w:vAlign w:val="top"/>
          </w:tcPr>
          <w:p>
            <w:r>
              <w:rPr>
                <w:b w:val="false"/>
                <w:bCs w:val="false"/>
                <w:color w:val="000000"/>
                <w:sz w:val="16"/>
                <w:szCs w:val="16"/>
              </w:rPr>
              <w:t xml:space="preserve">Right-sized to programme scale; sustainable for KM/ICT Units</w:t>
            </w:r>
          </w:p>
        </w:tc>
      </w:tr>
      <w:tr>
        <w:tc>
          <w:tcPr>
            <w:tcW w:type="dxa" w:w="2253"/>
            <w:tcMar>
              <w:top w:type="dxa" w:w="70"/>
              <w:left w:type="dxa" w:w="90"/>
              <w:bottom w:type="dxa" w:w="70"/>
              <w:right w:type="dxa" w:w="90"/>
            </w:tcMar>
            <w:vAlign w:val="top"/>
          </w:tcPr>
          <w:p>
            <w:r>
              <w:rPr>
                <w:b/>
                <w:bCs/>
                <w:color w:val="000000"/>
                <w:sz w:val="16"/>
                <w:szCs w:val="16"/>
              </w:rPr>
              <w:t xml:space="preserve">Cloud platform</w:t>
            </w:r>
          </w:p>
        </w:tc>
        <w:tc>
          <w:tcPr>
            <w:tcW w:type="dxa" w:w="2458"/>
            <w:tcMar>
              <w:top w:type="dxa" w:w="70"/>
              <w:left w:type="dxa" w:w="90"/>
              <w:bottom w:type="dxa" w:w="70"/>
              <w:right w:type="dxa" w:w="90"/>
            </w:tcMar>
            <w:vAlign w:val="top"/>
          </w:tcPr>
          <w:p>
            <w:r>
              <w:rPr>
                <w:b w:val="false"/>
                <w:bCs w:val="false"/>
                <w:color w:val="000000"/>
                <w:sz w:val="16"/>
                <w:szCs w:val="16"/>
              </w:rPr>
              <w:t xml:space="preserve">Microsoft Azure (conditional)</w:t>
            </w:r>
          </w:p>
        </w:tc>
        <w:tc>
          <w:tcPr>
            <w:tcW w:type="dxa" w:w="2253"/>
            <w:tcMar>
              <w:top w:type="dxa" w:w="70"/>
              <w:left w:type="dxa" w:w="90"/>
              <w:bottom w:type="dxa" w:w="70"/>
              <w:right w:type="dxa" w:w="90"/>
            </w:tcMar>
            <w:vAlign w:val="top"/>
          </w:tcPr>
          <w:p>
            <w:r>
              <w:rPr>
                <w:b w:val="false"/>
                <w:bCs w:val="false"/>
                <w:color w:val="000000"/>
                <w:sz w:val="16"/>
                <w:szCs w:val="16"/>
              </w:rPr>
              <w:t xml:space="preserve">AWS</w:t>
            </w:r>
          </w:p>
        </w:tc>
        <w:tc>
          <w:tcPr>
            <w:tcW w:type="dxa" w:w="3277"/>
            <w:tcMar>
              <w:top w:type="dxa" w:w="70"/>
              <w:left w:type="dxa" w:w="90"/>
              <w:bottom w:type="dxa" w:w="70"/>
              <w:right w:type="dxa" w:w="90"/>
            </w:tcMar>
            <w:vAlign w:val="top"/>
          </w:tcPr>
          <w:p>
            <w:r>
              <w:rPr>
                <w:b w:val="false"/>
                <w:bCs w:val="false"/>
                <w:color w:val="000000"/>
                <w:sz w:val="16"/>
                <w:szCs w:val="16"/>
              </w:rPr>
              <w:t xml:space="preserve">Integration coherence with Power BI and Microsoft 365</w:t>
            </w:r>
          </w:p>
        </w:tc>
      </w:tr>
      <w:tr>
        <w:tc>
          <w:tcPr>
            <w:tcW w:type="dxa" w:w="2253"/>
            <w:tcMar>
              <w:top w:type="dxa" w:w="70"/>
              <w:left w:type="dxa" w:w="90"/>
              <w:bottom w:type="dxa" w:w="70"/>
              <w:right w:type="dxa" w:w="90"/>
            </w:tcMar>
            <w:vAlign w:val="top"/>
          </w:tcPr>
          <w:p>
            <w:r>
              <w:rPr>
                <w:b/>
                <w:bCs/>
                <w:color w:val="000000"/>
                <w:sz w:val="16"/>
                <w:szCs w:val="16"/>
              </w:rPr>
              <w:t xml:space="preserve">Web server / reverse proxy</w:t>
            </w:r>
          </w:p>
        </w:tc>
        <w:tc>
          <w:tcPr>
            <w:tcW w:type="dxa" w:w="2458"/>
            <w:tcMar>
              <w:top w:type="dxa" w:w="70"/>
              <w:left w:type="dxa" w:w="90"/>
              <w:bottom w:type="dxa" w:w="70"/>
              <w:right w:type="dxa" w:w="90"/>
            </w:tcMar>
            <w:vAlign w:val="top"/>
          </w:tcPr>
          <w:p>
            <w:r>
              <w:rPr>
                <w:b w:val="false"/>
                <w:bCs w:val="false"/>
                <w:color w:val="000000"/>
                <w:sz w:val="16"/>
                <w:szCs w:val="16"/>
              </w:rPr>
              <w:t xml:space="preserve">NGINX</w:t>
            </w:r>
          </w:p>
        </w:tc>
        <w:tc>
          <w:tcPr>
            <w:tcW w:type="dxa" w:w="2253"/>
            <w:tcMar>
              <w:top w:type="dxa" w:w="70"/>
              <w:left w:type="dxa" w:w="90"/>
              <w:bottom w:type="dxa" w:w="70"/>
              <w:right w:type="dxa" w:w="90"/>
            </w:tcMar>
            <w:vAlign w:val="top"/>
          </w:tcPr>
          <w:p>
            <w:r>
              <w:rPr>
                <w:b w:val="false"/>
                <w:bCs w:val="false"/>
                <w:color w:val="000000"/>
                <w:sz w:val="16"/>
                <w:szCs w:val="16"/>
              </w:rPr>
              <w:t xml:space="preserve">—</w:t>
            </w:r>
          </w:p>
        </w:tc>
        <w:tc>
          <w:tcPr>
            <w:tcW w:type="dxa" w:w="3277"/>
            <w:tcMar>
              <w:top w:type="dxa" w:w="70"/>
              <w:left w:type="dxa" w:w="90"/>
              <w:bottom w:type="dxa" w:w="70"/>
              <w:right w:type="dxa" w:w="90"/>
            </w:tcMar>
            <w:vAlign w:val="top"/>
          </w:tcPr>
          <w:p>
            <w:r>
              <w:rPr>
                <w:b w:val="false"/>
                <w:bCs w:val="false"/>
                <w:color w:val="000000"/>
                <w:sz w:val="16"/>
                <w:szCs w:val="16"/>
              </w:rPr>
              <w:t xml:space="preserve">De facto standard; supports TLS termination and rate limiting</w:t>
            </w:r>
          </w:p>
        </w:tc>
      </w:tr>
      <w:tr>
        <w:tc>
          <w:tcPr>
            <w:tcW w:type="dxa" w:w="2253"/>
            <w:tcMar>
              <w:top w:type="dxa" w:w="70"/>
              <w:left w:type="dxa" w:w="90"/>
              <w:bottom w:type="dxa" w:w="70"/>
              <w:right w:type="dxa" w:w="90"/>
            </w:tcMar>
            <w:vAlign w:val="top"/>
          </w:tcPr>
          <w:p>
            <w:r>
              <w:rPr>
                <w:b/>
                <w:bCs/>
                <w:color w:val="000000"/>
                <w:sz w:val="16"/>
                <w:szCs w:val="16"/>
              </w:rPr>
              <w:t xml:space="preserve">Identity platform</w:t>
            </w:r>
          </w:p>
        </w:tc>
        <w:tc>
          <w:tcPr>
            <w:tcW w:type="dxa" w:w="2458"/>
            <w:tcMar>
              <w:top w:type="dxa" w:w="70"/>
              <w:left w:type="dxa" w:w="90"/>
              <w:bottom w:type="dxa" w:w="70"/>
              <w:right w:type="dxa" w:w="90"/>
            </w:tcMar>
            <w:vAlign w:val="top"/>
          </w:tcPr>
          <w:p>
            <w:r>
              <w:rPr>
                <w:b w:val="false"/>
                <w:bCs w:val="false"/>
                <w:color w:val="000000"/>
                <w:sz w:val="16"/>
                <w:szCs w:val="16"/>
              </w:rPr>
              <w:t xml:space="preserve">Keycloak</w:t>
            </w:r>
          </w:p>
        </w:tc>
        <w:tc>
          <w:tcPr>
            <w:tcW w:type="dxa" w:w="2253"/>
            <w:tcMar>
              <w:top w:type="dxa" w:w="70"/>
              <w:left w:type="dxa" w:w="90"/>
              <w:bottom w:type="dxa" w:w="70"/>
              <w:right w:type="dxa" w:w="90"/>
            </w:tcMar>
            <w:vAlign w:val="top"/>
          </w:tcPr>
          <w:p>
            <w:r>
              <w:rPr>
                <w:b w:val="false"/>
                <w:bCs w:val="false"/>
                <w:color w:val="000000"/>
                <w:sz w:val="16"/>
                <w:szCs w:val="16"/>
              </w:rPr>
              <w:t xml:space="preserve">Cloud-native identity service</w:t>
            </w:r>
          </w:p>
        </w:tc>
        <w:tc>
          <w:tcPr>
            <w:tcW w:type="dxa" w:w="3277"/>
            <w:tcMar>
              <w:top w:type="dxa" w:w="70"/>
              <w:left w:type="dxa" w:w="90"/>
              <w:bottom w:type="dxa" w:w="70"/>
              <w:right w:type="dxa" w:w="90"/>
            </w:tcMar>
            <w:vAlign w:val="top"/>
          </w:tcPr>
          <w:p>
            <w:r>
              <w:rPr>
                <w:b w:val="false"/>
                <w:bCs w:val="false"/>
                <w:color w:val="000000"/>
                <w:sz w:val="16"/>
                <w:szCs w:val="16"/>
              </w:rPr>
              <w:t xml:space="preserve">Portable across cloud providers; avoids high-consequence lock-in</w:t>
            </w:r>
          </w:p>
        </w:tc>
      </w:tr>
      <w:tr>
        <w:tc>
          <w:tcPr>
            <w:tcW w:type="dxa" w:w="2253"/>
            <w:tcMar>
              <w:top w:type="dxa" w:w="70"/>
              <w:left w:type="dxa" w:w="90"/>
              <w:bottom w:type="dxa" w:w="70"/>
              <w:right w:type="dxa" w:w="90"/>
            </w:tcMar>
            <w:vAlign w:val="top"/>
          </w:tcPr>
          <w:p>
            <w:r>
              <w:rPr>
                <w:b/>
                <w:bCs/>
                <w:color w:val="000000"/>
                <w:sz w:val="16"/>
                <w:szCs w:val="16"/>
              </w:rPr>
              <w:t xml:space="preserve">BI / reporting (donor-facing)</w:t>
            </w:r>
          </w:p>
        </w:tc>
        <w:tc>
          <w:tcPr>
            <w:tcW w:type="dxa" w:w="2458"/>
            <w:tcMar>
              <w:top w:type="dxa" w:w="70"/>
              <w:left w:type="dxa" w:w="90"/>
              <w:bottom w:type="dxa" w:w="70"/>
              <w:right w:type="dxa" w:w="90"/>
            </w:tcMar>
            <w:vAlign w:val="top"/>
          </w:tcPr>
          <w:p>
            <w:r>
              <w:rPr>
                <w:b w:val="false"/>
                <w:bCs w:val="false"/>
                <w:color w:val="000000"/>
                <w:sz w:val="16"/>
                <w:szCs w:val="16"/>
              </w:rPr>
              <w:t xml:space="preserve">Power BI</w:t>
            </w:r>
          </w:p>
        </w:tc>
        <w:tc>
          <w:tcPr>
            <w:tcW w:type="dxa" w:w="2253"/>
            <w:tcMar>
              <w:top w:type="dxa" w:w="70"/>
              <w:left w:type="dxa" w:w="90"/>
              <w:bottom w:type="dxa" w:w="70"/>
              <w:right w:type="dxa" w:w="90"/>
            </w:tcMar>
            <w:vAlign w:val="top"/>
          </w:tcPr>
          <w:p>
            <w:r>
              <w:rPr>
                <w:b w:val="false"/>
                <w:bCs w:val="false"/>
                <w:color w:val="000000"/>
                <w:sz w:val="16"/>
                <w:szCs w:val="16"/>
              </w:rPr>
              <w:t xml:space="preserve">Grafana</w:t>
            </w:r>
          </w:p>
        </w:tc>
        <w:tc>
          <w:tcPr>
            <w:tcW w:type="dxa" w:w="3277"/>
            <w:tcMar>
              <w:top w:type="dxa" w:w="70"/>
              <w:left w:type="dxa" w:w="90"/>
              <w:bottom w:type="dxa" w:w="70"/>
              <w:right w:type="dxa" w:w="90"/>
            </w:tcMar>
            <w:vAlign w:val="top"/>
          </w:tcPr>
          <w:p>
            <w:r>
              <w:rPr>
                <w:b w:val="false"/>
                <w:bCs w:val="false"/>
                <w:color w:val="000000"/>
                <w:sz w:val="16"/>
                <w:szCs w:val="16"/>
              </w:rPr>
              <w:t xml:space="preserve">Donor-format export; Azure/M365 ecosystem fit</w:t>
            </w:r>
          </w:p>
        </w:tc>
      </w:tr>
      <w:tr>
        <w:tc>
          <w:tcPr>
            <w:tcW w:type="dxa" w:w="2253"/>
            <w:tcMar>
              <w:top w:type="dxa" w:w="70"/>
              <w:left w:type="dxa" w:w="90"/>
              <w:bottom w:type="dxa" w:w="70"/>
              <w:right w:type="dxa" w:w="90"/>
            </w:tcMar>
            <w:vAlign w:val="top"/>
          </w:tcPr>
          <w:p>
            <w:r>
              <w:rPr>
                <w:b/>
                <w:bCs/>
                <w:color w:val="000000"/>
                <w:sz w:val="16"/>
                <w:szCs w:val="16"/>
              </w:rPr>
              <w:t xml:space="preserve">BI / monitoring (operational)</w:t>
            </w:r>
          </w:p>
        </w:tc>
        <w:tc>
          <w:tcPr>
            <w:tcW w:type="dxa" w:w="2458"/>
            <w:tcMar>
              <w:top w:type="dxa" w:w="70"/>
              <w:left w:type="dxa" w:w="90"/>
              <w:bottom w:type="dxa" w:w="70"/>
              <w:right w:type="dxa" w:w="90"/>
            </w:tcMar>
            <w:vAlign w:val="top"/>
          </w:tcPr>
          <w:p>
            <w:r>
              <w:rPr>
                <w:b w:val="false"/>
                <w:bCs w:val="false"/>
                <w:color w:val="000000"/>
                <w:sz w:val="16"/>
                <w:szCs w:val="16"/>
              </w:rPr>
              <w:t xml:space="preserve">Grafana</w:t>
            </w:r>
          </w:p>
        </w:tc>
        <w:tc>
          <w:tcPr>
            <w:tcW w:type="dxa" w:w="2253"/>
            <w:tcMar>
              <w:top w:type="dxa" w:w="70"/>
              <w:left w:type="dxa" w:w="90"/>
              <w:bottom w:type="dxa" w:w="70"/>
              <w:right w:type="dxa" w:w="90"/>
            </w:tcMar>
            <w:vAlign w:val="top"/>
          </w:tcPr>
          <w:p>
            <w:r>
              <w:rPr>
                <w:b w:val="false"/>
                <w:bCs w:val="false"/>
                <w:color w:val="000000"/>
                <w:sz w:val="16"/>
                <w:szCs w:val="16"/>
              </w:rPr>
              <w:t xml:space="preserve">Power BI</w:t>
            </w:r>
          </w:p>
        </w:tc>
        <w:tc>
          <w:tcPr>
            <w:tcW w:type="dxa" w:w="3277"/>
            <w:tcMar>
              <w:top w:type="dxa" w:w="70"/>
              <w:left w:type="dxa" w:w="90"/>
              <w:bottom w:type="dxa" w:w="70"/>
              <w:right w:type="dxa" w:w="90"/>
            </w:tcMar>
            <w:vAlign w:val="top"/>
          </w:tcPr>
          <w:p>
            <w:r>
              <w:rPr>
                <w:b w:val="false"/>
                <w:bCs w:val="false"/>
                <w:color w:val="000000"/>
                <w:sz w:val="16"/>
                <w:szCs w:val="16"/>
              </w:rPr>
              <w:t xml:space="preserve">Open-source; purpose-built for infrastructure monitoring</w:t>
            </w:r>
          </w:p>
        </w:tc>
      </w:tr>
      <w:tr>
        <w:tc>
          <w:tcPr>
            <w:tcW w:type="dxa" w:w="2253"/>
            <w:tcMar>
              <w:top w:type="dxa" w:w="70"/>
              <w:left w:type="dxa" w:w="90"/>
              <w:bottom w:type="dxa" w:w="70"/>
              <w:right w:type="dxa" w:w="90"/>
            </w:tcMar>
            <w:vAlign w:val="top"/>
          </w:tcPr>
          <w:p>
            <w:r>
              <w:rPr>
                <w:b/>
                <w:bCs/>
                <w:color w:val="000000"/>
                <w:sz w:val="16"/>
                <w:szCs w:val="16"/>
              </w:rPr>
              <w:t xml:space="preserve">Messaging</w:t>
            </w:r>
          </w:p>
        </w:tc>
        <w:tc>
          <w:tcPr>
            <w:tcW w:type="dxa" w:w="2458"/>
            <w:tcMar>
              <w:top w:type="dxa" w:w="70"/>
              <w:left w:type="dxa" w:w="90"/>
              <w:bottom w:type="dxa" w:w="70"/>
              <w:right w:type="dxa" w:w="90"/>
            </w:tcMar>
            <w:vAlign w:val="top"/>
          </w:tcPr>
          <w:p>
            <w:r>
              <w:rPr>
                <w:b w:val="false"/>
                <w:bCs w:val="false"/>
                <w:color w:val="000000"/>
                <w:sz w:val="16"/>
                <w:szCs w:val="16"/>
              </w:rPr>
              <w:t xml:space="preserve">RabbitMQ</w:t>
            </w:r>
          </w:p>
        </w:tc>
        <w:tc>
          <w:tcPr>
            <w:tcW w:type="dxa" w:w="2253"/>
            <w:tcMar>
              <w:top w:type="dxa" w:w="70"/>
              <w:left w:type="dxa" w:w="90"/>
              <w:bottom w:type="dxa" w:w="70"/>
              <w:right w:type="dxa" w:w="90"/>
            </w:tcMar>
            <w:vAlign w:val="top"/>
          </w:tcPr>
          <w:p>
            <w:r>
              <w:rPr>
                <w:b w:val="false"/>
                <w:bCs w:val="false"/>
                <w:color w:val="000000"/>
                <w:sz w:val="16"/>
                <w:szCs w:val="16"/>
              </w:rPr>
              <w:t xml:space="preserve">Kafka</w:t>
            </w:r>
          </w:p>
        </w:tc>
        <w:tc>
          <w:tcPr>
            <w:tcW w:type="dxa" w:w="3277"/>
            <w:tcMar>
              <w:top w:type="dxa" w:w="70"/>
              <w:left w:type="dxa" w:w="90"/>
              <w:bottom w:type="dxa" w:w="70"/>
              <w:right w:type="dxa" w:w="90"/>
            </w:tcMar>
            <w:vAlign w:val="top"/>
          </w:tcPr>
          <w:p>
            <w:r>
              <w:rPr>
                <w:b w:val="false"/>
                <w:bCs w:val="false"/>
                <w:color w:val="000000"/>
                <w:sz w:val="16"/>
                <w:szCs w:val="16"/>
              </w:rPr>
              <w:t xml:space="preserve">Right-sized to current message volume</w:t>
            </w:r>
          </w:p>
        </w:tc>
      </w:tr>
      <w:tr>
        <w:tc>
          <w:tcPr>
            <w:tcW w:type="dxa" w:w="2253"/>
            <w:tcMar>
              <w:top w:type="dxa" w:w="70"/>
              <w:left w:type="dxa" w:w="90"/>
              <w:bottom w:type="dxa" w:w="70"/>
              <w:right w:type="dxa" w:w="90"/>
            </w:tcMar>
            <w:vAlign w:val="top"/>
          </w:tcPr>
          <w:p>
            <w:r>
              <w:rPr>
                <w:b/>
                <w:bCs/>
                <w:color w:val="000000"/>
                <w:sz w:val="16"/>
                <w:szCs w:val="16"/>
              </w:rPr>
              <w:t xml:space="preserve">Operating system</w:t>
            </w:r>
          </w:p>
        </w:tc>
        <w:tc>
          <w:tcPr>
            <w:tcW w:type="dxa" w:w="2458"/>
            <w:tcMar>
              <w:top w:type="dxa" w:w="70"/>
              <w:left w:type="dxa" w:w="90"/>
              <w:bottom w:type="dxa" w:w="70"/>
              <w:right w:type="dxa" w:w="90"/>
            </w:tcMar>
            <w:vAlign w:val="top"/>
          </w:tcPr>
          <w:p>
            <w:r>
              <w:rPr>
                <w:b w:val="false"/>
                <w:bCs w:val="false"/>
                <w:color w:val="000000"/>
                <w:sz w:val="16"/>
                <w:szCs w:val="16"/>
              </w:rPr>
              <w:t xml:space="preserve">Linux</w:t>
            </w:r>
          </w:p>
        </w:tc>
        <w:tc>
          <w:tcPr>
            <w:tcW w:type="dxa" w:w="2253"/>
            <w:tcMar>
              <w:top w:type="dxa" w:w="70"/>
              <w:left w:type="dxa" w:w="90"/>
              <w:bottom w:type="dxa" w:w="70"/>
              <w:right w:type="dxa" w:w="90"/>
            </w:tcMar>
            <w:vAlign w:val="top"/>
          </w:tcPr>
          <w:p>
            <w:r>
              <w:rPr>
                <w:b w:val="false"/>
                <w:bCs w:val="false"/>
                <w:color w:val="000000"/>
                <w:sz w:val="16"/>
                <w:szCs w:val="16"/>
              </w:rPr>
              <w:t xml:space="preserve">Windows Server</w:t>
            </w:r>
          </w:p>
        </w:tc>
        <w:tc>
          <w:tcPr>
            <w:tcW w:type="dxa" w:w="3277"/>
            <w:tcMar>
              <w:top w:type="dxa" w:w="70"/>
              <w:left w:type="dxa" w:w="90"/>
              <w:bottom w:type="dxa" w:w="70"/>
              <w:right w:type="dxa" w:w="90"/>
            </w:tcMar>
            <w:vAlign w:val="top"/>
          </w:tcPr>
          <w:p>
            <w:r>
              <w:rPr>
                <w:b w:val="false"/>
                <w:bCs w:val="false"/>
                <w:color w:val="000000"/>
                <w:sz w:val="16"/>
                <w:szCs w:val="16"/>
              </w:rPr>
              <w:t xml:space="preserve">No licensing cost; native fit with every other recommended technology</w:t>
            </w:r>
          </w:p>
        </w:tc>
      </w:tr>
    </w:tbl>
    <w:p>
      <w:pPr>
        <w:spacing w:after="160"/>
      </w:pPr>
    </w:p>
    <w:p>
      <w:pPr>
        <w:pStyle w:val="Heading1"/>
        <w:pBdr>
          <w:bottom w:val="single" w:color="1F3864" w:sz="6" w:space="4"/>
        </w:pBdr>
        <w:spacing w:after="130" w:before="320"/>
      </w:pPr>
      <w:r>
        <w:t xml:space="preserve">10.14 Trade-off Summary</w:t>
      </w:r>
    </w:p>
    <w:p>
      <w:pPr>
        <w:spacing w:after="150" w:line="276"/>
        <w:jc w:val="both"/>
      </w:pPr>
      <w:r>
        <w:t xml:space="preserve">Three trade-offs are accepted deliberately across this stack, each already stated in its own evaluation but worth restating together: maintaining two backend frameworks (Laravel and Node.js) rather than one increases the skill breadth KM and ICT Units must eventually hold; choosing a managed container service over full Kubernetes accepts somewhat less deployment flexibility in exchange for materially lower operational burden; and choosing Keycloak over a cloud-native identity service accepts modest additional configuration effort in exchange for avoiding identity-layer vendor lock-in. In every case, the trade-off was accepted because it serves the sustainability and anti-lock-in decision variables that this Blueprint has treated as first-order concerns throughout, not as an oversight to be discovered later during the Architecture Review (Section 15).</w:t>
      </w:r>
    </w:p>
    <w:p>
      <w:pPr>
        <w:pStyle w:val="Heading1"/>
        <w:pBdr>
          <w:bottom w:val="single" w:color="1F3864" w:sz="6" w:space="4"/>
        </w:pBdr>
        <w:spacing w:after="130" w:before="320"/>
      </w:pPr>
      <w:r>
        <w:t xml:space="preserve">10.15 Transition to Section 11</w:t>
      </w:r>
    </w:p>
    <w:p>
      <w:pPr>
        <w:spacing w:after="150" w:line="276"/>
        <w:jc w:val="both"/>
      </w:pPr>
      <w:r>
        <w:t xml:space="preserve">Section 11 (Digital Transformation Roadmap) sequences the delivery of this recommended stack, the functional modules fixed in Section 4, and the Phase 2 AI capabilities fixed in Section 9 into a phased roadmap — current and target maturity, quick wins, and the medium- and long-term evolution of the architecture beyond the twelve-week Phase 1 baseline.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2026-07-18T08:20:52.103Z</dcterms:created>
  <dcterms:modified xsi:type="dcterms:W3CDTF">2026-07-18T08:20:52.103Z</dcterms:modified>
</cp:coreProperties>
</file>

<file path=docProps/custom.xml><?xml version="1.0" encoding="utf-8"?>
<Properties xmlns="http://schemas.openxmlformats.org/officeDocument/2006/custom-properties" xmlns:vt="http://schemas.openxmlformats.org/officeDocument/2006/docPropsVTypes"/>
</file>