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11 of 16 — Digital Transformation Roadmap</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3864" w:sz="6" w:space="4"/>
        </w:pBdr>
        <w:spacing w:after="130" w:before="320"/>
      </w:pPr>
      <w:r>
        <w:t xml:space="preserve">11.1 Roadmap Positioning</w:t>
      </w:r>
    </w:p>
    <w:p>
      <w:pPr>
        <w:spacing w:after="150" w:line="276"/>
        <w:jc w:val="both"/>
      </w:pPr>
      <w:r>
        <w:t xml:space="preserve">This roadmap spans two distinct horizons, kept clearly separated throughout, consistent with the Phase Discipline principle fixed in Section 1.7: the twelve-week Phase 1 delivery schedule the TOR fixes and prices, and the Phase 2 evolution — Business Intelligence, AI capabilities (Section 9), analytics-driven curation, and the Knowledge Graph — that extends value beyond the TOR's explicit scope as a costed, optional follow-on. Nowhere in this roadmap is a Phase 2 item presented as if it were part of the Phase 1 commitment.</w:t>
      </w:r>
    </w:p>
    <w:p>
      <w:pPr>
        <w:pStyle w:val="Heading1"/>
        <w:pBdr>
          <w:bottom w:val="single" w:color="1F3864" w:sz="6" w:space="4"/>
        </w:pBdr>
        <w:spacing w:after="130" w:before="320"/>
      </w:pPr>
      <w:r>
        <w:t xml:space="preserve">11.2 Current Maturity Baseline</w:t>
      </w:r>
    </w:p>
    <w:p>
      <w:pPr>
        <w:spacing w:after="150" w:line="276"/>
        <w:jc w:val="both"/>
      </w:pPr>
      <w:r>
        <w:t xml:space="preserve">Every one of the nine business capabilities in the Section 2.4 Capability Heat Map begins at Level 1 (Ad hoc) — the Current State Assessment's own finding that no capability in today's environment benefits from systematic, governed process. This uniform starting point is restated here as the fixed baseline against which every maturity claim in this roadmap is measured; no capability is assumed to start from a more advanced position than the evidence supports.</w:t>
      </w:r>
    </w:p>
    <w:p>
      <w:pPr>
        <w:pStyle w:val="Heading1"/>
        <w:pBdr>
          <w:bottom w:val="single" w:color="1F3864" w:sz="6" w:space="4"/>
        </w:pBdr>
        <w:spacing w:after="130" w:before="320"/>
      </w:pPr>
      <w:r>
        <w:t xml:space="preserve">11.3 Target Maturity</w:t>
      </w:r>
    </w:p>
    <w:p>
      <w:pPr>
        <w:spacing w:after="150" w:line="276"/>
        <w:jc w:val="both"/>
      </w:pPr>
      <w:r>
        <w:t xml:space="preserve">Target maturity by handover, already fixed capability-by-capability in Section 2.4, is consolidated here into a single roadmap statement.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072"/>
        <w:gridCol w:w="7168"/>
      </w:tblGrid>
      <w:tr>
        <w:trPr>
          <w:tblHeader/>
        </w:trPr>
        <w:tc>
          <w:tcPr>
            <w:tcW w:type="dxa" w:w="3072"/>
            <w:shd w:fill="1F3864" w:val="clear"/>
            <w:tcMar>
              <w:top w:type="dxa" w:w="70"/>
              <w:left w:type="dxa" w:w="90"/>
              <w:bottom w:type="dxa" w:w="70"/>
              <w:right w:type="dxa" w:w="90"/>
            </w:tcMar>
            <w:vAlign w:val="top"/>
          </w:tcPr>
          <w:p>
            <w:r>
              <w:rPr>
                <w:b/>
                <w:bCs/>
                <w:color w:val="FFFFFF"/>
                <w:sz w:val="17"/>
                <w:szCs w:val="17"/>
              </w:rPr>
              <w:t xml:space="preserve">Maturity Level</w:t>
            </w:r>
          </w:p>
        </w:tc>
        <w:tc>
          <w:tcPr>
            <w:tcW w:type="dxa" w:w="7168"/>
            <w:shd w:fill="1F3864" w:val="clear"/>
            <w:tcMar>
              <w:top w:type="dxa" w:w="70"/>
              <w:left w:type="dxa" w:w="90"/>
              <w:bottom w:type="dxa" w:w="70"/>
              <w:right w:type="dxa" w:w="90"/>
            </w:tcMar>
            <w:vAlign w:val="top"/>
          </w:tcPr>
          <w:p>
            <w:r>
              <w:rPr>
                <w:b/>
                <w:bCs/>
                <w:color w:val="FFFFFF"/>
                <w:sz w:val="17"/>
                <w:szCs w:val="17"/>
              </w:rPr>
              <w:t xml:space="preserve">Capabilities Reaching This Level by Handover</w:t>
            </w:r>
          </w:p>
        </w:tc>
      </w:tr>
      <w:tr>
        <w:tc>
          <w:tcPr>
            <w:tcW w:type="dxa" w:w="3072"/>
            <w:tcMar>
              <w:top w:type="dxa" w:w="70"/>
              <w:left w:type="dxa" w:w="90"/>
              <w:bottom w:type="dxa" w:w="70"/>
              <w:right w:type="dxa" w:w="90"/>
            </w:tcMar>
            <w:vAlign w:val="top"/>
          </w:tcPr>
          <w:p>
            <w:r>
              <w:rPr>
                <w:b/>
                <w:bCs/>
                <w:color w:val="000000"/>
                <w:sz w:val="17"/>
                <w:szCs w:val="17"/>
              </w:rPr>
              <w:t xml:space="preserve">Level 3 — Systematized and self-sufficient</w:t>
            </w:r>
          </w:p>
        </w:tc>
        <w:tc>
          <w:tcPr>
            <w:tcW w:type="dxa" w:w="7168"/>
            <w:tcMar>
              <w:top w:type="dxa" w:w="70"/>
              <w:left w:type="dxa" w:w="90"/>
              <w:bottom w:type="dxa" w:w="70"/>
              <w:right w:type="dxa" w:w="90"/>
            </w:tcMar>
            <w:vAlign w:val="top"/>
          </w:tcPr>
          <w:p>
            <w:r>
              <w:rPr>
                <w:b w:val="false"/>
                <w:bCs w:val="false"/>
                <w:color w:val="000000"/>
                <w:sz w:val="17"/>
                <w:szCs w:val="17"/>
              </w:rPr>
              <w:t xml:space="preserve">Content Lifecycle Management; Reporting &amp; Analytics.</w:t>
            </w:r>
          </w:p>
        </w:tc>
      </w:tr>
      <w:tr>
        <w:tc>
          <w:tcPr>
            <w:tcW w:type="dxa" w:w="3072"/>
            <w:tcMar>
              <w:top w:type="dxa" w:w="70"/>
              <w:left w:type="dxa" w:w="90"/>
              <w:bottom w:type="dxa" w:w="70"/>
              <w:right w:type="dxa" w:w="90"/>
            </w:tcMar>
            <w:vAlign w:val="top"/>
          </w:tcPr>
          <w:p>
            <w:r>
              <w:rPr>
                <w:b/>
                <w:bCs/>
                <w:color w:val="000000"/>
                <w:sz w:val="17"/>
                <w:szCs w:val="17"/>
              </w:rPr>
              <w:t xml:space="preserve">Level 2 — Systematized, consultant-supported at handover, progressing toward Level 3 post-handover</w:t>
            </w:r>
          </w:p>
        </w:tc>
        <w:tc>
          <w:tcPr>
            <w:tcW w:type="dxa" w:w="7168"/>
            <w:tcMar>
              <w:top w:type="dxa" w:w="70"/>
              <w:left w:type="dxa" w:w="90"/>
              <w:bottom w:type="dxa" w:w="70"/>
              <w:right w:type="dxa" w:w="90"/>
            </w:tcMar>
            <w:vAlign w:val="top"/>
          </w:tcPr>
          <w:p>
            <w:r>
              <w:rPr>
                <w:b w:val="false"/>
                <w:bCs w:val="false"/>
                <w:color w:val="000000"/>
                <w:sz w:val="17"/>
                <w:szCs w:val="17"/>
              </w:rPr>
              <w:t xml:space="preserve">Workflow Orchestration; Knowledge Curation; Search &amp; Discovery; Governance &amp; Stewardship; Security &amp; Access Management; Stakeholder Collaboration; Platform Administration.</w:t>
            </w:r>
          </w:p>
        </w:tc>
      </w:tr>
    </w:tbl>
    <w:p>
      <w:pPr>
        <w:spacing w:after="100"/>
      </w:pPr>
    </w:p>
    <w:p>
      <w:pPr>
        <w:spacing w:after="160" w:line="264"/>
      </w:pPr>
      <w:r>
        <w:rPr>
          <w:i/>
          <w:iCs/>
          <w:color w:val="555555"/>
          <w:sz w:val="18"/>
          <w:szCs w:val="18"/>
        </w:rPr>
        <w:t xml:space="preserve">No capability is targeted below Level 2 by handover — the minimum bar this roadmap treats as an acceptable outcome for a twelve-week engagement is that every capability has moved from ad hoc to systematized, even where full self-sufficiency (Level 3) is realistically a post-handover achievement rather than a Week 12 one.</w:t>
      </w:r>
    </w:p>
    <w:p>
      <w:pPr>
        <w:spacing w:after="160"/>
      </w:pPr>
    </w:p>
    <w:p>
      <w:pPr>
        <w:pStyle w:val="Heading1"/>
        <w:pBdr>
          <w:bottom w:val="single" w:color="1F3864" w:sz="6" w:space="4"/>
        </w:pBdr>
        <w:spacing w:after="130" w:before="320"/>
      </w:pPr>
      <w:r>
        <w:t xml:space="preserve">11.4 Transformation Phases (Phase 1 Delivery Timeline)</w:t>
      </w:r>
    </w:p>
    <w:p>
      <w:pPr>
        <w:spacing w:after="150" w:line="276"/>
        <w:jc w:val="both"/>
      </w:pPr>
      <w:r>
        <w:t xml:space="preserve">The TOR's own five-window, twelve-week structure governs Phase 1 delivery. Phases and activities are identical to the RACI matrix already fixed in Section 2.13, restated here on the TOR's own timeline rather than repeated as a new structure.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1024"/>
        <w:gridCol w:w="4301"/>
        <w:gridCol w:w="2662"/>
      </w:tblGrid>
      <w:tr>
        <w:trPr>
          <w:tblHeader/>
        </w:trPr>
        <w:tc>
          <w:tcPr>
            <w:tcW w:type="dxa" w:w="2253"/>
            <w:shd w:fill="1F3864" w:val="clear"/>
            <w:tcMar>
              <w:top w:type="dxa" w:w="70"/>
              <w:left w:type="dxa" w:w="90"/>
              <w:bottom w:type="dxa" w:w="70"/>
              <w:right w:type="dxa" w:w="90"/>
            </w:tcMar>
            <w:vAlign w:val="top"/>
          </w:tcPr>
          <w:p>
            <w:r>
              <w:rPr>
                <w:b/>
                <w:bCs/>
                <w:color w:val="FFFFFF"/>
                <w:sz w:val="17"/>
                <w:szCs w:val="17"/>
              </w:rPr>
              <w:t xml:space="preserve">Phase</w:t>
            </w:r>
          </w:p>
        </w:tc>
        <w:tc>
          <w:tcPr>
            <w:tcW w:type="dxa" w:w="1024"/>
            <w:shd w:fill="1F3864" w:val="clear"/>
            <w:tcMar>
              <w:top w:type="dxa" w:w="70"/>
              <w:left w:type="dxa" w:w="90"/>
              <w:bottom w:type="dxa" w:w="70"/>
              <w:right w:type="dxa" w:w="90"/>
            </w:tcMar>
            <w:vAlign w:val="top"/>
          </w:tcPr>
          <w:p>
            <w:r>
              <w:rPr>
                <w:b/>
                <w:bCs/>
                <w:color w:val="FFFFFF"/>
                <w:sz w:val="17"/>
                <w:szCs w:val="17"/>
              </w:rPr>
              <w:t xml:space="preserve">Weeks</w:t>
            </w:r>
          </w:p>
        </w:tc>
        <w:tc>
          <w:tcPr>
            <w:tcW w:type="dxa" w:w="4301"/>
            <w:shd w:fill="1F3864" w:val="clear"/>
            <w:tcMar>
              <w:top w:type="dxa" w:w="70"/>
              <w:left w:type="dxa" w:w="90"/>
              <w:bottom w:type="dxa" w:w="70"/>
              <w:right w:type="dxa" w:w="90"/>
            </w:tcMar>
            <w:vAlign w:val="top"/>
          </w:tcPr>
          <w:p>
            <w:r>
              <w:rPr>
                <w:b/>
                <w:bCs/>
                <w:color w:val="FFFFFF"/>
                <w:sz w:val="17"/>
                <w:szCs w:val="17"/>
              </w:rPr>
              <w:t xml:space="preserve">Key Activities</w:t>
            </w:r>
          </w:p>
        </w:tc>
        <w:tc>
          <w:tcPr>
            <w:tcW w:type="dxa" w:w="2662"/>
            <w:shd w:fill="1F3864" w:val="clear"/>
            <w:tcMar>
              <w:top w:type="dxa" w:w="70"/>
              <w:left w:type="dxa" w:w="90"/>
              <w:bottom w:type="dxa" w:w="70"/>
              <w:right w:type="dxa" w:w="90"/>
            </w:tcMar>
            <w:vAlign w:val="top"/>
          </w:tcPr>
          <w:p>
            <w:r>
              <w:rPr>
                <w:b/>
                <w:bCs/>
                <w:color w:val="FFFFFF"/>
                <w:sz w:val="17"/>
                <w:szCs w:val="17"/>
              </w:rPr>
              <w:t xml:space="preserve">Milestone</w:t>
            </w:r>
          </w:p>
        </w:tc>
      </w:tr>
      <w:tr>
        <w:tc>
          <w:tcPr>
            <w:tcW w:type="dxa" w:w="2253"/>
            <w:tcMar>
              <w:top w:type="dxa" w:w="70"/>
              <w:left w:type="dxa" w:w="90"/>
              <w:bottom w:type="dxa" w:w="70"/>
              <w:right w:type="dxa" w:w="90"/>
            </w:tcMar>
            <w:vAlign w:val="top"/>
          </w:tcPr>
          <w:p>
            <w:r>
              <w:rPr>
                <w:b/>
                <w:bCs/>
                <w:color w:val="000000"/>
                <w:sz w:val="16"/>
                <w:szCs w:val="16"/>
              </w:rPr>
              <w:t xml:space="preserve">1. Requirements &amp; Foundation</w:t>
            </w:r>
          </w:p>
        </w:tc>
        <w:tc>
          <w:tcPr>
            <w:tcW w:type="dxa" w:w="1024"/>
            <w:tcMar>
              <w:top w:type="dxa" w:w="70"/>
              <w:left w:type="dxa" w:w="90"/>
              <w:bottom w:type="dxa" w:w="70"/>
              <w:right w:type="dxa" w:w="90"/>
            </w:tcMar>
            <w:vAlign w:val="top"/>
          </w:tcPr>
          <w:p>
            <w:r>
              <w:rPr>
                <w:b w:val="false"/>
                <w:bCs w:val="false"/>
                <w:color w:val="000000"/>
                <w:sz w:val="16"/>
                <w:szCs w:val="16"/>
              </w:rPr>
              <w:t xml:space="preserve">1–2</w:t>
            </w:r>
          </w:p>
        </w:tc>
        <w:tc>
          <w:tcPr>
            <w:tcW w:type="dxa" w:w="4301"/>
            <w:tcMar>
              <w:top w:type="dxa" w:w="70"/>
              <w:left w:type="dxa" w:w="90"/>
              <w:bottom w:type="dxa" w:w="70"/>
              <w:right w:type="dxa" w:w="90"/>
            </w:tcMar>
            <w:vAlign w:val="top"/>
          </w:tcPr>
          <w:p>
            <w:r>
              <w:rPr>
                <w:b w:val="false"/>
                <w:bCs w:val="false"/>
                <w:color w:val="000000"/>
                <w:sz w:val="16"/>
                <w:szCs w:val="16"/>
              </w:rPr>
              <w:t xml:space="preserve">Stakeholder consultation across seven states and the FCT; content and data audit; Governance Charter drafted and formally adopted.</w:t>
            </w:r>
          </w:p>
        </w:tc>
        <w:tc>
          <w:tcPr>
            <w:tcW w:type="dxa" w:w="2662"/>
            <w:tcMar>
              <w:top w:type="dxa" w:w="70"/>
              <w:left w:type="dxa" w:w="90"/>
              <w:bottom w:type="dxa" w:w="70"/>
              <w:right w:type="dxa" w:w="90"/>
            </w:tcMar>
            <w:vAlign w:val="top"/>
          </w:tcPr>
          <w:p>
            <w:r>
              <w:rPr>
                <w:b w:val="false"/>
                <w:bCs w:val="false"/>
                <w:color w:val="000000"/>
                <w:sz w:val="16"/>
                <w:szCs w:val="16"/>
              </w:rPr>
              <w:t xml:space="preserve">Governance Charter signed by KMC and endorsed by the National Programme Coordinator.</w:t>
            </w:r>
          </w:p>
        </w:tc>
      </w:tr>
      <w:tr>
        <w:tc>
          <w:tcPr>
            <w:tcW w:type="dxa" w:w="2253"/>
            <w:tcMar>
              <w:top w:type="dxa" w:w="70"/>
              <w:left w:type="dxa" w:w="90"/>
              <w:bottom w:type="dxa" w:w="70"/>
              <w:right w:type="dxa" w:w="90"/>
            </w:tcMar>
            <w:vAlign w:val="top"/>
          </w:tcPr>
          <w:p>
            <w:r>
              <w:rPr>
                <w:b/>
                <w:bCs/>
                <w:color w:val="000000"/>
                <w:sz w:val="16"/>
                <w:szCs w:val="16"/>
              </w:rPr>
              <w:t xml:space="preserve">2. Design, Configuration &amp; Migration</w:t>
            </w:r>
          </w:p>
        </w:tc>
        <w:tc>
          <w:tcPr>
            <w:tcW w:type="dxa" w:w="1024"/>
            <w:tcMar>
              <w:top w:type="dxa" w:w="70"/>
              <w:left w:type="dxa" w:w="90"/>
              <w:bottom w:type="dxa" w:w="70"/>
              <w:right w:type="dxa" w:w="90"/>
            </w:tcMar>
            <w:vAlign w:val="top"/>
          </w:tcPr>
          <w:p>
            <w:r>
              <w:rPr>
                <w:b w:val="false"/>
                <w:bCs w:val="false"/>
                <w:color w:val="000000"/>
                <w:sz w:val="16"/>
                <w:szCs w:val="16"/>
              </w:rPr>
              <w:t xml:space="preserve">3–8</w:t>
            </w:r>
          </w:p>
        </w:tc>
        <w:tc>
          <w:tcPr>
            <w:tcW w:type="dxa" w:w="4301"/>
            <w:tcMar>
              <w:top w:type="dxa" w:w="70"/>
              <w:left w:type="dxa" w:w="90"/>
              <w:bottom w:type="dxa" w:w="70"/>
              <w:right w:type="dxa" w:w="90"/>
            </w:tcMar>
            <w:vAlign w:val="top"/>
          </w:tcPr>
          <w:p>
            <w:r>
              <w:rPr>
                <w:b w:val="false"/>
                <w:bCs w:val="false"/>
                <w:color w:val="000000"/>
                <w:sz w:val="16"/>
                <w:szCs w:val="16"/>
              </w:rPr>
              <w:t xml:space="preserve">System design finalized; ESM and CKR platforms configured per Section 10's recommended stack; phased content migration per Section 6.8; workflow configuration.</w:t>
            </w:r>
          </w:p>
        </w:tc>
        <w:tc>
          <w:tcPr>
            <w:tcW w:type="dxa" w:w="2662"/>
            <w:tcMar>
              <w:top w:type="dxa" w:w="70"/>
              <w:left w:type="dxa" w:w="90"/>
              <w:bottom w:type="dxa" w:w="70"/>
              <w:right w:type="dxa" w:w="90"/>
            </w:tcMar>
            <w:vAlign w:val="top"/>
          </w:tcPr>
          <w:p>
            <w:r>
              <w:rPr>
                <w:b w:val="false"/>
                <w:bCs w:val="false"/>
                <w:color w:val="000000"/>
                <w:sz w:val="16"/>
                <w:szCs w:val="16"/>
              </w:rPr>
              <w:t xml:space="preserve">Core platforms configured; priority-subset content migrated and validated.</w:t>
            </w:r>
          </w:p>
        </w:tc>
      </w:tr>
      <w:tr>
        <w:tc>
          <w:tcPr>
            <w:tcW w:type="dxa" w:w="2253"/>
            <w:tcMar>
              <w:top w:type="dxa" w:w="70"/>
              <w:left w:type="dxa" w:w="90"/>
              <w:bottom w:type="dxa" w:w="70"/>
              <w:right w:type="dxa" w:w="90"/>
            </w:tcMar>
            <w:vAlign w:val="top"/>
          </w:tcPr>
          <w:p>
            <w:r>
              <w:rPr>
                <w:b/>
                <w:bCs/>
                <w:color w:val="000000"/>
                <w:sz w:val="16"/>
                <w:szCs w:val="16"/>
              </w:rPr>
              <w:t xml:space="preserve">3. Testing</w:t>
            </w:r>
          </w:p>
        </w:tc>
        <w:tc>
          <w:tcPr>
            <w:tcW w:type="dxa" w:w="1024"/>
            <w:tcMar>
              <w:top w:type="dxa" w:w="70"/>
              <w:left w:type="dxa" w:w="90"/>
              <w:bottom w:type="dxa" w:w="70"/>
              <w:right w:type="dxa" w:w="90"/>
            </w:tcMar>
            <w:vAlign w:val="top"/>
          </w:tcPr>
          <w:p>
            <w:r>
              <w:rPr>
                <w:b w:val="false"/>
                <w:bCs w:val="false"/>
                <w:color w:val="000000"/>
                <w:sz w:val="16"/>
                <w:szCs w:val="16"/>
              </w:rPr>
              <w:t xml:space="preserve">9–10</w:t>
            </w:r>
          </w:p>
        </w:tc>
        <w:tc>
          <w:tcPr>
            <w:tcW w:type="dxa" w:w="4301"/>
            <w:tcMar>
              <w:top w:type="dxa" w:w="70"/>
              <w:left w:type="dxa" w:w="90"/>
              <w:bottom w:type="dxa" w:w="70"/>
              <w:right w:type="dxa" w:w="90"/>
            </w:tcMar>
            <w:vAlign w:val="top"/>
          </w:tcPr>
          <w:p>
            <w:r>
              <w:rPr>
                <w:b w:val="false"/>
                <w:bCs w:val="false"/>
                <w:color w:val="000000"/>
                <w:sz w:val="16"/>
                <w:szCs w:val="16"/>
              </w:rPr>
              <w:t xml:space="preserve">Continuous testing beginning in Week 3 extends into formal, comprehensive testing across both platforms; security testing against the Section 8 threat model.</w:t>
            </w:r>
          </w:p>
        </w:tc>
        <w:tc>
          <w:tcPr>
            <w:tcW w:type="dxa" w:w="2662"/>
            <w:tcMar>
              <w:top w:type="dxa" w:w="70"/>
              <w:left w:type="dxa" w:w="90"/>
              <w:bottom w:type="dxa" w:w="70"/>
              <w:right w:type="dxa" w:w="90"/>
            </w:tcMar>
            <w:vAlign w:val="top"/>
          </w:tcPr>
          <w:p>
            <w:r>
              <w:rPr>
                <w:b w:val="false"/>
                <w:bCs w:val="false"/>
                <w:color w:val="000000"/>
                <w:sz w:val="16"/>
                <w:szCs w:val="16"/>
              </w:rPr>
              <w:t xml:space="preserve">Test cycle complete; defects triaged and resolved.</w:t>
            </w:r>
          </w:p>
        </w:tc>
      </w:tr>
      <w:tr>
        <w:tc>
          <w:tcPr>
            <w:tcW w:type="dxa" w:w="2253"/>
            <w:tcMar>
              <w:top w:type="dxa" w:w="70"/>
              <w:left w:type="dxa" w:w="90"/>
              <w:bottom w:type="dxa" w:w="70"/>
              <w:right w:type="dxa" w:w="90"/>
            </w:tcMar>
            <w:vAlign w:val="top"/>
          </w:tcPr>
          <w:p>
            <w:r>
              <w:rPr>
                <w:b/>
                <w:bCs/>
                <w:color w:val="000000"/>
                <w:sz w:val="16"/>
                <w:szCs w:val="16"/>
              </w:rPr>
              <w:t xml:space="preserve">4. Training and User Acceptance</w:t>
            </w:r>
          </w:p>
        </w:tc>
        <w:tc>
          <w:tcPr>
            <w:tcW w:type="dxa" w:w="1024"/>
            <w:tcMar>
              <w:top w:type="dxa" w:w="70"/>
              <w:left w:type="dxa" w:w="90"/>
              <w:bottom w:type="dxa" w:w="70"/>
              <w:right w:type="dxa" w:w="90"/>
            </w:tcMar>
            <w:vAlign w:val="top"/>
          </w:tcPr>
          <w:p>
            <w:r>
              <w:rPr>
                <w:b w:val="false"/>
                <w:bCs w:val="false"/>
                <w:color w:val="000000"/>
                <w:sz w:val="16"/>
                <w:szCs w:val="16"/>
              </w:rPr>
              <w:t xml:space="preserve">11</w:t>
            </w:r>
          </w:p>
        </w:tc>
        <w:tc>
          <w:tcPr>
            <w:tcW w:type="dxa" w:w="4301"/>
            <w:tcMar>
              <w:top w:type="dxa" w:w="70"/>
              <w:left w:type="dxa" w:w="90"/>
              <w:bottom w:type="dxa" w:w="70"/>
              <w:right w:type="dxa" w:w="90"/>
            </w:tcMar>
            <w:vAlign w:val="top"/>
          </w:tcPr>
          <w:p>
            <w:r>
              <w:rPr>
                <w:b w:val="false"/>
                <w:bCs w:val="false"/>
                <w:color w:val="000000"/>
                <w:sz w:val="16"/>
                <w:szCs w:val="16"/>
              </w:rPr>
              <w:t xml:space="preserve">Training-of-trainers delivery intensifies; user acceptance testing with state-level focal points; final governance sign-off.</w:t>
            </w:r>
          </w:p>
        </w:tc>
        <w:tc>
          <w:tcPr>
            <w:tcW w:type="dxa" w:w="2662"/>
            <w:tcMar>
              <w:top w:type="dxa" w:w="70"/>
              <w:left w:type="dxa" w:w="90"/>
              <w:bottom w:type="dxa" w:w="70"/>
              <w:right w:type="dxa" w:w="90"/>
            </w:tcMar>
            <w:vAlign w:val="top"/>
          </w:tcPr>
          <w:p>
            <w:r>
              <w:rPr>
                <w:b w:val="false"/>
                <w:bCs w:val="false"/>
                <w:color w:val="000000"/>
                <w:sz w:val="16"/>
                <w:szCs w:val="16"/>
              </w:rPr>
              <w:t xml:space="preserve">User acceptance confirmed; KM and ICT Units certified on core administration tasks.</w:t>
            </w:r>
          </w:p>
        </w:tc>
      </w:tr>
      <w:tr>
        <w:tc>
          <w:tcPr>
            <w:tcW w:type="dxa" w:w="2253"/>
            <w:tcMar>
              <w:top w:type="dxa" w:w="70"/>
              <w:left w:type="dxa" w:w="90"/>
              <w:bottom w:type="dxa" w:w="70"/>
              <w:right w:type="dxa" w:w="90"/>
            </w:tcMar>
            <w:vAlign w:val="top"/>
          </w:tcPr>
          <w:p>
            <w:r>
              <w:rPr>
                <w:b/>
                <w:bCs/>
                <w:color w:val="000000"/>
                <w:sz w:val="16"/>
                <w:szCs w:val="16"/>
              </w:rPr>
              <w:t xml:space="preserve">5. Go-Live and Handover</w:t>
            </w:r>
          </w:p>
        </w:tc>
        <w:tc>
          <w:tcPr>
            <w:tcW w:type="dxa" w:w="1024"/>
            <w:tcMar>
              <w:top w:type="dxa" w:w="70"/>
              <w:left w:type="dxa" w:w="90"/>
              <w:bottom w:type="dxa" w:w="70"/>
              <w:right w:type="dxa" w:w="90"/>
            </w:tcMar>
            <w:vAlign w:val="top"/>
          </w:tcPr>
          <w:p>
            <w:r>
              <w:rPr>
                <w:b w:val="false"/>
                <w:bCs w:val="false"/>
                <w:color w:val="000000"/>
                <w:sz w:val="16"/>
                <w:szCs w:val="16"/>
              </w:rPr>
              <w:t xml:space="preserve">12</w:t>
            </w:r>
          </w:p>
        </w:tc>
        <w:tc>
          <w:tcPr>
            <w:tcW w:type="dxa" w:w="4301"/>
            <w:tcMar>
              <w:top w:type="dxa" w:w="70"/>
              <w:left w:type="dxa" w:w="90"/>
              <w:bottom w:type="dxa" w:w="70"/>
              <w:right w:type="dxa" w:w="90"/>
            </w:tcMar>
            <w:vAlign w:val="top"/>
          </w:tcPr>
          <w:p>
            <w:r>
              <w:rPr>
                <w:b w:val="false"/>
                <w:bCs w:val="false"/>
                <w:color w:val="000000"/>
                <w:sz w:val="16"/>
                <w:szCs w:val="16"/>
              </w:rPr>
              <w:t xml:space="preserve">Production go-live; final reporting; documented handover package delivered (Section 11.12).</w:t>
            </w:r>
          </w:p>
        </w:tc>
        <w:tc>
          <w:tcPr>
            <w:tcW w:type="dxa" w:w="2662"/>
            <w:tcMar>
              <w:top w:type="dxa" w:w="70"/>
              <w:left w:type="dxa" w:w="90"/>
              <w:bottom w:type="dxa" w:w="70"/>
              <w:right w:type="dxa" w:w="90"/>
            </w:tcMar>
            <w:vAlign w:val="top"/>
          </w:tcPr>
          <w:p>
            <w:r>
              <w:rPr>
                <w:b w:val="false"/>
                <w:bCs w:val="false"/>
                <w:color w:val="000000"/>
                <w:sz w:val="16"/>
                <w:szCs w:val="16"/>
              </w:rPr>
              <w:t xml:space="preserve">Both systems live; handover package accepted by the National Programme Coordinator.</w:t>
            </w:r>
          </w:p>
        </w:tc>
      </w:tr>
    </w:tbl>
    <w:p>
      <w:pPr>
        <w:spacing w:after="100"/>
      </w:pPr>
    </w:p>
    <w:p>
      <w:pPr>
        <w:spacing w:after="160" w:line="264"/>
      </w:pPr>
      <w:r>
        <w:rPr>
          <w:i/>
          <w:iCs/>
          <w:color w:val="555555"/>
          <w:sz w:val="18"/>
          <w:szCs w:val="18"/>
        </w:rPr>
        <w:t xml:space="preserve">Continuous testing beginning in Week 3, rather than confined to the Weeks 9–10 window alone, is a deliberate risk-reduction measure already recommended in the Executive Advice Briefing — surfacing defects progressively rather than concentrating discovery risk into a single two-week window immediately before go-live.</w:t>
      </w:r>
    </w:p>
    <w:p>
      <w:pPr>
        <w:spacing w:after="160"/>
      </w:pPr>
    </w:p>
    <w:p>
      <w:pPr>
        <w:pStyle w:val="Heading1"/>
        <w:pBdr>
          <w:bottom w:val="single" w:color="1F3864" w:sz="6" w:space="4"/>
        </w:pBdr>
        <w:spacing w:after="130" w:before="320"/>
      </w:pPr>
      <w:r>
        <w:t xml:space="preserve">11.5 Quick Wins</w:t>
      </w:r>
    </w:p>
    <w:p>
      <w:pPr>
        <w:spacing w:after="150" w:line="276"/>
        <w:jc w:val="both"/>
      </w:pPr>
      <w:r>
        <w:t xml:space="preserve">Four quick wins deliver visible value inside the Phase 1 schedule itself, before the full twelve weeks are complete — important for maintaining stakeholder confidence across a programme spanning seven states and the FCT.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072"/>
        <w:gridCol w:w="1638"/>
        <w:gridCol w:w="5530"/>
      </w:tblGrid>
      <w:tr>
        <w:trPr>
          <w:tblHeader/>
        </w:trPr>
        <w:tc>
          <w:tcPr>
            <w:tcW w:type="dxa" w:w="3072"/>
            <w:shd w:fill="1F3864" w:val="clear"/>
            <w:tcMar>
              <w:top w:type="dxa" w:w="70"/>
              <w:left w:type="dxa" w:w="90"/>
              <w:bottom w:type="dxa" w:w="70"/>
              <w:right w:type="dxa" w:w="90"/>
            </w:tcMar>
            <w:vAlign w:val="top"/>
          </w:tcPr>
          <w:p>
            <w:r>
              <w:rPr>
                <w:b/>
                <w:bCs/>
                <w:color w:val="FFFFFF"/>
                <w:sz w:val="17"/>
                <w:szCs w:val="17"/>
              </w:rPr>
              <w:t xml:space="preserve">Quick Win</w:t>
            </w:r>
          </w:p>
        </w:tc>
        <w:tc>
          <w:tcPr>
            <w:tcW w:type="dxa" w:w="1638"/>
            <w:shd w:fill="1F3864" w:val="clear"/>
            <w:tcMar>
              <w:top w:type="dxa" w:w="70"/>
              <w:left w:type="dxa" w:w="90"/>
              <w:bottom w:type="dxa" w:w="70"/>
              <w:right w:type="dxa" w:w="90"/>
            </w:tcMar>
            <w:vAlign w:val="top"/>
          </w:tcPr>
          <w:p>
            <w:r>
              <w:rPr>
                <w:b/>
                <w:bCs/>
                <w:color w:val="FFFFFF"/>
                <w:sz w:val="17"/>
                <w:szCs w:val="17"/>
              </w:rPr>
              <w:t xml:space="preserve">Delivered By</w:t>
            </w:r>
          </w:p>
        </w:tc>
        <w:tc>
          <w:tcPr>
            <w:tcW w:type="dxa" w:w="5530"/>
            <w:shd w:fill="1F3864" w:val="clear"/>
            <w:tcMar>
              <w:top w:type="dxa" w:w="70"/>
              <w:left w:type="dxa" w:w="90"/>
              <w:bottom w:type="dxa" w:w="70"/>
              <w:right w:type="dxa" w:w="90"/>
            </w:tcMar>
            <w:vAlign w:val="top"/>
          </w:tcPr>
          <w:p>
            <w:r>
              <w:rPr>
                <w:b/>
                <w:bCs/>
                <w:color w:val="FFFFFF"/>
                <w:sz w:val="17"/>
                <w:szCs w:val="17"/>
              </w:rPr>
              <w:t xml:space="preserve">Value</w:t>
            </w:r>
          </w:p>
        </w:tc>
      </w:tr>
      <w:tr>
        <w:tc>
          <w:tcPr>
            <w:tcW w:type="dxa" w:w="3072"/>
            <w:tcMar>
              <w:top w:type="dxa" w:w="70"/>
              <w:left w:type="dxa" w:w="90"/>
              <w:bottom w:type="dxa" w:w="70"/>
              <w:right w:type="dxa" w:w="90"/>
            </w:tcMar>
            <w:vAlign w:val="top"/>
          </w:tcPr>
          <w:p>
            <w:r>
              <w:rPr>
                <w:b/>
                <w:bCs/>
                <w:color w:val="000000"/>
                <w:sz w:val="17"/>
                <w:szCs w:val="17"/>
              </w:rPr>
              <w:t xml:space="preserve">Governance Charter signed</w:t>
            </w:r>
          </w:p>
        </w:tc>
        <w:tc>
          <w:tcPr>
            <w:tcW w:type="dxa" w:w="1638"/>
            <w:tcMar>
              <w:top w:type="dxa" w:w="70"/>
              <w:left w:type="dxa" w:w="90"/>
              <w:bottom w:type="dxa" w:w="70"/>
              <w:right w:type="dxa" w:w="90"/>
            </w:tcMar>
            <w:vAlign w:val="top"/>
          </w:tcPr>
          <w:p>
            <w:r>
              <w:rPr>
                <w:b w:val="false"/>
                <w:bCs w:val="false"/>
                <w:color w:val="000000"/>
                <w:sz w:val="17"/>
                <w:szCs w:val="17"/>
              </w:rPr>
              <w:t xml:space="preserve">End of Week 2</w:t>
            </w:r>
          </w:p>
        </w:tc>
        <w:tc>
          <w:tcPr>
            <w:tcW w:type="dxa" w:w="5530"/>
            <w:tcMar>
              <w:top w:type="dxa" w:w="70"/>
              <w:left w:type="dxa" w:w="90"/>
              <w:bottom w:type="dxa" w:w="70"/>
              <w:right w:type="dxa" w:w="90"/>
            </w:tcMar>
            <w:vAlign w:val="top"/>
          </w:tcPr>
          <w:p>
            <w:r>
              <w:rPr>
                <w:b w:val="false"/>
                <w:bCs w:val="false"/>
                <w:color w:val="000000"/>
                <w:sz w:val="17"/>
                <w:szCs w:val="17"/>
              </w:rPr>
              <w:t xml:space="preserve">Immediately closes the single highest-leverage governance gap named in Section 2.10, independent of any system being built yet.</w:t>
            </w:r>
          </w:p>
        </w:tc>
      </w:tr>
      <w:tr>
        <w:tc>
          <w:tcPr>
            <w:tcW w:type="dxa" w:w="3072"/>
            <w:tcMar>
              <w:top w:type="dxa" w:w="70"/>
              <w:left w:type="dxa" w:w="90"/>
              <w:bottom w:type="dxa" w:w="70"/>
              <w:right w:type="dxa" w:w="90"/>
            </w:tcMar>
            <w:vAlign w:val="top"/>
          </w:tcPr>
          <w:p>
            <w:r>
              <w:rPr>
                <w:b/>
                <w:bCs/>
                <w:color w:val="000000"/>
                <w:sz w:val="17"/>
                <w:szCs w:val="17"/>
              </w:rPr>
              <w:t xml:space="preserve">Centralized document repository operational for priority content</w:t>
            </w:r>
          </w:p>
        </w:tc>
        <w:tc>
          <w:tcPr>
            <w:tcW w:type="dxa" w:w="1638"/>
            <w:tcMar>
              <w:top w:type="dxa" w:w="70"/>
              <w:left w:type="dxa" w:w="90"/>
              <w:bottom w:type="dxa" w:w="70"/>
              <w:right w:type="dxa" w:w="90"/>
            </w:tcMar>
            <w:vAlign w:val="top"/>
          </w:tcPr>
          <w:p>
            <w:r>
              <w:rPr>
                <w:b w:val="false"/>
                <w:bCs w:val="false"/>
                <w:color w:val="000000"/>
                <w:sz w:val="17"/>
                <w:szCs w:val="17"/>
              </w:rPr>
              <w:t xml:space="preserve">Week 8</w:t>
            </w:r>
          </w:p>
        </w:tc>
        <w:tc>
          <w:tcPr>
            <w:tcW w:type="dxa" w:w="5530"/>
            <w:tcMar>
              <w:top w:type="dxa" w:w="70"/>
              <w:left w:type="dxa" w:w="90"/>
              <w:bottom w:type="dxa" w:w="70"/>
              <w:right w:type="dxa" w:w="90"/>
            </w:tcMar>
            <w:vAlign w:val="top"/>
          </w:tcPr>
          <w:p>
            <w:r>
              <w:rPr>
                <w:b w:val="false"/>
                <w:bCs w:val="false"/>
                <w:color w:val="000000"/>
                <w:sz w:val="17"/>
                <w:szCs w:val="17"/>
              </w:rPr>
              <w:t xml:space="preserve">State teams gain a working system of record for Must Have content types (Section 3.2) before the full twelve weeks conclude.</w:t>
            </w:r>
          </w:p>
        </w:tc>
      </w:tr>
      <w:tr>
        <w:tc>
          <w:tcPr>
            <w:tcW w:type="dxa" w:w="3072"/>
            <w:tcMar>
              <w:top w:type="dxa" w:w="70"/>
              <w:left w:type="dxa" w:w="90"/>
              <w:bottom w:type="dxa" w:w="70"/>
              <w:right w:type="dxa" w:w="90"/>
            </w:tcMar>
            <w:vAlign w:val="top"/>
          </w:tcPr>
          <w:p>
            <w:r>
              <w:rPr>
                <w:b/>
                <w:bCs/>
                <w:color w:val="000000"/>
                <w:sz w:val="17"/>
                <w:szCs w:val="17"/>
              </w:rPr>
              <w:t xml:space="preserve">Baseline reporting live</w:t>
            </w:r>
          </w:p>
        </w:tc>
        <w:tc>
          <w:tcPr>
            <w:tcW w:type="dxa" w:w="1638"/>
            <w:tcMar>
              <w:top w:type="dxa" w:w="70"/>
              <w:left w:type="dxa" w:w="90"/>
              <w:bottom w:type="dxa" w:w="70"/>
              <w:right w:type="dxa" w:w="90"/>
            </w:tcMar>
            <w:vAlign w:val="top"/>
          </w:tcPr>
          <w:p>
            <w:r>
              <w:rPr>
                <w:b w:val="false"/>
                <w:bCs w:val="false"/>
                <w:color w:val="000000"/>
                <w:sz w:val="17"/>
                <w:szCs w:val="17"/>
              </w:rPr>
              <w:t xml:space="preserve">Week 10</w:t>
            </w:r>
          </w:p>
        </w:tc>
        <w:tc>
          <w:tcPr>
            <w:tcW w:type="dxa" w:w="5530"/>
            <w:tcMar>
              <w:top w:type="dxa" w:w="70"/>
              <w:left w:type="dxa" w:w="90"/>
              <w:bottom w:type="dxa" w:w="70"/>
              <w:right w:type="dxa" w:w="90"/>
            </w:tcMar>
            <w:vAlign w:val="top"/>
          </w:tcPr>
          <w:p>
            <w:r>
              <w:rPr>
                <w:b w:val="false"/>
                <w:bCs w:val="false"/>
                <w:color w:val="000000"/>
                <w:sz w:val="17"/>
                <w:szCs w:val="17"/>
              </w:rPr>
              <w:t xml:space="preserve">Templated, automated reports (Section 4.4) replace at least the highest-value manual reporting burden ahead of full Business Intelligence rollout.</w:t>
            </w:r>
          </w:p>
        </w:tc>
      </w:tr>
      <w:tr>
        <w:tc>
          <w:tcPr>
            <w:tcW w:type="dxa" w:w="3072"/>
            <w:tcMar>
              <w:top w:type="dxa" w:w="70"/>
              <w:left w:type="dxa" w:w="90"/>
              <w:bottom w:type="dxa" w:w="70"/>
              <w:right w:type="dxa" w:w="90"/>
            </w:tcMar>
            <w:vAlign w:val="top"/>
          </w:tcPr>
          <w:p>
            <w:r>
              <w:rPr>
                <w:b/>
                <w:bCs/>
                <w:color w:val="000000"/>
                <w:sz w:val="17"/>
                <w:szCs w:val="17"/>
              </w:rPr>
              <w:t xml:space="preserve">CKR public portal live with initial content</w:t>
            </w:r>
          </w:p>
        </w:tc>
        <w:tc>
          <w:tcPr>
            <w:tcW w:type="dxa" w:w="1638"/>
            <w:tcMar>
              <w:top w:type="dxa" w:w="70"/>
              <w:left w:type="dxa" w:w="90"/>
              <w:bottom w:type="dxa" w:w="70"/>
              <w:right w:type="dxa" w:w="90"/>
            </w:tcMar>
            <w:vAlign w:val="top"/>
          </w:tcPr>
          <w:p>
            <w:r>
              <w:rPr>
                <w:b w:val="false"/>
                <w:bCs w:val="false"/>
                <w:color w:val="000000"/>
                <w:sz w:val="17"/>
                <w:szCs w:val="17"/>
              </w:rPr>
              <w:t xml:space="preserve">Week 11</w:t>
            </w:r>
          </w:p>
        </w:tc>
        <w:tc>
          <w:tcPr>
            <w:tcW w:type="dxa" w:w="5530"/>
            <w:tcMar>
              <w:top w:type="dxa" w:w="70"/>
              <w:left w:type="dxa" w:w="90"/>
              <w:bottom w:type="dxa" w:w="70"/>
              <w:right w:type="dxa" w:w="90"/>
            </w:tcMar>
            <w:vAlign w:val="top"/>
          </w:tcPr>
          <w:p>
            <w:r>
              <w:rPr>
                <w:b w:val="false"/>
                <w:bCs w:val="false"/>
                <w:color w:val="000000"/>
                <w:sz w:val="17"/>
                <w:szCs w:val="17"/>
              </w:rPr>
              <w:t xml:space="preserve">Visible public-facing progress ahead of formal go-live, demonstrating the knowledge-sharing objective concretely rather than only in a final report.</w:t>
            </w:r>
          </w:p>
        </w:tc>
      </w:tr>
    </w:tbl>
    <w:p>
      <w:pPr>
        <w:spacing w:after="160"/>
      </w:pPr>
    </w:p>
    <w:p>
      <w:pPr>
        <w:pStyle w:val="Heading1"/>
        <w:pBdr>
          <w:bottom w:val="single" w:color="1F3864" w:sz="6" w:space="4"/>
        </w:pBdr>
        <w:spacing w:after="130" w:before="320"/>
      </w:pPr>
      <w:r>
        <w:t xml:space="preserve">11.6 Medium-Term Improvements (3–12 Months Post-Handover)</w:t>
      </w:r>
    </w:p>
    <w:p>
      <w:pPr>
        <w:spacing w:after="150" w:line="276"/>
        <w:jc w:val="both"/>
      </w:pPr>
      <w:r>
        <w:t xml:space="preserve">Three medium-term improvements complete what the fixed twelve-week schedule could reasonably prioritize but not necessarily finish in full: complete migration coverage for every legacy document, not only the prioritized Must Have subset (Section 6.8), pursued as KM and ICT Units' own operating capacity allows; the full analytics dashboard suite maturing beyond the Phase 1 reporting baseline (Section 4.4), as the KPI dataset accumulates sufficient history to make deeper trend analysis meaningful; and every capability in the Section 11.3 target-maturity table advancing from Level 2 toward Level 3, tracked through the same Capability Heat Map structure rather than a new measurement framework.</w:t>
      </w:r>
    </w:p>
    <w:p>
      <w:pPr>
        <w:pStyle w:val="Heading1"/>
        <w:pBdr>
          <w:bottom w:val="single" w:color="1F3864" w:sz="6" w:space="4"/>
        </w:pBdr>
        <w:spacing w:after="130" w:before="320"/>
      </w:pPr>
      <w:r>
        <w:t xml:space="preserve">11.7 Long-Term Vision (12+ Months)</w:t>
      </w:r>
    </w:p>
    <w:p>
      <w:pPr>
        <w:spacing w:after="150" w:line="276"/>
        <w:jc w:val="both"/>
      </w:pPr>
      <w:r>
        <w:t xml:space="preserve">The long-term vision is the Phase 2 roadmap already specified in detail across this Blueprint, brought together here as a single forward view: the AI capability roadmap fixed in Section 9, sequenced by the priority already assigned there (Semantic Search, Automatic Classification, and Predictive Analytics as High priority; the AI Assistant deliberately last, given its cautious, phased rollout requirement); the Knowledge Graph strategy fixed in Section 5.15, built on the ontology Phase 1 content capture already makes graph-ready; and any Future ERP, MIS, or M&amp;E system integration named as a placeholder in Section 7.4, pursued only if and when a specific system is actually identified, never spec'd speculatively ahead of that need. The long-term vision is intentionally not a fixed commitment with dates — it is a prioritized option set the National Programme Coordinator and KMC draw from as programme needs and budget allow, exactly the posture the Solution Strategy itself recommended for capability outside the TOR's explicit scope.</w:t>
      </w:r>
    </w:p>
    <w:p>
      <w:pPr>
        <w:pStyle w:val="Heading1"/>
        <w:pBdr>
          <w:bottom w:val="single" w:color="1F3864" w:sz="6" w:space="4"/>
        </w:pBdr>
        <w:spacing w:after="130" w:before="320"/>
      </w:pPr>
      <w:r>
        <w:t xml:space="preserve">11.8 Transformation Governance</w:t>
      </w:r>
    </w:p>
    <w:p>
      <w:pPr>
        <w:spacing w:after="150" w:line="276"/>
        <w:jc w:val="both"/>
      </w:pPr>
      <w:r>
        <w:t xml:space="preserve">The roadmap does not introduce a separate governance structure from the rest of this Blueprint. The Enterprise Architecture Review Board (Section 1.7) reviews roadmap progress at each phase milestone fixed in Section 11.4; the KMC and National Programme Coordinator, already holding joint accountability for the Governance Charter (Section 2.10), extend that same accountability to roadmap execution; and any decision to advance a Phase 2 item from the Section 11.7 option set into active development requires the same Decision Register entry and Review Board approval already required for any architecture change (Section 7.6, Section 8.12).</w:t>
      </w:r>
    </w:p>
    <w:p>
      <w:pPr>
        <w:pStyle w:val="Heading1"/>
        <w:pBdr>
          <w:bottom w:val="single" w:color="1F3864" w:sz="6" w:space="4"/>
        </w:pBdr>
        <w:spacing w:after="130" w:before="320"/>
      </w:pPr>
      <w:r>
        <w:t xml:space="preserve">11.9 Change Management</w:t>
      </w:r>
    </w:p>
    <w:p>
      <w:pPr>
        <w:spacing w:after="150" w:line="276"/>
        <w:jc w:val="both"/>
      </w:pPr>
      <w:r>
        <w:t xml:space="preserve">Change management addresses the TOR's own named adoption-resistance risk directly, through three coordinated mechanisms rather than a single training event. First, embedded workflow design: collaboration and review features live inside the document and workflow lifecycle users are already in (Section 4.3, module 9), reducing the friction of adopting a separate, unfamiliar tool. Second, phased rather than big-bang rollout: the Quick Wins sequence (Section 11.5) gives state teams working functionality incrementally across Weeks 8 through 12, rather than a single Week 12 cutover with no prior exposure. Third, visible executive sponsorship: the Governance Charter's Week 2 signature by the National Programme Coordinator and KMC signals institutional commitment to state teams from the earliest point in the engagement, not only at go-live.</w:t>
      </w:r>
    </w:p>
    <w:p>
      <w:pPr>
        <w:pStyle w:val="Heading1"/>
        <w:pBdr>
          <w:bottom w:val="single" w:color="1F3864" w:sz="6" w:space="4"/>
        </w:pBdr>
        <w:spacing w:after="130" w:before="320"/>
      </w:pPr>
      <w:r>
        <w:t xml:space="preserve">11.10 Capacity Building</w:t>
      </w:r>
    </w:p>
    <w:p>
      <w:pPr>
        <w:spacing w:after="150" w:line="276"/>
        <w:jc w:val="both"/>
      </w:pPr>
      <w:r>
        <w:t xml:space="preserve">Capacity building is measured against the same Capability Heat Map (Section 2.4) used throughout this Blueprint, tracked at three checkpoints rather than asserted as a single end-state claim.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58"/>
        <w:gridCol w:w="7782"/>
      </w:tblGrid>
      <w:tr>
        <w:trPr>
          <w:tblHeader/>
        </w:trPr>
        <w:tc>
          <w:tcPr>
            <w:tcW w:type="dxa" w:w="2458"/>
            <w:shd w:fill="1F3864" w:val="clear"/>
            <w:tcMar>
              <w:top w:type="dxa" w:w="70"/>
              <w:left w:type="dxa" w:w="90"/>
              <w:bottom w:type="dxa" w:w="70"/>
              <w:right w:type="dxa" w:w="90"/>
            </w:tcMar>
            <w:vAlign w:val="top"/>
          </w:tcPr>
          <w:p>
            <w:r>
              <w:rPr>
                <w:b/>
                <w:bCs/>
                <w:color w:val="FFFFFF"/>
                <w:sz w:val="17"/>
                <w:szCs w:val="17"/>
              </w:rPr>
              <w:t xml:space="preserve">Checkpoint</w:t>
            </w:r>
          </w:p>
        </w:tc>
        <w:tc>
          <w:tcPr>
            <w:tcW w:type="dxa" w:w="7782"/>
            <w:shd w:fill="1F3864" w:val="clear"/>
            <w:tcMar>
              <w:top w:type="dxa" w:w="70"/>
              <w:left w:type="dxa" w:w="90"/>
              <w:bottom w:type="dxa" w:w="70"/>
              <w:right w:type="dxa" w:w="90"/>
            </w:tcMar>
            <w:vAlign w:val="top"/>
          </w:tcPr>
          <w:p>
            <w:r>
              <w:rPr>
                <w:b/>
                <w:bCs/>
                <w:color w:val="FFFFFF"/>
                <w:sz w:val="17"/>
                <w:szCs w:val="17"/>
              </w:rPr>
              <w:t xml:space="preserve">Expected State</w:t>
            </w:r>
          </w:p>
        </w:tc>
      </w:tr>
      <w:tr>
        <w:tc>
          <w:tcPr>
            <w:tcW w:type="dxa" w:w="2458"/>
            <w:tcMar>
              <w:top w:type="dxa" w:w="70"/>
              <w:left w:type="dxa" w:w="90"/>
              <w:bottom w:type="dxa" w:w="70"/>
              <w:right w:type="dxa" w:w="90"/>
            </w:tcMar>
            <w:vAlign w:val="top"/>
          </w:tcPr>
          <w:p>
            <w:r>
              <w:rPr>
                <w:b/>
                <w:bCs/>
                <w:color w:val="000000"/>
                <w:sz w:val="17"/>
                <w:szCs w:val="17"/>
              </w:rPr>
              <w:t xml:space="preserve">Go-Live (Week 12)</w:t>
            </w:r>
          </w:p>
        </w:tc>
        <w:tc>
          <w:tcPr>
            <w:tcW w:type="dxa" w:w="7782"/>
            <w:tcMar>
              <w:top w:type="dxa" w:w="70"/>
              <w:left w:type="dxa" w:w="90"/>
              <w:bottom w:type="dxa" w:w="70"/>
              <w:right w:type="dxa" w:w="90"/>
            </w:tcMar>
            <w:vAlign w:val="top"/>
          </w:tcPr>
          <w:p>
            <w:r>
              <w:rPr>
                <w:b w:val="false"/>
                <w:bCs w:val="false"/>
                <w:color w:val="000000"/>
                <w:sz w:val="17"/>
                <w:szCs w:val="17"/>
              </w:rPr>
              <w:t xml:space="preserve">Every capability at Level 2 or above; KM and ICT Units certified on core administration tasks (Section 11.4, Phase 4); Content Lifecycle Management and Reporting &amp; Analytics already at Level 3.</w:t>
            </w:r>
          </w:p>
        </w:tc>
      </w:tr>
      <w:tr>
        <w:tc>
          <w:tcPr>
            <w:tcW w:type="dxa" w:w="2458"/>
            <w:tcMar>
              <w:top w:type="dxa" w:w="70"/>
              <w:left w:type="dxa" w:w="90"/>
              <w:bottom w:type="dxa" w:w="70"/>
              <w:right w:type="dxa" w:w="90"/>
            </w:tcMar>
            <w:vAlign w:val="top"/>
          </w:tcPr>
          <w:p>
            <w:r>
              <w:rPr>
                <w:b/>
                <w:bCs/>
                <w:color w:val="000000"/>
                <w:sz w:val="17"/>
                <w:szCs w:val="17"/>
              </w:rPr>
              <w:t xml:space="preserve">6 Months Post-Handover</w:t>
            </w:r>
          </w:p>
        </w:tc>
        <w:tc>
          <w:tcPr>
            <w:tcW w:type="dxa" w:w="7782"/>
            <w:tcMar>
              <w:top w:type="dxa" w:w="70"/>
              <w:left w:type="dxa" w:w="90"/>
              <w:bottom w:type="dxa" w:w="70"/>
              <w:right w:type="dxa" w:w="90"/>
            </w:tcMar>
            <w:vAlign w:val="top"/>
          </w:tcPr>
          <w:p>
            <w:r>
              <w:rPr>
                <w:b w:val="false"/>
                <w:bCs w:val="false"/>
                <w:color w:val="000000"/>
                <w:sz w:val="17"/>
                <w:szCs w:val="17"/>
              </w:rPr>
              <w:t xml:space="preserve">KM and ICT Units operating Workflow Orchestration, Knowledge Curation, and Platform Administration independently, with consultant support fully withdrawn per the documented handover boundary (Section 3.2 Won't Have).</w:t>
            </w:r>
          </w:p>
        </w:tc>
      </w:tr>
      <w:tr>
        <w:tc>
          <w:tcPr>
            <w:tcW w:type="dxa" w:w="2458"/>
            <w:tcMar>
              <w:top w:type="dxa" w:w="70"/>
              <w:left w:type="dxa" w:w="90"/>
              <w:bottom w:type="dxa" w:w="70"/>
              <w:right w:type="dxa" w:w="90"/>
            </w:tcMar>
            <w:vAlign w:val="top"/>
          </w:tcPr>
          <w:p>
            <w:r>
              <w:rPr>
                <w:b/>
                <w:bCs/>
                <w:color w:val="000000"/>
                <w:sz w:val="17"/>
                <w:szCs w:val="17"/>
              </w:rPr>
              <w:t xml:space="preserve">12 Months Post-Handover</w:t>
            </w:r>
          </w:p>
        </w:tc>
        <w:tc>
          <w:tcPr>
            <w:tcW w:type="dxa" w:w="7782"/>
            <w:tcMar>
              <w:top w:type="dxa" w:w="70"/>
              <w:left w:type="dxa" w:w="90"/>
              <w:bottom w:type="dxa" w:w="70"/>
              <w:right w:type="dxa" w:w="90"/>
            </w:tcMar>
            <w:vAlign w:val="top"/>
          </w:tcPr>
          <w:p>
            <w:r>
              <w:rPr>
                <w:b w:val="false"/>
                <w:bCs w:val="false"/>
                <w:color w:val="000000"/>
                <w:sz w:val="17"/>
                <w:szCs w:val="17"/>
              </w:rPr>
              <w:t xml:space="preserve">All nine capabilities at Level 3; the medium-term improvements in Section 11.6 substantially complete; the client positioned to make an informed, evidence-based decision on which Section 11.7 long-term items to pursue next.</w:t>
            </w:r>
          </w:p>
        </w:tc>
      </w:tr>
    </w:tbl>
    <w:p>
      <w:pPr>
        <w:spacing w:after="160"/>
      </w:pPr>
    </w:p>
    <w:p>
      <w:pPr>
        <w:pStyle w:val="Heading1"/>
        <w:pBdr>
          <w:bottom w:val="single" w:color="1F3864" w:sz="6" w:space="4"/>
        </w:pBdr>
        <w:spacing w:after="130" w:before="320"/>
      </w:pPr>
      <w:r>
        <w:t xml:space="preserve">11.11 Training</w:t>
      </w:r>
    </w:p>
    <w:p>
      <w:pPr>
        <w:spacing w:after="150" w:line="276"/>
        <w:jc w:val="both"/>
      </w:pPr>
      <w:r>
        <w:t xml:space="preserve">Training follows the progressive, training-of-trainers model already specified functionally in Section 4.6 and adopted as an explicit recommendation from the Executive Advice Briefing: content is authored and released alongside each build phase in Section 11.4, not compressed into Week 11 alongside user acceptance testing. By Week 12, KM and ICT Units hold certified training-of-trainers status, positioning them — not the consultant — as the ongoing training resource for state teams after handover, directly serving the sustainability requirement running through this entire Blueprint.</w:t>
      </w:r>
    </w:p>
    <w:p>
      <w:pPr>
        <w:pStyle w:val="Heading1"/>
        <w:pBdr>
          <w:bottom w:val="single" w:color="1F3864" w:sz="6" w:space="4"/>
        </w:pBdr>
        <w:spacing w:after="130" w:before="320"/>
      </w:pPr>
      <w:r>
        <w:t xml:space="preserve">11.12 Knowledge Transfer</w:t>
      </w:r>
    </w:p>
    <w:p>
      <w:pPr>
        <w:spacing w:after="150" w:line="276"/>
        <w:jc w:val="both"/>
      </w:pPr>
      <w:r>
        <w:t xml:space="preserve">Knowledge transfer produces a specific, named set of artefacts at handover — the documented boundary that distinguishes a proper handover from the 'permanent operational support' this engagement explicitly does not commit to (Section 3.2 Won't Have).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7373"/>
      </w:tblGrid>
      <w:tr>
        <w:trPr>
          <w:tblHeader/>
        </w:trPr>
        <w:tc>
          <w:tcPr>
            <w:tcW w:type="dxa" w:w="2867"/>
            <w:shd w:fill="1F3864" w:val="clear"/>
            <w:tcMar>
              <w:top w:type="dxa" w:w="70"/>
              <w:left w:type="dxa" w:w="90"/>
              <w:bottom w:type="dxa" w:w="70"/>
              <w:right w:type="dxa" w:w="90"/>
            </w:tcMar>
            <w:vAlign w:val="top"/>
          </w:tcPr>
          <w:p>
            <w:r>
              <w:rPr>
                <w:b/>
                <w:bCs/>
                <w:color w:val="FFFFFF"/>
                <w:sz w:val="17"/>
                <w:szCs w:val="17"/>
              </w:rPr>
              <w:t xml:space="preserve">Artefact</w:t>
            </w:r>
          </w:p>
        </w:tc>
        <w:tc>
          <w:tcPr>
            <w:tcW w:type="dxa" w:w="7373"/>
            <w:shd w:fill="1F3864" w:val="clear"/>
            <w:tcMar>
              <w:top w:type="dxa" w:w="70"/>
              <w:left w:type="dxa" w:w="90"/>
              <w:bottom w:type="dxa" w:w="70"/>
              <w:right w:type="dxa" w:w="90"/>
            </w:tcMar>
            <w:vAlign w:val="top"/>
          </w:tcPr>
          <w:p>
            <w:r>
              <w:rPr>
                <w:b/>
                <w:bCs/>
                <w:color w:val="FFFFFF"/>
                <w:sz w:val="17"/>
                <w:szCs w:val="17"/>
              </w:rPr>
              <w:t xml:space="preserve">Purpose</w:t>
            </w:r>
          </w:p>
        </w:tc>
      </w:tr>
      <w:tr>
        <w:tc>
          <w:tcPr>
            <w:tcW w:type="dxa" w:w="2867"/>
            <w:tcMar>
              <w:top w:type="dxa" w:w="70"/>
              <w:left w:type="dxa" w:w="90"/>
              <w:bottom w:type="dxa" w:w="70"/>
              <w:right w:type="dxa" w:w="90"/>
            </w:tcMar>
            <w:vAlign w:val="top"/>
          </w:tcPr>
          <w:p>
            <w:r>
              <w:rPr>
                <w:b/>
                <w:bCs/>
                <w:color w:val="000000"/>
                <w:sz w:val="17"/>
                <w:szCs w:val="17"/>
              </w:rPr>
              <w:t xml:space="preserve">Administration runbooks</w:t>
            </w:r>
          </w:p>
        </w:tc>
        <w:tc>
          <w:tcPr>
            <w:tcW w:type="dxa" w:w="7373"/>
            <w:tcMar>
              <w:top w:type="dxa" w:w="70"/>
              <w:left w:type="dxa" w:w="90"/>
              <w:bottom w:type="dxa" w:w="70"/>
              <w:right w:type="dxa" w:w="90"/>
            </w:tcMar>
            <w:vAlign w:val="top"/>
          </w:tcPr>
          <w:p>
            <w:r>
              <w:rPr>
                <w:b w:val="false"/>
                <w:bCs w:val="false"/>
                <w:color w:val="000000"/>
                <w:sz w:val="17"/>
                <w:szCs w:val="17"/>
              </w:rPr>
              <w:t xml:space="preserve">Step-by-step operational procedures for the tasks KM and ICT Units must perform — user provisioning, taxonomy updates, backup verification — mapped directly to the Administration and Identity Management modules (Section 4.5).</w:t>
            </w:r>
          </w:p>
        </w:tc>
      </w:tr>
      <w:tr>
        <w:tc>
          <w:tcPr>
            <w:tcW w:type="dxa" w:w="2867"/>
            <w:tcMar>
              <w:top w:type="dxa" w:w="70"/>
              <w:left w:type="dxa" w:w="90"/>
              <w:bottom w:type="dxa" w:w="70"/>
              <w:right w:type="dxa" w:w="90"/>
            </w:tcMar>
            <w:vAlign w:val="top"/>
          </w:tcPr>
          <w:p>
            <w:r>
              <w:rPr>
                <w:b/>
                <w:bCs/>
                <w:color w:val="000000"/>
                <w:sz w:val="17"/>
                <w:szCs w:val="17"/>
              </w:rPr>
              <w:t xml:space="preserve">Architecture and configuration documentation</w:t>
            </w:r>
          </w:p>
        </w:tc>
        <w:tc>
          <w:tcPr>
            <w:tcW w:type="dxa" w:w="7373"/>
            <w:tcMar>
              <w:top w:type="dxa" w:w="70"/>
              <w:left w:type="dxa" w:w="90"/>
              <w:bottom w:type="dxa" w:w="70"/>
              <w:right w:type="dxa" w:w="90"/>
            </w:tcMar>
            <w:vAlign w:val="top"/>
          </w:tcPr>
          <w:p>
            <w:r>
              <w:rPr>
                <w:b w:val="false"/>
                <w:bCs w:val="false"/>
                <w:color w:val="000000"/>
                <w:sz w:val="17"/>
                <w:szCs w:val="17"/>
              </w:rPr>
              <w:t xml:space="preserve">This Blueprint itself, together with the as-built configuration record of every decision made during Weeks 1–12, so future decisions build on documented reasoning rather than institutional memory alone.</w:t>
            </w:r>
          </w:p>
        </w:tc>
      </w:tr>
      <w:tr>
        <w:tc>
          <w:tcPr>
            <w:tcW w:type="dxa" w:w="2867"/>
            <w:tcMar>
              <w:top w:type="dxa" w:w="70"/>
              <w:left w:type="dxa" w:w="90"/>
              <w:bottom w:type="dxa" w:w="70"/>
              <w:right w:type="dxa" w:w="90"/>
            </w:tcMar>
            <w:vAlign w:val="top"/>
          </w:tcPr>
          <w:p>
            <w:r>
              <w:rPr>
                <w:b/>
                <w:bCs/>
                <w:color w:val="000000"/>
                <w:sz w:val="17"/>
                <w:szCs w:val="17"/>
              </w:rPr>
              <w:t xml:space="preserve">Incident and support playbooks</w:t>
            </w:r>
          </w:p>
        </w:tc>
        <w:tc>
          <w:tcPr>
            <w:tcW w:type="dxa" w:w="7373"/>
            <w:tcMar>
              <w:top w:type="dxa" w:w="70"/>
              <w:left w:type="dxa" w:w="90"/>
              <w:bottom w:type="dxa" w:w="70"/>
              <w:right w:type="dxa" w:w="90"/>
            </w:tcMar>
            <w:vAlign w:val="top"/>
          </w:tcPr>
          <w:p>
            <w:r>
              <w:rPr>
                <w:b w:val="false"/>
                <w:bCs w:val="false"/>
                <w:color w:val="000000"/>
                <w:sz w:val="17"/>
                <w:szCs w:val="17"/>
              </w:rPr>
              <w:t xml:space="preserve">Procedures for the Support and Help Desk modules (Section 4.6), including the severity-tiered escalation paths fixed in Section 8.9.</w:t>
            </w:r>
          </w:p>
        </w:tc>
      </w:tr>
      <w:tr>
        <w:tc>
          <w:tcPr>
            <w:tcW w:type="dxa" w:w="2867"/>
            <w:tcMar>
              <w:top w:type="dxa" w:w="70"/>
              <w:left w:type="dxa" w:w="90"/>
              <w:bottom w:type="dxa" w:w="70"/>
              <w:right w:type="dxa" w:w="90"/>
            </w:tcMar>
            <w:vAlign w:val="top"/>
          </w:tcPr>
          <w:p>
            <w:r>
              <w:rPr>
                <w:b/>
                <w:bCs/>
                <w:color w:val="000000"/>
                <w:sz w:val="17"/>
                <w:szCs w:val="17"/>
              </w:rPr>
              <w:t xml:space="preserve">Training-of-trainers materials</w:t>
            </w:r>
          </w:p>
        </w:tc>
        <w:tc>
          <w:tcPr>
            <w:tcW w:type="dxa" w:w="7373"/>
            <w:tcMar>
              <w:top w:type="dxa" w:w="70"/>
              <w:left w:type="dxa" w:w="90"/>
              <w:bottom w:type="dxa" w:w="70"/>
              <w:right w:type="dxa" w:w="90"/>
            </w:tcMar>
            <w:vAlign w:val="top"/>
          </w:tcPr>
          <w:p>
            <w:r>
              <w:rPr>
                <w:b w:val="false"/>
                <w:bCs w:val="false"/>
                <w:color w:val="000000"/>
                <w:sz w:val="17"/>
                <w:szCs w:val="17"/>
              </w:rPr>
              <w:t xml:space="preserve">The accumulated content from Section 11.11, left with KM and ICT Units as a reusable asset, not a one-time delivery.</w:t>
            </w:r>
          </w:p>
        </w:tc>
      </w:tr>
    </w:tbl>
    <w:p>
      <w:pPr>
        <w:spacing w:after="100"/>
      </w:pPr>
    </w:p>
    <w:p>
      <w:pPr>
        <w:spacing w:after="160" w:line="264"/>
      </w:pPr>
      <w:r>
        <w:rPr>
          <w:i/>
          <w:iCs/>
          <w:color w:val="555555"/>
          <w:sz w:val="18"/>
          <w:szCs w:val="18"/>
        </w:rPr>
        <w:t xml:space="preserve">A formal handover sign-off, endorsed by the National Programme Coordinator and countersigned by the KMC, confirms receipt and acceptance of every artefact above — the same signed-instrument discipline already applied to the Governance Charter (Section 2.10), applied here to the handover itself.</w:t>
      </w:r>
    </w:p>
    <w:p>
      <w:pPr>
        <w:spacing w:after="160"/>
      </w:pPr>
    </w:p>
    <w:p>
      <w:pPr>
        <w:pStyle w:val="Heading1"/>
        <w:pBdr>
          <w:bottom w:val="single" w:color="1F3864" w:sz="6" w:space="4"/>
        </w:pBdr>
        <w:spacing w:after="130" w:before="320"/>
      </w:pPr>
      <w:r>
        <w:t xml:space="preserve">11.13 Success Metrics</w:t>
      </w:r>
    </w:p>
    <w:p>
      <w:pPr>
        <w:spacing w:after="150" w:line="276"/>
        <w:jc w:val="both"/>
      </w:pPr>
      <w:r>
        <w:t xml:space="preserve">Five roadmap-level metrics track transformation progress, distinct from but complementary to the TOR's own Section 10 KPI set already embedded throughout the Reporting and Analytics modules (Section 4.4).</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7578"/>
      </w:tblGrid>
      <w:tr>
        <w:trPr>
          <w:tblHeader/>
        </w:trPr>
        <w:tc>
          <w:tcPr>
            <w:tcW w:type="dxa" w:w="2662"/>
            <w:shd w:fill="1F3864" w:val="clear"/>
            <w:tcMar>
              <w:top w:type="dxa" w:w="70"/>
              <w:left w:type="dxa" w:w="90"/>
              <w:bottom w:type="dxa" w:w="70"/>
              <w:right w:type="dxa" w:w="90"/>
            </w:tcMar>
            <w:vAlign w:val="top"/>
          </w:tcPr>
          <w:p>
            <w:r>
              <w:rPr>
                <w:b/>
                <w:bCs/>
                <w:color w:val="FFFFFF"/>
                <w:sz w:val="17"/>
                <w:szCs w:val="17"/>
              </w:rPr>
              <w:t xml:space="preserve">Metric</w:t>
            </w:r>
          </w:p>
        </w:tc>
        <w:tc>
          <w:tcPr>
            <w:tcW w:type="dxa" w:w="7578"/>
            <w:shd w:fill="1F3864" w:val="clear"/>
            <w:tcMar>
              <w:top w:type="dxa" w:w="70"/>
              <w:left w:type="dxa" w:w="90"/>
              <w:bottom w:type="dxa" w:w="70"/>
              <w:right w:type="dxa" w:w="90"/>
            </w:tcMar>
            <w:vAlign w:val="top"/>
          </w:tcPr>
          <w:p>
            <w:r>
              <w:rPr>
                <w:b/>
                <w:bCs/>
                <w:color w:val="FFFFFF"/>
                <w:sz w:val="17"/>
                <w:szCs w:val="17"/>
              </w:rPr>
              <w:t xml:space="preserve">Target</w:t>
            </w:r>
          </w:p>
        </w:tc>
      </w:tr>
      <w:tr>
        <w:tc>
          <w:tcPr>
            <w:tcW w:type="dxa" w:w="2662"/>
            <w:tcMar>
              <w:top w:type="dxa" w:w="70"/>
              <w:left w:type="dxa" w:w="90"/>
              <w:bottom w:type="dxa" w:w="70"/>
              <w:right w:type="dxa" w:w="90"/>
            </w:tcMar>
            <w:vAlign w:val="top"/>
          </w:tcPr>
          <w:p>
            <w:r>
              <w:rPr>
                <w:b/>
                <w:bCs/>
                <w:color w:val="000000"/>
                <w:sz w:val="17"/>
                <w:szCs w:val="17"/>
              </w:rPr>
              <w:t xml:space="preserve">Capability maturity</w:t>
            </w:r>
          </w:p>
        </w:tc>
        <w:tc>
          <w:tcPr>
            <w:tcW w:type="dxa" w:w="7578"/>
            <w:tcMar>
              <w:top w:type="dxa" w:w="70"/>
              <w:left w:type="dxa" w:w="90"/>
              <w:bottom w:type="dxa" w:w="70"/>
              <w:right w:type="dxa" w:w="90"/>
            </w:tcMar>
            <w:vAlign w:val="top"/>
          </w:tcPr>
          <w:p>
            <w:r>
              <w:rPr>
                <w:b w:val="false"/>
                <w:bCs w:val="false"/>
                <w:color w:val="000000"/>
                <w:sz w:val="17"/>
                <w:szCs w:val="17"/>
              </w:rPr>
              <w:t xml:space="preserve">100% of capabilities at Level 2 or above by go-live; 100% at Level 3 by 12 months post-handover.</w:t>
            </w:r>
          </w:p>
        </w:tc>
      </w:tr>
      <w:tr>
        <w:tc>
          <w:tcPr>
            <w:tcW w:type="dxa" w:w="2662"/>
            <w:tcMar>
              <w:top w:type="dxa" w:w="70"/>
              <w:left w:type="dxa" w:w="90"/>
              <w:bottom w:type="dxa" w:w="70"/>
              <w:right w:type="dxa" w:w="90"/>
            </w:tcMar>
            <w:vAlign w:val="top"/>
          </w:tcPr>
          <w:p>
            <w:r>
              <w:rPr>
                <w:b/>
                <w:bCs/>
                <w:color w:val="000000"/>
                <w:sz w:val="17"/>
                <w:szCs w:val="17"/>
              </w:rPr>
              <w:t xml:space="preserve">Legacy content migration coverage</w:t>
            </w:r>
          </w:p>
        </w:tc>
        <w:tc>
          <w:tcPr>
            <w:tcW w:type="dxa" w:w="7578"/>
            <w:tcMar>
              <w:top w:type="dxa" w:w="70"/>
              <w:left w:type="dxa" w:w="90"/>
              <w:bottom w:type="dxa" w:w="70"/>
              <w:right w:type="dxa" w:w="90"/>
            </w:tcMar>
            <w:vAlign w:val="top"/>
          </w:tcPr>
          <w:p>
            <w:r>
              <w:rPr>
                <w:b w:val="false"/>
                <w:bCs w:val="false"/>
                <w:color w:val="000000"/>
                <w:sz w:val="17"/>
                <w:szCs w:val="17"/>
              </w:rPr>
              <w:t xml:space="preserve">Must Have priority subset migrated by go-live; full legacy coverage by 12 months post-handover.</w:t>
            </w:r>
          </w:p>
        </w:tc>
      </w:tr>
      <w:tr>
        <w:tc>
          <w:tcPr>
            <w:tcW w:type="dxa" w:w="2662"/>
            <w:tcMar>
              <w:top w:type="dxa" w:w="70"/>
              <w:left w:type="dxa" w:w="90"/>
              <w:bottom w:type="dxa" w:w="70"/>
              <w:right w:type="dxa" w:w="90"/>
            </w:tcMar>
            <w:vAlign w:val="top"/>
          </w:tcPr>
          <w:p>
            <w:r>
              <w:rPr>
                <w:b/>
                <w:bCs/>
                <w:color w:val="000000"/>
                <w:sz w:val="17"/>
                <w:szCs w:val="17"/>
              </w:rPr>
              <w:t xml:space="preserve">User adoption</w:t>
            </w:r>
          </w:p>
        </w:tc>
        <w:tc>
          <w:tcPr>
            <w:tcW w:type="dxa" w:w="7578"/>
            <w:tcMar>
              <w:top w:type="dxa" w:w="70"/>
              <w:left w:type="dxa" w:w="90"/>
              <w:bottom w:type="dxa" w:w="70"/>
              <w:right w:type="dxa" w:w="90"/>
            </w:tcMar>
            <w:vAlign w:val="top"/>
          </w:tcPr>
          <w:p>
            <w:r>
              <w:rPr>
                <w:b w:val="false"/>
                <w:bCs w:val="false"/>
                <w:color w:val="000000"/>
                <w:sz w:val="17"/>
                <w:szCs w:val="17"/>
              </w:rPr>
              <w:t xml:space="preserve">Active use by named focal points across all seven states and the FCT within 90 days of go-live, directly answering the TOR's own adoption-resistance risk.</w:t>
            </w:r>
          </w:p>
        </w:tc>
      </w:tr>
      <w:tr>
        <w:tc>
          <w:tcPr>
            <w:tcW w:type="dxa" w:w="2662"/>
            <w:tcMar>
              <w:top w:type="dxa" w:w="70"/>
              <w:left w:type="dxa" w:w="90"/>
              <w:bottom w:type="dxa" w:w="70"/>
              <w:right w:type="dxa" w:w="90"/>
            </w:tcMar>
            <w:vAlign w:val="top"/>
          </w:tcPr>
          <w:p>
            <w:r>
              <w:rPr>
                <w:b/>
                <w:bCs/>
                <w:color w:val="000000"/>
                <w:sz w:val="17"/>
                <w:szCs w:val="17"/>
              </w:rPr>
              <w:t xml:space="preserve">Knowledge usage growth</w:t>
            </w:r>
          </w:p>
        </w:tc>
        <w:tc>
          <w:tcPr>
            <w:tcW w:type="dxa" w:w="7578"/>
            <w:tcMar>
              <w:top w:type="dxa" w:w="70"/>
              <w:left w:type="dxa" w:w="90"/>
              <w:bottom w:type="dxa" w:w="70"/>
              <w:right w:type="dxa" w:w="90"/>
            </w:tcMar>
            <w:vAlign w:val="top"/>
          </w:tcPr>
          <w:p>
            <w:r>
              <w:rPr>
                <w:b w:val="false"/>
                <w:bCs w:val="false"/>
                <w:color w:val="000000"/>
                <w:sz w:val="17"/>
                <w:szCs w:val="17"/>
              </w:rPr>
              <w:t xml:space="preserve">Measurable month-over-month growth in the TOR's own knowledge-usage-metrics KPI (Section 4.3) through the first 12 months.</w:t>
            </w:r>
          </w:p>
        </w:tc>
      </w:tr>
      <w:tr>
        <w:tc>
          <w:tcPr>
            <w:tcW w:type="dxa" w:w="2662"/>
            <w:tcMar>
              <w:top w:type="dxa" w:w="70"/>
              <w:left w:type="dxa" w:w="90"/>
              <w:bottom w:type="dxa" w:w="70"/>
              <w:right w:type="dxa" w:w="90"/>
            </w:tcMar>
            <w:vAlign w:val="top"/>
          </w:tcPr>
          <w:p>
            <w:r>
              <w:rPr>
                <w:b/>
                <w:bCs/>
                <w:color w:val="000000"/>
                <w:sz w:val="17"/>
                <w:szCs w:val="17"/>
              </w:rPr>
              <w:t xml:space="preserve">Phase 2 roadmap decision</w:t>
            </w:r>
          </w:p>
        </w:tc>
        <w:tc>
          <w:tcPr>
            <w:tcW w:type="dxa" w:w="7578"/>
            <w:tcMar>
              <w:top w:type="dxa" w:w="70"/>
              <w:left w:type="dxa" w:w="90"/>
              <w:bottom w:type="dxa" w:w="70"/>
              <w:right w:type="dxa" w:w="90"/>
            </w:tcMar>
            <w:vAlign w:val="top"/>
          </w:tcPr>
          <w:p>
            <w:r>
              <w:rPr>
                <w:b w:val="false"/>
                <w:bCs w:val="false"/>
                <w:color w:val="000000"/>
                <w:sz w:val="17"/>
                <w:szCs w:val="17"/>
              </w:rPr>
              <w:t xml:space="preserve">A documented, evidence-based decision by the National Programme Coordinator and KMC on which Section 11.7 long-term items to pursue, made within 12 months of go-live using actual Phase 1 operating data rather than speculation.</w:t>
            </w:r>
          </w:p>
        </w:tc>
      </w:tr>
    </w:tbl>
    <w:p>
      <w:pPr>
        <w:spacing w:after="160"/>
      </w:pPr>
    </w:p>
    <w:p>
      <w:pPr>
        <w:pStyle w:val="Heading1"/>
        <w:pBdr>
          <w:bottom w:val="single" w:color="1F3864" w:sz="6" w:space="4"/>
        </w:pBdr>
        <w:spacing w:after="130" w:before="320"/>
      </w:pPr>
      <w:r>
        <w:t xml:space="preserve">11.14 Transition to Section 12</w:t>
      </w:r>
    </w:p>
    <w:p>
      <w:pPr>
        <w:spacing w:after="150" w:line="276"/>
        <w:jc w:val="both"/>
      </w:pPr>
      <w:r>
        <w:t xml:space="preserve">Section 12 (Enterprise Governance Model) consolidates every governance mechanism referenced across this Blueprint — the Governance Charter, the Enterprise Architecture Review Board, the Decision Model, and the RACI structure — into a single, complete governance model, including the standards, policies, and review processes that keep this architecture, and the roadmap fixed in this section, accountable over the programme's full lifecycle.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2026-07-18T08:35:33.315Z</dcterms:created>
  <dcterms:modified xsi:type="dcterms:W3CDTF">2026-07-18T08:35:33.315Z</dcterms:modified>
</cp:coreProperties>
</file>

<file path=docProps/custom.xml><?xml version="1.0" encoding="utf-8"?>
<Properties xmlns="http://schemas.openxmlformats.org/officeDocument/2006/custom-properties" xmlns:vt="http://schemas.openxmlformats.org/officeDocument/2006/docPropsVTypes"/>
</file>