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12 of 16 — Enterprise Governance Model</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12.1 Governance Model Overview</w:t>
      </w:r>
    </w:p>
    <w:p>
      <w:pPr>
        <w:spacing w:after="150" w:line="276"/>
        <w:jc w:val="both"/>
      </w:pPr>
      <w:r>
        <w:t xml:space="preserve">Every governance mechanism in this Blueprint has been built on a single, deliberate design choice, stated explicitly in Section 8.12 and honoured without exception since: there is one Governance Charter, one Enterprise Architecture Review Board, and one Decision Model — not a separate governance track for architecture, data, security, and content individually. This section consolidates that single structure into one complete reference, so that a reader asking 'who governs X' finds the answer here rather than having to reconstruct it from six different sections. Nothing in this section introduces a new governance body or instrument; it organizes what Sections 1 through 11 have already established, and adds the two elements no earlier section has specified in full: a formal Architecture Review Process (Section 12.7) and a consolidated Standards and Policies Registry (Section 12.5).</w:t>
      </w:r>
    </w:p>
    <w:p>
      <w:pPr>
        <w:pStyle w:val="Heading1"/>
        <w:pBdr>
          <w:bottom w:val="single" w:color="1F3864" w:sz="6" w:space="4"/>
        </w:pBdr>
        <w:spacing w:after="130" w:before="320"/>
      </w:pPr>
      <w:r>
        <w:t xml:space="preserve">12.2 Governance Domains</w:t>
      </w:r>
    </w:p>
    <w:p>
      <w:pPr>
        <w:spacing w:after="150" w:line="276"/>
        <w:jc w:val="both"/>
      </w:pPr>
      <w:r>
        <w:t xml:space="preserve">Six governance domains span this architecture. Each is governed by the same Charter and Review Board, but each has its own specific authority and its own point of origin earlier in this Blueprint.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2662"/>
        <w:gridCol w:w="3482"/>
        <w:gridCol w:w="2048"/>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Domain</w:t>
            </w:r>
          </w:p>
        </w:tc>
        <w:tc>
          <w:tcPr>
            <w:tcW w:type="dxa" w:w="2662"/>
            <w:shd w:fill="1F3864" w:val="clear"/>
            <w:tcMar>
              <w:top w:type="dxa" w:w="70"/>
              <w:left w:type="dxa" w:w="90"/>
              <w:bottom w:type="dxa" w:w="70"/>
              <w:right w:type="dxa" w:w="90"/>
            </w:tcMar>
            <w:vAlign w:val="top"/>
          </w:tcPr>
          <w:p>
            <w:r>
              <w:rPr>
                <w:b/>
                <w:bCs/>
                <w:color w:val="FFFFFF"/>
                <w:sz w:val="17"/>
                <w:szCs w:val="17"/>
              </w:rPr>
              <w:t xml:space="preserve">Governing Instrument</w:t>
            </w:r>
          </w:p>
        </w:tc>
        <w:tc>
          <w:tcPr>
            <w:tcW w:type="dxa" w:w="3482"/>
            <w:shd w:fill="1F3864" w:val="clear"/>
            <w:tcMar>
              <w:top w:type="dxa" w:w="70"/>
              <w:left w:type="dxa" w:w="90"/>
              <w:bottom w:type="dxa" w:w="70"/>
              <w:right w:type="dxa" w:w="90"/>
            </w:tcMar>
            <w:vAlign w:val="top"/>
          </w:tcPr>
          <w:p>
            <w:r>
              <w:rPr>
                <w:b/>
                <w:bCs/>
                <w:color w:val="FFFFFF"/>
                <w:sz w:val="17"/>
                <w:szCs w:val="17"/>
              </w:rPr>
              <w:t xml:space="preserve">Authority</w:t>
            </w:r>
          </w:p>
        </w:tc>
        <w:tc>
          <w:tcPr>
            <w:tcW w:type="dxa" w:w="2048"/>
            <w:shd w:fill="1F3864" w:val="clear"/>
            <w:tcMar>
              <w:top w:type="dxa" w:w="70"/>
              <w:left w:type="dxa" w:w="90"/>
              <w:bottom w:type="dxa" w:w="70"/>
              <w:right w:type="dxa" w:w="90"/>
            </w:tcMar>
            <w:vAlign w:val="top"/>
          </w:tcPr>
          <w:p>
            <w:r>
              <w:rPr>
                <w:b/>
                <w:bCs/>
                <w:color w:val="FFFFFF"/>
                <w:sz w:val="17"/>
                <w:szCs w:val="17"/>
              </w:rPr>
              <w:t xml:space="preserve">Established In</w:t>
            </w:r>
          </w:p>
        </w:tc>
      </w:tr>
      <w:tr>
        <w:tc>
          <w:tcPr>
            <w:tcW w:type="dxa" w:w="2048"/>
            <w:tcMar>
              <w:top w:type="dxa" w:w="70"/>
              <w:left w:type="dxa" w:w="90"/>
              <w:bottom w:type="dxa" w:w="70"/>
              <w:right w:type="dxa" w:w="90"/>
            </w:tcMar>
            <w:vAlign w:val="top"/>
          </w:tcPr>
          <w:p>
            <w:r>
              <w:rPr>
                <w:b/>
                <w:bCs/>
                <w:color w:val="000000"/>
                <w:sz w:val="16"/>
                <w:szCs w:val="16"/>
              </w:rPr>
              <w:t xml:space="preserve">Architecture Governance</w:t>
            </w:r>
          </w:p>
        </w:tc>
        <w:tc>
          <w:tcPr>
            <w:tcW w:type="dxa" w:w="2662"/>
            <w:tcMar>
              <w:top w:type="dxa" w:w="70"/>
              <w:left w:type="dxa" w:w="90"/>
              <w:bottom w:type="dxa" w:w="70"/>
              <w:right w:type="dxa" w:w="90"/>
            </w:tcMar>
            <w:vAlign w:val="top"/>
          </w:tcPr>
          <w:p>
            <w:r>
              <w:rPr>
                <w:b w:val="false"/>
                <w:bCs w:val="false"/>
                <w:color w:val="000000"/>
                <w:sz w:val="16"/>
                <w:szCs w:val="16"/>
              </w:rPr>
              <w:t xml:space="preserve">Architecture Principles; Enterprise Architecture Review Board</w:t>
            </w:r>
          </w:p>
        </w:tc>
        <w:tc>
          <w:tcPr>
            <w:tcW w:type="dxa" w:w="3482"/>
            <w:tcMar>
              <w:top w:type="dxa" w:w="70"/>
              <w:left w:type="dxa" w:w="90"/>
              <w:bottom w:type="dxa" w:w="70"/>
              <w:right w:type="dxa" w:w="90"/>
            </w:tcMar>
            <w:vAlign w:val="top"/>
          </w:tcPr>
          <w:p>
            <w:r>
              <w:rPr>
                <w:b w:val="false"/>
                <w:bCs w:val="false"/>
                <w:color w:val="000000"/>
                <w:sz w:val="16"/>
                <w:szCs w:val="16"/>
              </w:rPr>
              <w:t xml:space="preserve">Enterprise Architecture Review Board approves any exception to architecture standards.</w:t>
            </w:r>
          </w:p>
        </w:tc>
        <w:tc>
          <w:tcPr>
            <w:tcW w:type="dxa" w:w="2048"/>
            <w:tcMar>
              <w:top w:type="dxa" w:w="70"/>
              <w:left w:type="dxa" w:w="90"/>
              <w:bottom w:type="dxa" w:w="70"/>
              <w:right w:type="dxa" w:w="90"/>
            </w:tcMar>
            <w:vAlign w:val="top"/>
          </w:tcPr>
          <w:p>
            <w:r>
              <w:rPr>
                <w:b w:val="false"/>
                <w:bCs w:val="false"/>
                <w:color w:val="000000"/>
                <w:sz w:val="16"/>
                <w:szCs w:val="16"/>
              </w:rPr>
              <w:t xml:space="preserve">Section 1.7; Section 7.6</w:t>
            </w:r>
          </w:p>
        </w:tc>
      </w:tr>
      <w:tr>
        <w:tc>
          <w:tcPr>
            <w:tcW w:type="dxa" w:w="2048"/>
            <w:tcMar>
              <w:top w:type="dxa" w:w="70"/>
              <w:left w:type="dxa" w:w="90"/>
              <w:bottom w:type="dxa" w:w="70"/>
              <w:right w:type="dxa" w:w="90"/>
            </w:tcMar>
            <w:vAlign w:val="top"/>
          </w:tcPr>
          <w:p>
            <w:r>
              <w:rPr>
                <w:b/>
                <w:bCs/>
                <w:color w:val="000000"/>
                <w:sz w:val="16"/>
                <w:szCs w:val="16"/>
              </w:rPr>
              <w:t xml:space="preserve">Data Governance</w:t>
            </w:r>
          </w:p>
        </w:tc>
        <w:tc>
          <w:tcPr>
            <w:tcW w:type="dxa" w:w="2662"/>
            <w:tcMar>
              <w:top w:type="dxa" w:w="70"/>
              <w:left w:type="dxa" w:w="90"/>
              <w:bottom w:type="dxa" w:w="70"/>
              <w:right w:type="dxa" w:w="90"/>
            </w:tcMar>
            <w:vAlign w:val="top"/>
          </w:tcPr>
          <w:p>
            <w:r>
              <w:rPr>
                <w:b w:val="false"/>
                <w:bCs w:val="false"/>
                <w:color w:val="000000"/>
                <w:sz w:val="16"/>
                <w:szCs w:val="16"/>
              </w:rPr>
              <w:t xml:space="preserve">Data &amp; Content Governance Charter; Metadata Standards</w:t>
            </w:r>
          </w:p>
        </w:tc>
        <w:tc>
          <w:tcPr>
            <w:tcW w:type="dxa" w:w="3482"/>
            <w:tcMar>
              <w:top w:type="dxa" w:w="70"/>
              <w:left w:type="dxa" w:w="90"/>
              <w:bottom w:type="dxa" w:w="70"/>
              <w:right w:type="dxa" w:w="90"/>
            </w:tcMar>
            <w:vAlign w:val="top"/>
          </w:tcPr>
          <w:p>
            <w:r>
              <w:rPr>
                <w:b w:val="false"/>
                <w:bCs w:val="false"/>
                <w:color w:val="000000"/>
                <w:sz w:val="16"/>
                <w:szCs w:val="16"/>
              </w:rPr>
              <w:t xml:space="preserve">KMC holds taxonomy and retention-class authority; KM and ICT Units enforce.</w:t>
            </w:r>
          </w:p>
        </w:tc>
        <w:tc>
          <w:tcPr>
            <w:tcW w:type="dxa" w:w="2048"/>
            <w:tcMar>
              <w:top w:type="dxa" w:w="70"/>
              <w:left w:type="dxa" w:w="90"/>
              <w:bottom w:type="dxa" w:w="70"/>
              <w:right w:type="dxa" w:w="90"/>
            </w:tcMar>
            <w:vAlign w:val="top"/>
          </w:tcPr>
          <w:p>
            <w:r>
              <w:rPr>
                <w:b w:val="false"/>
                <w:bCs w:val="false"/>
                <w:color w:val="000000"/>
                <w:sz w:val="16"/>
                <w:szCs w:val="16"/>
              </w:rPr>
              <w:t xml:space="preserve">Section 2.10; Section 5.14</w:t>
            </w:r>
          </w:p>
        </w:tc>
      </w:tr>
      <w:tr>
        <w:tc>
          <w:tcPr>
            <w:tcW w:type="dxa" w:w="2048"/>
            <w:tcMar>
              <w:top w:type="dxa" w:w="70"/>
              <w:left w:type="dxa" w:w="90"/>
              <w:bottom w:type="dxa" w:w="70"/>
              <w:right w:type="dxa" w:w="90"/>
            </w:tcMar>
            <w:vAlign w:val="top"/>
          </w:tcPr>
          <w:p>
            <w:r>
              <w:rPr>
                <w:b/>
                <w:bCs/>
                <w:color w:val="000000"/>
                <w:sz w:val="16"/>
                <w:szCs w:val="16"/>
              </w:rPr>
              <w:t xml:space="preserve">Knowledge Governance</w:t>
            </w:r>
          </w:p>
        </w:tc>
        <w:tc>
          <w:tcPr>
            <w:tcW w:type="dxa" w:w="2662"/>
            <w:tcMar>
              <w:top w:type="dxa" w:w="70"/>
              <w:left w:type="dxa" w:w="90"/>
              <w:bottom w:type="dxa" w:w="70"/>
              <w:right w:type="dxa" w:w="90"/>
            </w:tcMar>
            <w:vAlign w:val="top"/>
          </w:tcPr>
          <w:p>
            <w:r>
              <w:rPr>
                <w:b w:val="false"/>
                <w:bCs w:val="false"/>
                <w:color w:val="000000"/>
                <w:sz w:val="16"/>
                <w:szCs w:val="16"/>
              </w:rPr>
              <w:t xml:space="preserve">Knowledge Management Principles; editorial review workflow</w:t>
            </w:r>
          </w:p>
        </w:tc>
        <w:tc>
          <w:tcPr>
            <w:tcW w:type="dxa" w:w="3482"/>
            <w:tcMar>
              <w:top w:type="dxa" w:w="70"/>
              <w:left w:type="dxa" w:w="90"/>
              <w:bottom w:type="dxa" w:w="70"/>
              <w:right w:type="dxa" w:w="90"/>
            </w:tcMar>
            <w:vAlign w:val="top"/>
          </w:tcPr>
          <w:p>
            <w:r>
              <w:rPr>
                <w:b w:val="false"/>
                <w:bCs w:val="false"/>
                <w:color w:val="000000"/>
                <w:sz w:val="16"/>
                <w:szCs w:val="16"/>
              </w:rPr>
              <w:t xml:space="preserve">KMC holds editorial and content-decision authority over CKR publication.</w:t>
            </w:r>
          </w:p>
        </w:tc>
        <w:tc>
          <w:tcPr>
            <w:tcW w:type="dxa" w:w="2048"/>
            <w:tcMar>
              <w:top w:type="dxa" w:w="70"/>
              <w:left w:type="dxa" w:w="90"/>
              <w:bottom w:type="dxa" w:w="70"/>
              <w:right w:type="dxa" w:w="90"/>
            </w:tcMar>
            <w:vAlign w:val="top"/>
          </w:tcPr>
          <w:p>
            <w:r>
              <w:rPr>
                <w:b w:val="false"/>
                <w:bCs w:val="false"/>
                <w:color w:val="000000"/>
                <w:sz w:val="16"/>
                <w:szCs w:val="16"/>
              </w:rPr>
              <w:t xml:space="preserve">Section 1.7; Section 4.3</w:t>
            </w:r>
          </w:p>
        </w:tc>
      </w:tr>
      <w:tr>
        <w:tc>
          <w:tcPr>
            <w:tcW w:type="dxa" w:w="2048"/>
            <w:tcMar>
              <w:top w:type="dxa" w:w="70"/>
              <w:left w:type="dxa" w:w="90"/>
              <w:bottom w:type="dxa" w:w="70"/>
              <w:right w:type="dxa" w:w="90"/>
            </w:tcMar>
            <w:vAlign w:val="top"/>
          </w:tcPr>
          <w:p>
            <w:r>
              <w:rPr>
                <w:b/>
                <w:bCs/>
                <w:color w:val="000000"/>
                <w:sz w:val="16"/>
                <w:szCs w:val="16"/>
              </w:rPr>
              <w:t xml:space="preserve">Security Governance</w:t>
            </w:r>
          </w:p>
        </w:tc>
        <w:tc>
          <w:tcPr>
            <w:tcW w:type="dxa" w:w="2662"/>
            <w:tcMar>
              <w:top w:type="dxa" w:w="70"/>
              <w:left w:type="dxa" w:w="90"/>
              <w:bottom w:type="dxa" w:w="70"/>
              <w:right w:type="dxa" w:w="90"/>
            </w:tcMar>
            <w:vAlign w:val="top"/>
          </w:tcPr>
          <w:p>
            <w:r>
              <w:rPr>
                <w:b w:val="false"/>
                <w:bCs w:val="false"/>
                <w:color w:val="000000"/>
                <w:sz w:val="16"/>
                <w:szCs w:val="16"/>
              </w:rPr>
              <w:t xml:space="preserve">Security Architecture standards; Decision Model</w:t>
            </w:r>
          </w:p>
        </w:tc>
        <w:tc>
          <w:tcPr>
            <w:tcW w:type="dxa" w:w="3482"/>
            <w:tcMar>
              <w:top w:type="dxa" w:w="70"/>
              <w:left w:type="dxa" w:w="90"/>
              <w:bottom w:type="dxa" w:w="70"/>
              <w:right w:type="dxa" w:w="90"/>
            </w:tcMar>
            <w:vAlign w:val="top"/>
          </w:tcPr>
          <w:p>
            <w:r>
              <w:rPr>
                <w:b w:val="false"/>
                <w:bCs w:val="false"/>
                <w:color w:val="000000"/>
                <w:sz w:val="16"/>
                <w:szCs w:val="16"/>
              </w:rPr>
              <w:t xml:space="preserve">KMC and National Programme Coordinator jointly own security risk decisions.</w:t>
            </w:r>
          </w:p>
        </w:tc>
        <w:tc>
          <w:tcPr>
            <w:tcW w:type="dxa" w:w="2048"/>
            <w:tcMar>
              <w:top w:type="dxa" w:w="70"/>
              <w:left w:type="dxa" w:w="90"/>
              <w:bottom w:type="dxa" w:w="70"/>
              <w:right w:type="dxa" w:w="90"/>
            </w:tcMar>
            <w:vAlign w:val="top"/>
          </w:tcPr>
          <w:p>
            <w:r>
              <w:rPr>
                <w:b w:val="false"/>
                <w:bCs w:val="false"/>
                <w:color w:val="000000"/>
                <w:sz w:val="16"/>
                <w:szCs w:val="16"/>
              </w:rPr>
              <w:t xml:space="preserve">Section 8.12; Section 2.9</w:t>
            </w:r>
          </w:p>
        </w:tc>
      </w:tr>
      <w:tr>
        <w:tc>
          <w:tcPr>
            <w:tcW w:type="dxa" w:w="2048"/>
            <w:tcMar>
              <w:top w:type="dxa" w:w="70"/>
              <w:left w:type="dxa" w:w="90"/>
              <w:bottom w:type="dxa" w:w="70"/>
              <w:right w:type="dxa" w:w="90"/>
            </w:tcMar>
            <w:vAlign w:val="top"/>
          </w:tcPr>
          <w:p>
            <w:r>
              <w:rPr>
                <w:b/>
                <w:bCs/>
                <w:color w:val="000000"/>
                <w:sz w:val="16"/>
                <w:szCs w:val="16"/>
              </w:rPr>
              <w:t xml:space="preserve">Content Governance</w:t>
            </w:r>
          </w:p>
        </w:tc>
        <w:tc>
          <w:tcPr>
            <w:tcW w:type="dxa" w:w="2662"/>
            <w:tcMar>
              <w:top w:type="dxa" w:w="70"/>
              <w:left w:type="dxa" w:w="90"/>
              <w:bottom w:type="dxa" w:w="70"/>
              <w:right w:type="dxa" w:w="90"/>
            </w:tcMar>
            <w:vAlign w:val="top"/>
          </w:tcPr>
          <w:p>
            <w:r>
              <w:rPr>
                <w:b w:val="false"/>
                <w:bCs w:val="false"/>
                <w:color w:val="000000"/>
                <w:sz w:val="16"/>
                <w:szCs w:val="16"/>
              </w:rPr>
              <w:t xml:space="preserve">Content Governance process; shared taxonomy</w:t>
            </w:r>
          </w:p>
        </w:tc>
        <w:tc>
          <w:tcPr>
            <w:tcW w:type="dxa" w:w="3482"/>
            <w:tcMar>
              <w:top w:type="dxa" w:w="70"/>
              <w:left w:type="dxa" w:w="90"/>
              <w:bottom w:type="dxa" w:w="70"/>
              <w:right w:type="dxa" w:w="90"/>
            </w:tcMar>
            <w:vAlign w:val="top"/>
          </w:tcPr>
          <w:p>
            <w:r>
              <w:rPr>
                <w:b w:val="false"/>
                <w:bCs w:val="false"/>
                <w:color w:val="000000"/>
                <w:sz w:val="16"/>
                <w:szCs w:val="16"/>
              </w:rPr>
              <w:t xml:space="preserve">KMC defines and audits taxonomy compliance across both systems.</w:t>
            </w:r>
          </w:p>
        </w:tc>
        <w:tc>
          <w:tcPr>
            <w:tcW w:type="dxa" w:w="2048"/>
            <w:tcMar>
              <w:top w:type="dxa" w:w="70"/>
              <w:left w:type="dxa" w:w="90"/>
              <w:bottom w:type="dxa" w:w="70"/>
              <w:right w:type="dxa" w:w="90"/>
            </w:tcMar>
            <w:vAlign w:val="top"/>
          </w:tcPr>
          <w:p>
            <w:r>
              <w:rPr>
                <w:b w:val="false"/>
                <w:bCs w:val="false"/>
                <w:color w:val="000000"/>
                <w:sz w:val="16"/>
                <w:szCs w:val="16"/>
              </w:rPr>
              <w:t xml:space="preserve">Section 2.5; Section 5.5</w:t>
            </w:r>
          </w:p>
        </w:tc>
      </w:tr>
      <w:tr>
        <w:tc>
          <w:tcPr>
            <w:tcW w:type="dxa" w:w="2048"/>
            <w:tcMar>
              <w:top w:type="dxa" w:w="70"/>
              <w:left w:type="dxa" w:w="90"/>
              <w:bottom w:type="dxa" w:w="70"/>
              <w:right w:type="dxa" w:w="90"/>
            </w:tcMar>
            <w:vAlign w:val="top"/>
          </w:tcPr>
          <w:p>
            <w:r>
              <w:rPr>
                <w:b/>
                <w:bCs/>
                <w:color w:val="000000"/>
                <w:sz w:val="16"/>
                <w:szCs w:val="16"/>
              </w:rPr>
              <w:t xml:space="preserve">Project (Delivery) Governance</w:t>
            </w:r>
          </w:p>
        </w:tc>
        <w:tc>
          <w:tcPr>
            <w:tcW w:type="dxa" w:w="2662"/>
            <w:tcMar>
              <w:top w:type="dxa" w:w="70"/>
              <w:left w:type="dxa" w:w="90"/>
              <w:bottom w:type="dxa" w:w="70"/>
              <w:right w:type="dxa" w:w="90"/>
            </w:tcMar>
            <w:vAlign w:val="top"/>
          </w:tcPr>
          <w:p>
            <w:r>
              <w:rPr>
                <w:b w:val="false"/>
                <w:bCs w:val="false"/>
                <w:color w:val="000000"/>
                <w:sz w:val="16"/>
                <w:szCs w:val="16"/>
              </w:rPr>
              <w:t xml:space="preserve">RACI Matrix; TOR delivery timeline</w:t>
            </w:r>
          </w:p>
        </w:tc>
        <w:tc>
          <w:tcPr>
            <w:tcW w:type="dxa" w:w="3482"/>
            <w:tcMar>
              <w:top w:type="dxa" w:w="70"/>
              <w:left w:type="dxa" w:w="90"/>
              <w:bottom w:type="dxa" w:w="70"/>
              <w:right w:type="dxa" w:w="90"/>
            </w:tcMar>
            <w:vAlign w:val="top"/>
          </w:tcPr>
          <w:p>
            <w:r>
              <w:rPr>
                <w:b w:val="false"/>
                <w:bCs w:val="false"/>
                <w:color w:val="000000"/>
                <w:sz w:val="16"/>
                <w:szCs w:val="16"/>
              </w:rPr>
              <w:t xml:space="preserve">National Programme Coordinator holds ultimate delivery accountability; roles distributed per phase.</w:t>
            </w:r>
          </w:p>
        </w:tc>
        <w:tc>
          <w:tcPr>
            <w:tcW w:type="dxa" w:w="2048"/>
            <w:tcMar>
              <w:top w:type="dxa" w:w="70"/>
              <w:left w:type="dxa" w:w="90"/>
              <w:bottom w:type="dxa" w:w="70"/>
              <w:right w:type="dxa" w:w="90"/>
            </w:tcMar>
            <w:vAlign w:val="top"/>
          </w:tcPr>
          <w:p>
            <w:r>
              <w:rPr>
                <w:b w:val="false"/>
                <w:bCs w:val="false"/>
                <w:color w:val="000000"/>
                <w:sz w:val="16"/>
                <w:szCs w:val="16"/>
              </w:rPr>
              <w:t xml:space="preserve">Section 2.13; Section 11.4</w:t>
            </w:r>
          </w:p>
        </w:tc>
      </w:tr>
    </w:tbl>
    <w:p>
      <w:pPr>
        <w:spacing w:after="160"/>
      </w:pPr>
    </w:p>
    <w:p>
      <w:pPr>
        <w:pStyle w:val="Heading1"/>
        <w:pBdr>
          <w:bottom w:val="single" w:color="1F3864" w:sz="6" w:space="4"/>
        </w:pBdr>
        <w:spacing w:after="130" w:before="320"/>
      </w:pPr>
      <w:r>
        <w:t xml:space="preserve">12.3 Decision Rights</w:t>
      </w:r>
    </w:p>
    <w:p>
      <w:pPr>
        <w:spacing w:after="150" w:line="276"/>
        <w:jc w:val="both"/>
      </w:pPr>
      <w:r>
        <w:t xml:space="preserve">The Decision Model first fixed in Section 2.9 is the single decision-rights structure for this entire architecture. It is restated here as the consolidated reference, unchanged from its original form.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2458"/>
        <w:gridCol w:w="2458"/>
        <w:gridCol w:w="2458"/>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Decision</w:t>
            </w:r>
          </w:p>
        </w:tc>
        <w:tc>
          <w:tcPr>
            <w:tcW w:type="dxa" w:w="2458"/>
            <w:shd w:fill="1F3864" w:val="clear"/>
            <w:tcMar>
              <w:top w:type="dxa" w:w="70"/>
              <w:left w:type="dxa" w:w="90"/>
              <w:bottom w:type="dxa" w:w="70"/>
              <w:right w:type="dxa" w:w="90"/>
            </w:tcMar>
            <w:vAlign w:val="top"/>
          </w:tcPr>
          <w:p>
            <w:r>
              <w:rPr>
                <w:b/>
                <w:bCs/>
                <w:color w:val="FFFFFF"/>
                <w:sz w:val="17"/>
                <w:szCs w:val="17"/>
              </w:rPr>
              <w:t xml:space="preserve">Owner</w:t>
            </w:r>
          </w:p>
        </w:tc>
        <w:tc>
          <w:tcPr>
            <w:tcW w:type="dxa" w:w="2458"/>
            <w:shd w:fill="1F3864" w:val="clear"/>
            <w:tcMar>
              <w:top w:type="dxa" w:w="70"/>
              <w:left w:type="dxa" w:w="90"/>
              <w:bottom w:type="dxa" w:w="70"/>
              <w:right w:type="dxa" w:w="90"/>
            </w:tcMar>
            <w:vAlign w:val="top"/>
          </w:tcPr>
          <w:p>
            <w:r>
              <w:rPr>
                <w:b/>
                <w:bCs/>
                <w:color w:val="FFFFFF"/>
                <w:sz w:val="17"/>
                <w:szCs w:val="17"/>
              </w:rPr>
              <w:t xml:space="preserve">Consulted</w:t>
            </w:r>
          </w:p>
        </w:tc>
        <w:tc>
          <w:tcPr>
            <w:tcW w:type="dxa" w:w="2458"/>
            <w:shd w:fill="1F3864" w:val="clear"/>
            <w:tcMar>
              <w:top w:type="dxa" w:w="70"/>
              <w:left w:type="dxa" w:w="90"/>
              <w:bottom w:type="dxa" w:w="70"/>
              <w:right w:type="dxa" w:w="90"/>
            </w:tcMar>
            <w:vAlign w:val="top"/>
          </w:tcPr>
          <w:p>
            <w:r>
              <w:rPr>
                <w:b/>
                <w:bCs/>
                <w:color w:val="FFFFFF"/>
                <w:sz w:val="17"/>
                <w:szCs w:val="17"/>
              </w:rPr>
              <w:t xml:space="preserve">Informed</w:t>
            </w:r>
          </w:p>
        </w:tc>
      </w:tr>
      <w:tr>
        <w:tc>
          <w:tcPr>
            <w:tcW w:type="dxa" w:w="2867"/>
            <w:tcMar>
              <w:top w:type="dxa" w:w="70"/>
              <w:left w:type="dxa" w:w="90"/>
              <w:bottom w:type="dxa" w:w="70"/>
              <w:right w:type="dxa" w:w="90"/>
            </w:tcMar>
            <w:vAlign w:val="top"/>
          </w:tcPr>
          <w:p>
            <w:r>
              <w:rPr>
                <w:b/>
                <w:bCs/>
                <w:color w:val="000000"/>
                <w:sz w:val="17"/>
                <w:szCs w:val="17"/>
              </w:rPr>
              <w:t xml:space="preserve">Taxonomy and metadata standard</w:t>
            </w:r>
          </w:p>
        </w:tc>
        <w:tc>
          <w:tcPr>
            <w:tcW w:type="dxa" w:w="2458"/>
            <w:tcMar>
              <w:top w:type="dxa" w:w="70"/>
              <w:left w:type="dxa" w:w="90"/>
              <w:bottom w:type="dxa" w:w="70"/>
              <w:right w:type="dxa" w:w="90"/>
            </w:tcMar>
            <w:vAlign w:val="top"/>
          </w:tcPr>
          <w:p>
            <w:r>
              <w:rPr>
                <w:b w:val="false"/>
                <w:bCs w:val="false"/>
                <w:color w:val="000000"/>
                <w:sz w:val="17"/>
                <w:szCs w:val="17"/>
              </w:rPr>
              <w:t xml:space="preserve">KMC</w:t>
            </w:r>
          </w:p>
        </w:tc>
        <w:tc>
          <w:tcPr>
            <w:tcW w:type="dxa" w:w="2458"/>
            <w:tcMar>
              <w:top w:type="dxa" w:w="70"/>
              <w:left w:type="dxa" w:w="90"/>
              <w:bottom w:type="dxa" w:w="70"/>
              <w:right w:type="dxa" w:w="90"/>
            </w:tcMar>
            <w:vAlign w:val="top"/>
          </w:tcPr>
          <w:p>
            <w:r>
              <w:rPr>
                <w:b w:val="false"/>
                <w:bCs w:val="false"/>
                <w:color w:val="000000"/>
                <w:sz w:val="17"/>
                <w:szCs w:val="17"/>
              </w:rPr>
              <w:t xml:space="preserve">State-level focal points</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 co-financing institutions</w:t>
            </w:r>
          </w:p>
        </w:tc>
      </w:tr>
      <w:tr>
        <w:tc>
          <w:tcPr>
            <w:tcW w:type="dxa" w:w="2867"/>
            <w:tcMar>
              <w:top w:type="dxa" w:w="70"/>
              <w:left w:type="dxa" w:w="90"/>
              <w:bottom w:type="dxa" w:w="70"/>
              <w:right w:type="dxa" w:w="90"/>
            </w:tcMar>
            <w:vAlign w:val="top"/>
          </w:tcPr>
          <w:p>
            <w:r>
              <w:rPr>
                <w:b/>
                <w:bCs/>
                <w:color w:val="000000"/>
                <w:sz w:val="17"/>
                <w:szCs w:val="17"/>
              </w:rPr>
              <w:t xml:space="preserve">Content migration and retention</w:t>
            </w:r>
          </w:p>
        </w:tc>
        <w:tc>
          <w:tcPr>
            <w:tcW w:type="dxa" w:w="2458"/>
            <w:tcMar>
              <w:top w:type="dxa" w:w="70"/>
              <w:left w:type="dxa" w:w="90"/>
              <w:bottom w:type="dxa" w:w="70"/>
              <w:right w:type="dxa" w:w="90"/>
            </w:tcMar>
            <w:vAlign w:val="top"/>
          </w:tcPr>
          <w:p>
            <w:r>
              <w:rPr>
                <w:b w:val="false"/>
                <w:bCs w:val="false"/>
                <w:color w:val="000000"/>
                <w:sz w:val="17"/>
                <w:szCs w:val="17"/>
              </w:rPr>
              <w:t xml:space="preserve">KMC</w:t>
            </w:r>
          </w:p>
        </w:tc>
        <w:tc>
          <w:tcPr>
            <w:tcW w:type="dxa" w:w="2458"/>
            <w:tcMar>
              <w:top w:type="dxa" w:w="70"/>
              <w:left w:type="dxa" w:w="90"/>
              <w:bottom w:type="dxa" w:w="70"/>
              <w:right w:type="dxa" w:w="90"/>
            </w:tcMar>
            <w:vAlign w:val="top"/>
          </w:tcPr>
          <w:p>
            <w:r>
              <w:rPr>
                <w:b w:val="false"/>
                <w:bCs w:val="false"/>
                <w:color w:val="000000"/>
                <w:sz w:val="17"/>
                <w:szCs w:val="17"/>
              </w:rPr>
              <w:t xml:space="preserve">State-level focal points; consultant (execution)</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r>
      <w:tr>
        <w:tc>
          <w:tcPr>
            <w:tcW w:type="dxa" w:w="2867"/>
            <w:tcMar>
              <w:top w:type="dxa" w:w="70"/>
              <w:left w:type="dxa" w:w="90"/>
              <w:bottom w:type="dxa" w:w="70"/>
              <w:right w:type="dxa" w:w="90"/>
            </w:tcMar>
            <w:vAlign w:val="top"/>
          </w:tcPr>
          <w:p>
            <w:r>
              <w:rPr>
                <w:b/>
                <w:bCs/>
                <w:color w:val="000000"/>
                <w:sz w:val="17"/>
                <w:szCs w:val="17"/>
              </w:rPr>
              <w:t xml:space="preserve">Architecture principle exceptions</w:t>
            </w:r>
          </w:p>
        </w:tc>
        <w:tc>
          <w:tcPr>
            <w:tcW w:type="dxa" w:w="2458"/>
            <w:tcMar>
              <w:top w:type="dxa" w:w="70"/>
              <w:left w:type="dxa" w:w="90"/>
              <w:bottom w:type="dxa" w:w="70"/>
              <w:right w:type="dxa" w:w="90"/>
            </w:tcMar>
            <w:vAlign w:val="top"/>
          </w:tcPr>
          <w:p>
            <w:r>
              <w:rPr>
                <w:b w:val="false"/>
                <w:bCs w:val="false"/>
                <w:color w:val="000000"/>
                <w:sz w:val="17"/>
                <w:szCs w:val="17"/>
              </w:rPr>
              <w:t xml:space="preserve">Enterprise Architecture Review Board</w:t>
            </w:r>
          </w:p>
        </w:tc>
        <w:tc>
          <w:tcPr>
            <w:tcW w:type="dxa" w:w="2458"/>
            <w:tcMar>
              <w:top w:type="dxa" w:w="70"/>
              <w:left w:type="dxa" w:w="90"/>
              <w:bottom w:type="dxa" w:w="70"/>
              <w:right w:type="dxa" w:w="90"/>
            </w:tcMar>
            <w:vAlign w:val="top"/>
          </w:tcPr>
          <w:p>
            <w:r>
              <w:rPr>
                <w:b w:val="false"/>
                <w:bCs w:val="false"/>
                <w:color w:val="000000"/>
                <w:sz w:val="17"/>
                <w:szCs w:val="17"/>
              </w:rPr>
              <w:t xml:space="preserve">Consultant / KM and ICT Units</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r>
      <w:tr>
        <w:tc>
          <w:tcPr>
            <w:tcW w:type="dxa" w:w="2867"/>
            <w:tcMar>
              <w:top w:type="dxa" w:w="70"/>
              <w:left w:type="dxa" w:w="90"/>
              <w:bottom w:type="dxa" w:w="70"/>
              <w:right w:type="dxa" w:w="90"/>
            </w:tcMar>
            <w:vAlign w:val="top"/>
          </w:tcPr>
          <w:p>
            <w:r>
              <w:rPr>
                <w:b/>
                <w:bCs/>
                <w:color w:val="000000"/>
                <w:sz w:val="17"/>
                <w:szCs w:val="17"/>
              </w:rPr>
              <w:t xml:space="preserve">Security risk decisions</w:t>
            </w:r>
          </w:p>
        </w:tc>
        <w:tc>
          <w:tcPr>
            <w:tcW w:type="dxa" w:w="2458"/>
            <w:tcMar>
              <w:top w:type="dxa" w:w="70"/>
              <w:left w:type="dxa" w:w="90"/>
              <w:bottom w:type="dxa" w:w="70"/>
              <w:right w:type="dxa" w:w="90"/>
            </w:tcMar>
            <w:vAlign w:val="top"/>
          </w:tcPr>
          <w:p>
            <w:r>
              <w:rPr>
                <w:b w:val="false"/>
                <w:bCs w:val="false"/>
                <w:color w:val="000000"/>
                <w:sz w:val="17"/>
                <w:szCs w:val="17"/>
              </w:rPr>
              <w:t xml:space="preserve">KMC and National Programme Coordinator (jointly)</w:t>
            </w:r>
          </w:p>
        </w:tc>
        <w:tc>
          <w:tcPr>
            <w:tcW w:type="dxa" w:w="2458"/>
            <w:tcMar>
              <w:top w:type="dxa" w:w="70"/>
              <w:left w:type="dxa" w:w="90"/>
              <w:bottom w:type="dxa" w:w="70"/>
              <w:right w:type="dxa" w:w="90"/>
            </w:tcMar>
            <w:vAlign w:val="top"/>
          </w:tcPr>
          <w:p>
            <w:r>
              <w:rPr>
                <w:b w:val="false"/>
                <w:bCs w:val="false"/>
                <w:color w:val="000000"/>
                <w:sz w:val="17"/>
                <w:szCs w:val="17"/>
              </w:rPr>
              <w:t xml:space="preserve">KM and ICT Units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r>
        <w:tc>
          <w:tcPr>
            <w:tcW w:type="dxa" w:w="2867"/>
            <w:tcMar>
              <w:top w:type="dxa" w:w="70"/>
              <w:left w:type="dxa" w:w="90"/>
              <w:bottom w:type="dxa" w:w="70"/>
              <w:right w:type="dxa" w:w="90"/>
            </w:tcMar>
            <w:vAlign w:val="top"/>
          </w:tcPr>
          <w:p>
            <w:r>
              <w:rPr>
                <w:b/>
                <w:bCs/>
                <w:color w:val="000000"/>
                <w:sz w:val="17"/>
                <w:szCs w:val="17"/>
              </w:rPr>
              <w:t xml:space="preserve">Workflow escalation and SLA rules</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c>
          <w:tcPr>
            <w:tcW w:type="dxa" w:w="2458"/>
            <w:tcMar>
              <w:top w:type="dxa" w:w="70"/>
              <w:left w:type="dxa" w:w="90"/>
              <w:bottom w:type="dxa" w:w="70"/>
              <w:right w:type="dxa" w:w="90"/>
            </w:tcMar>
            <w:vAlign w:val="top"/>
          </w:tcPr>
          <w:p>
            <w:r>
              <w:rPr>
                <w:b w:val="false"/>
                <w:bCs w:val="false"/>
                <w:color w:val="000000"/>
                <w:sz w:val="17"/>
                <w:szCs w:val="17"/>
              </w:rPr>
              <w:t xml:space="preserve">State implementation teams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r>
        <w:tc>
          <w:tcPr>
            <w:tcW w:type="dxa" w:w="2867"/>
            <w:tcMar>
              <w:top w:type="dxa" w:w="70"/>
              <w:left w:type="dxa" w:w="90"/>
              <w:bottom w:type="dxa" w:w="70"/>
              <w:right w:type="dxa" w:w="90"/>
            </w:tcMar>
            <w:vAlign w:val="top"/>
          </w:tcPr>
          <w:p>
            <w:r>
              <w:rPr>
                <w:b/>
                <w:bCs/>
                <w:color w:val="000000"/>
                <w:sz w:val="17"/>
                <w:szCs w:val="17"/>
              </w:rPr>
              <w:t xml:space="preserve">Governance Charter adoption and amendment</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 (endorses); KMC (co-signs)</w:t>
            </w:r>
          </w:p>
        </w:tc>
        <w:tc>
          <w:tcPr>
            <w:tcW w:type="dxa" w:w="2458"/>
            <w:tcMar>
              <w:top w:type="dxa" w:w="70"/>
              <w:left w:type="dxa" w:w="90"/>
              <w:bottom w:type="dxa" w:w="70"/>
              <w:right w:type="dxa" w:w="90"/>
            </w:tcMar>
            <w:vAlign w:val="top"/>
          </w:tcPr>
          <w:p>
            <w:r>
              <w:rPr>
                <w:b w:val="false"/>
                <w:bCs w:val="false"/>
                <w:color w:val="000000"/>
                <w:sz w:val="17"/>
                <w:szCs w:val="17"/>
              </w:rPr>
              <w:t xml:space="preserve">State implementation teams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bl>
    <w:p>
      <w:pPr>
        <w:spacing w:after="160"/>
      </w:pPr>
    </w:p>
    <w:p>
      <w:pPr>
        <w:pStyle w:val="Heading1"/>
        <w:pBdr>
          <w:bottom w:val="single" w:color="1F3864" w:sz="6" w:space="4"/>
        </w:pBdr>
        <w:spacing w:after="130" w:before="320"/>
      </w:pPr>
      <w:r>
        <w:t xml:space="preserve">12.4 Operational Governance RACI</w:t>
      </w:r>
    </w:p>
    <w:p>
      <w:pPr>
        <w:spacing w:after="150" w:line="276"/>
        <w:jc w:val="both"/>
      </w:pPr>
      <w:r>
        <w:t xml:space="preserve">Section 2.13 fixed a RACI matrix for the ten Phase 1 delivery phases. This section adds the complementary matrix the delivery RACI does not cover: recurring governance activities that continue after go-live, for the life of the programme.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77"/>
        <w:gridCol w:w="1331"/>
        <w:gridCol w:w="1536"/>
        <w:gridCol w:w="1024"/>
        <w:gridCol w:w="1536"/>
        <w:gridCol w:w="1536"/>
      </w:tblGrid>
      <w:tr>
        <w:trPr>
          <w:tblHeader/>
        </w:trPr>
        <w:tc>
          <w:tcPr>
            <w:tcW w:type="dxa" w:w="3277"/>
            <w:shd w:fill="1F3864" w:val="clear"/>
            <w:tcMar>
              <w:top w:type="dxa" w:w="70"/>
              <w:left w:type="dxa" w:w="90"/>
              <w:bottom w:type="dxa" w:w="70"/>
              <w:right w:type="dxa" w:w="90"/>
            </w:tcMar>
            <w:vAlign w:val="top"/>
          </w:tcPr>
          <w:p>
            <w:r>
              <w:rPr>
                <w:b/>
                <w:bCs/>
                <w:color w:val="FFFFFF"/>
                <w:sz w:val="17"/>
                <w:szCs w:val="17"/>
              </w:rPr>
              <w:t xml:space="preserve">Governance Activity</w:t>
            </w:r>
          </w:p>
        </w:tc>
        <w:tc>
          <w:tcPr>
            <w:tcW w:type="dxa" w:w="1331"/>
            <w:shd w:fill="1F3864" w:val="clear"/>
            <w:tcMar>
              <w:top w:type="dxa" w:w="70"/>
              <w:left w:type="dxa" w:w="90"/>
              <w:bottom w:type="dxa" w:w="70"/>
              <w:right w:type="dxa" w:w="90"/>
            </w:tcMar>
            <w:vAlign w:val="top"/>
          </w:tcPr>
          <w:p>
            <w:r>
              <w:rPr>
                <w:b/>
                <w:bCs/>
                <w:color w:val="FFFFFF"/>
                <w:sz w:val="17"/>
                <w:szCs w:val="17"/>
              </w:rPr>
              <w:t xml:space="preserve">KMC</w:t>
            </w:r>
          </w:p>
        </w:tc>
        <w:tc>
          <w:tcPr>
            <w:tcW w:type="dxa" w:w="1536"/>
            <w:shd w:fill="1F3864" w:val="clear"/>
            <w:tcMar>
              <w:top w:type="dxa" w:w="70"/>
              <w:left w:type="dxa" w:w="90"/>
              <w:bottom w:type="dxa" w:w="70"/>
              <w:right w:type="dxa" w:w="90"/>
            </w:tcMar>
            <w:vAlign w:val="top"/>
          </w:tcPr>
          <w:p>
            <w:r>
              <w:rPr>
                <w:b/>
                <w:bCs/>
                <w:color w:val="FFFFFF"/>
                <w:sz w:val="17"/>
                <w:szCs w:val="17"/>
              </w:rPr>
              <w:t xml:space="preserve">KM/ICT Units</w:t>
            </w:r>
          </w:p>
        </w:tc>
        <w:tc>
          <w:tcPr>
            <w:tcW w:type="dxa" w:w="1024"/>
            <w:shd w:fill="1F3864" w:val="clear"/>
            <w:tcMar>
              <w:top w:type="dxa" w:w="70"/>
              <w:left w:type="dxa" w:w="90"/>
              <w:bottom w:type="dxa" w:w="70"/>
              <w:right w:type="dxa" w:w="90"/>
            </w:tcMar>
            <w:vAlign w:val="top"/>
          </w:tcPr>
          <w:p>
            <w:r>
              <w:rPr>
                <w:b/>
                <w:bCs/>
                <w:color w:val="FFFFFF"/>
                <w:sz w:val="17"/>
                <w:szCs w:val="17"/>
              </w:rPr>
              <w:t xml:space="preserve">NPC</w:t>
            </w:r>
          </w:p>
        </w:tc>
        <w:tc>
          <w:tcPr>
            <w:tcW w:type="dxa" w:w="1536"/>
            <w:shd w:fill="1F3864" w:val="clear"/>
            <w:tcMar>
              <w:top w:type="dxa" w:w="70"/>
              <w:left w:type="dxa" w:w="90"/>
              <w:bottom w:type="dxa" w:w="70"/>
              <w:right w:type="dxa" w:w="90"/>
            </w:tcMar>
            <w:vAlign w:val="top"/>
          </w:tcPr>
          <w:p>
            <w:r>
              <w:rPr>
                <w:b/>
                <w:bCs/>
                <w:color w:val="FFFFFF"/>
                <w:sz w:val="17"/>
                <w:szCs w:val="17"/>
              </w:rPr>
              <w:t xml:space="preserve">EA Review Board</w:t>
            </w:r>
          </w:p>
        </w:tc>
        <w:tc>
          <w:tcPr>
            <w:tcW w:type="dxa" w:w="1536"/>
            <w:shd w:fill="1F3864" w:val="clear"/>
            <w:tcMar>
              <w:top w:type="dxa" w:w="70"/>
              <w:left w:type="dxa" w:w="90"/>
              <w:bottom w:type="dxa" w:w="70"/>
              <w:right w:type="dxa" w:w="90"/>
            </w:tcMar>
            <w:vAlign w:val="top"/>
          </w:tcPr>
          <w:p>
            <w:r>
              <w:rPr>
                <w:b/>
                <w:bCs/>
                <w:color w:val="FFFFFF"/>
                <w:sz w:val="17"/>
                <w:szCs w:val="17"/>
              </w:rPr>
              <w:t xml:space="preserve">Co-Financiers</w:t>
            </w:r>
          </w:p>
        </w:tc>
      </w:tr>
      <w:tr>
        <w:tc>
          <w:tcPr>
            <w:tcW w:type="dxa" w:w="3277"/>
            <w:tcMar>
              <w:top w:type="dxa" w:w="70"/>
              <w:left w:type="dxa" w:w="90"/>
              <w:bottom w:type="dxa" w:w="70"/>
              <w:right w:type="dxa" w:w="90"/>
            </w:tcMar>
            <w:vAlign w:val="top"/>
          </w:tcPr>
          <w:p>
            <w:r>
              <w:rPr>
                <w:b/>
                <w:bCs/>
                <w:color w:val="000000"/>
                <w:sz w:val="16"/>
                <w:szCs w:val="16"/>
              </w:rPr>
              <w:t xml:space="preserve">Taxonomy change request</w:t>
            </w:r>
          </w:p>
        </w:tc>
        <w:tc>
          <w:tcPr>
            <w:tcW w:type="dxa" w:w="1331"/>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w:t>
            </w:r>
          </w:p>
        </w:tc>
      </w:tr>
      <w:tr>
        <w:tc>
          <w:tcPr>
            <w:tcW w:type="dxa" w:w="3277"/>
            <w:tcMar>
              <w:top w:type="dxa" w:w="70"/>
              <w:left w:type="dxa" w:w="90"/>
              <w:bottom w:type="dxa" w:w="70"/>
              <w:right w:type="dxa" w:w="90"/>
            </w:tcMar>
            <w:vAlign w:val="top"/>
          </w:tcPr>
          <w:p>
            <w:r>
              <w:rPr>
                <w:b/>
                <w:bCs/>
                <w:color w:val="000000"/>
                <w:sz w:val="16"/>
                <w:szCs w:val="16"/>
              </w:rPr>
              <w:t xml:space="preserve">Security exception approval</w:t>
            </w:r>
          </w:p>
        </w:tc>
        <w:tc>
          <w:tcPr>
            <w:tcW w:type="dxa" w:w="1331"/>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R</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r>
      <w:tr>
        <w:tc>
          <w:tcPr>
            <w:tcW w:type="dxa" w:w="3277"/>
            <w:tcMar>
              <w:top w:type="dxa" w:w="70"/>
              <w:left w:type="dxa" w:w="90"/>
              <w:bottom w:type="dxa" w:w="70"/>
              <w:right w:type="dxa" w:w="90"/>
            </w:tcMar>
            <w:vAlign w:val="top"/>
          </w:tcPr>
          <w:p>
            <w:r>
              <w:rPr>
                <w:b/>
                <w:bCs/>
                <w:color w:val="000000"/>
                <w:sz w:val="16"/>
                <w:szCs w:val="16"/>
              </w:rPr>
              <w:t xml:space="preserve">Architecture exception approval</w:t>
            </w:r>
          </w:p>
        </w:tc>
        <w:tc>
          <w:tcPr>
            <w:tcW w:type="dxa" w:w="1331"/>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r>
      <w:tr>
        <w:tc>
          <w:tcPr>
            <w:tcW w:type="dxa" w:w="3277"/>
            <w:tcMar>
              <w:top w:type="dxa" w:w="70"/>
              <w:left w:type="dxa" w:w="90"/>
              <w:bottom w:type="dxa" w:w="70"/>
              <w:right w:type="dxa" w:w="90"/>
            </w:tcMar>
            <w:vAlign w:val="top"/>
          </w:tcPr>
          <w:p>
            <w:r>
              <w:rPr>
                <w:b/>
                <w:bCs/>
                <w:color w:val="000000"/>
                <w:sz w:val="16"/>
                <w:szCs w:val="16"/>
              </w:rPr>
              <w:t xml:space="preserve">New integration point approval (Section 7.6)</w:t>
            </w:r>
          </w:p>
        </w:tc>
        <w:tc>
          <w:tcPr>
            <w:tcW w:type="dxa" w:w="1331"/>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w:t>
            </w:r>
          </w:p>
        </w:tc>
      </w:tr>
      <w:tr>
        <w:tc>
          <w:tcPr>
            <w:tcW w:type="dxa" w:w="3277"/>
            <w:tcMar>
              <w:top w:type="dxa" w:w="70"/>
              <w:left w:type="dxa" w:w="90"/>
              <w:bottom w:type="dxa" w:w="70"/>
              <w:right w:type="dxa" w:w="90"/>
            </w:tcMar>
            <w:vAlign w:val="top"/>
          </w:tcPr>
          <w:p>
            <w:r>
              <w:rPr>
                <w:b/>
                <w:bCs/>
                <w:color w:val="000000"/>
                <w:sz w:val="16"/>
                <w:szCs w:val="16"/>
              </w:rPr>
              <w:t xml:space="preserve">Phase 2 roadmap item activation (Section 11.7)</w:t>
            </w:r>
          </w:p>
        </w:tc>
        <w:tc>
          <w:tcPr>
            <w:tcW w:type="dxa" w:w="1331"/>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r>
      <w:tr>
        <w:tc>
          <w:tcPr>
            <w:tcW w:type="dxa" w:w="3277"/>
            <w:tcMar>
              <w:top w:type="dxa" w:w="70"/>
              <w:left w:type="dxa" w:w="90"/>
              <w:bottom w:type="dxa" w:w="70"/>
              <w:right w:type="dxa" w:w="90"/>
            </w:tcMar>
            <w:vAlign w:val="top"/>
          </w:tcPr>
          <w:p>
            <w:r>
              <w:rPr>
                <w:b/>
                <w:bCs/>
                <w:color w:val="000000"/>
                <w:sz w:val="16"/>
                <w:szCs w:val="16"/>
              </w:rPr>
              <w:t xml:space="preserve">Quarterly access review sign-off (Section 8.13)</w:t>
            </w:r>
          </w:p>
        </w:tc>
        <w:tc>
          <w:tcPr>
            <w:tcW w:type="dxa" w:w="1331"/>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w:t>
            </w:r>
          </w:p>
        </w:tc>
      </w:tr>
      <w:tr>
        <w:tc>
          <w:tcPr>
            <w:tcW w:type="dxa" w:w="3277"/>
            <w:tcMar>
              <w:top w:type="dxa" w:w="70"/>
              <w:left w:type="dxa" w:w="90"/>
              <w:bottom w:type="dxa" w:w="70"/>
              <w:right w:type="dxa" w:w="90"/>
            </w:tcMar>
            <w:vAlign w:val="top"/>
          </w:tcPr>
          <w:p>
            <w:r>
              <w:rPr>
                <w:b/>
                <w:bCs/>
                <w:color w:val="000000"/>
                <w:sz w:val="16"/>
                <w:szCs w:val="16"/>
              </w:rPr>
              <w:t xml:space="preserve">Incident post-review (Critical/High severity, Section 8.9)</w:t>
            </w:r>
          </w:p>
        </w:tc>
        <w:tc>
          <w:tcPr>
            <w:tcW w:type="dxa" w:w="1331"/>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r>
      <w:tr>
        <w:tc>
          <w:tcPr>
            <w:tcW w:type="dxa" w:w="3277"/>
            <w:tcMar>
              <w:top w:type="dxa" w:w="70"/>
              <w:left w:type="dxa" w:w="90"/>
              <w:bottom w:type="dxa" w:w="70"/>
              <w:right w:type="dxa" w:w="90"/>
            </w:tcMar>
            <w:vAlign w:val="top"/>
          </w:tcPr>
          <w:p>
            <w:r>
              <w:rPr>
                <w:b/>
                <w:bCs/>
                <w:color w:val="000000"/>
                <w:sz w:val="16"/>
                <w:szCs w:val="16"/>
              </w:rPr>
              <w:t xml:space="preserve">Annual Governance Charter renewal review</w:t>
            </w:r>
          </w:p>
        </w:tc>
        <w:tc>
          <w:tcPr>
            <w:tcW w:type="dxa" w:w="1331"/>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A</w:t>
            </w:r>
          </w:p>
        </w:tc>
        <w:tc>
          <w:tcPr>
            <w:tcW w:type="dxa" w:w="1536"/>
            <w:tcMar>
              <w:top w:type="dxa" w:w="70"/>
              <w:left w:type="dxa" w:w="90"/>
              <w:bottom w:type="dxa" w:w="70"/>
              <w:right w:type="dxa" w:w="90"/>
            </w:tcMar>
            <w:vAlign w:val="top"/>
          </w:tcPr>
          <w:p>
            <w:r>
              <w:rPr>
                <w:b w:val="false"/>
                <w:bCs w:val="false"/>
                <w:color w:val="000000"/>
                <w:sz w:val="16"/>
                <w:szCs w:val="16"/>
              </w:rPr>
              <w:t xml:space="preserve">C</w:t>
            </w:r>
          </w:p>
        </w:tc>
        <w:tc>
          <w:tcPr>
            <w:tcW w:type="dxa" w:w="1536"/>
            <w:tcMar>
              <w:top w:type="dxa" w:w="70"/>
              <w:left w:type="dxa" w:w="90"/>
              <w:bottom w:type="dxa" w:w="70"/>
              <w:right w:type="dxa" w:w="90"/>
            </w:tcMar>
            <w:vAlign w:val="top"/>
          </w:tcPr>
          <w:p>
            <w:r>
              <w:rPr>
                <w:b w:val="false"/>
                <w:bCs w:val="false"/>
                <w:color w:val="000000"/>
                <w:sz w:val="16"/>
                <w:szCs w:val="16"/>
              </w:rPr>
              <w:t xml:space="preserve">I</w:t>
            </w:r>
          </w:p>
        </w:tc>
      </w:tr>
    </w:tbl>
    <w:p>
      <w:pPr>
        <w:spacing w:after="100"/>
      </w:pPr>
    </w:p>
    <w:p>
      <w:pPr>
        <w:spacing w:after="160" w:line="264"/>
      </w:pPr>
      <w:r>
        <w:rPr>
          <w:i/>
          <w:iCs/>
          <w:color w:val="555555"/>
          <w:sz w:val="18"/>
          <w:szCs w:val="18"/>
        </w:rPr>
        <w:t xml:space="preserve">R = Responsible; A = Accountable; C = Consulted; I = Informed; '-' = no expected role. Several activities show joint Accountability (KMC and National Programme Coordinator) consistent with the Charter's own co-signature model (Section 2.10) — this is a deliberate, recurring pattern in this governance model, not an inconsistency: content and taxonomy decisions default to KMC accountability, while decisions with programme-wide or financial consequence default to joint or National Programme Coordinator accountability.</w:t>
      </w:r>
    </w:p>
    <w:p>
      <w:pPr>
        <w:spacing w:after="160"/>
      </w:pPr>
    </w:p>
    <w:p>
      <w:pPr>
        <w:pStyle w:val="Heading1"/>
        <w:pBdr>
          <w:bottom w:val="single" w:color="1F3864" w:sz="6" w:space="4"/>
        </w:pBdr>
        <w:spacing w:after="130" w:before="320"/>
      </w:pPr>
      <w:r>
        <w:t xml:space="preserve">12.5 Standards and Policies Registry</w:t>
      </w:r>
    </w:p>
    <w:p>
      <w:pPr>
        <w:spacing w:after="150" w:line="276"/>
        <w:jc w:val="both"/>
      </w:pPr>
      <w:r>
        <w:t xml:space="preserve">Every standard, framework, and policy invoked across this Blueprint is consolidated here into a single registry, organized by type.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1638"/>
        <w:gridCol w:w="4096"/>
        <w:gridCol w:w="1843"/>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Standard / Policy</w:t>
            </w:r>
          </w:p>
        </w:tc>
        <w:tc>
          <w:tcPr>
            <w:tcW w:type="dxa" w:w="1638"/>
            <w:shd w:fill="1F3864" w:val="clear"/>
            <w:tcMar>
              <w:top w:type="dxa" w:w="70"/>
              <w:left w:type="dxa" w:w="90"/>
              <w:bottom w:type="dxa" w:w="70"/>
              <w:right w:type="dxa" w:w="90"/>
            </w:tcMar>
            <w:vAlign w:val="top"/>
          </w:tcPr>
          <w:p>
            <w:r>
              <w:rPr>
                <w:b/>
                <w:bCs/>
                <w:color w:val="FFFFFF"/>
                <w:sz w:val="17"/>
                <w:szCs w:val="17"/>
              </w:rPr>
              <w:t xml:space="preserve">Type</w:t>
            </w:r>
          </w:p>
        </w:tc>
        <w:tc>
          <w:tcPr>
            <w:tcW w:type="dxa" w:w="4096"/>
            <w:shd w:fill="1F3864" w:val="clear"/>
            <w:tcMar>
              <w:top w:type="dxa" w:w="70"/>
              <w:left w:type="dxa" w:w="90"/>
              <w:bottom w:type="dxa" w:w="70"/>
              <w:right w:type="dxa" w:w="90"/>
            </w:tcMar>
            <w:vAlign w:val="top"/>
          </w:tcPr>
          <w:p>
            <w:r>
              <w:rPr>
                <w:b/>
                <w:bCs/>
                <w:color w:val="FFFFFF"/>
                <w:sz w:val="17"/>
                <w:szCs w:val="17"/>
              </w:rPr>
              <w:t xml:space="preserve">Scope in This Architecture</w:t>
            </w:r>
          </w:p>
        </w:tc>
        <w:tc>
          <w:tcPr>
            <w:tcW w:type="dxa" w:w="1843"/>
            <w:shd w:fill="1F3864" w:val="clear"/>
            <w:tcMar>
              <w:top w:type="dxa" w:w="70"/>
              <w:left w:type="dxa" w:w="90"/>
              <w:bottom w:type="dxa" w:w="70"/>
              <w:right w:type="dxa" w:w="90"/>
            </w:tcMar>
            <w:vAlign w:val="top"/>
          </w:tcPr>
          <w:p>
            <w:r>
              <w:rPr>
                <w:b/>
                <w:bCs/>
                <w:color w:val="FFFFFF"/>
                <w:sz w:val="17"/>
                <w:szCs w:val="17"/>
              </w:rPr>
              <w:t xml:space="preserve">Reference</w:t>
            </w:r>
          </w:p>
        </w:tc>
      </w:tr>
      <w:tr>
        <w:tc>
          <w:tcPr>
            <w:tcW w:type="dxa" w:w="2662"/>
            <w:tcMar>
              <w:top w:type="dxa" w:w="70"/>
              <w:left w:type="dxa" w:w="90"/>
              <w:bottom w:type="dxa" w:w="70"/>
              <w:right w:type="dxa" w:w="90"/>
            </w:tcMar>
            <w:vAlign w:val="top"/>
          </w:tcPr>
          <w:p>
            <w:r>
              <w:rPr>
                <w:b/>
                <w:bCs/>
                <w:color w:val="000000"/>
                <w:sz w:val="16"/>
                <w:szCs w:val="16"/>
              </w:rPr>
              <w:t xml:space="preserve">TOGAF Architecture Development Method</w:t>
            </w:r>
          </w:p>
        </w:tc>
        <w:tc>
          <w:tcPr>
            <w:tcW w:type="dxa" w:w="1638"/>
            <w:tcMar>
              <w:top w:type="dxa" w:w="70"/>
              <w:left w:type="dxa" w:w="90"/>
              <w:bottom w:type="dxa" w:w="70"/>
              <w:right w:type="dxa" w:w="90"/>
            </w:tcMar>
            <w:vAlign w:val="top"/>
          </w:tcPr>
          <w:p>
            <w:r>
              <w:rPr>
                <w:b w:val="false"/>
                <w:bCs w:val="false"/>
                <w:color w:val="000000"/>
                <w:sz w:val="16"/>
                <w:szCs w:val="16"/>
              </w:rPr>
              <w:t xml:space="preserve">Architecture framework</w:t>
            </w:r>
          </w:p>
        </w:tc>
        <w:tc>
          <w:tcPr>
            <w:tcW w:type="dxa" w:w="4096"/>
            <w:tcMar>
              <w:top w:type="dxa" w:w="70"/>
              <w:left w:type="dxa" w:w="90"/>
              <w:bottom w:type="dxa" w:w="70"/>
              <w:right w:type="dxa" w:w="90"/>
            </w:tcMar>
            <w:vAlign w:val="top"/>
          </w:tcPr>
          <w:p>
            <w:r>
              <w:rPr>
                <w:b w:val="false"/>
                <w:bCs w:val="false"/>
                <w:color w:val="000000"/>
                <w:sz w:val="16"/>
                <w:szCs w:val="16"/>
              </w:rPr>
              <w:t xml:space="preserve">Governs the overall structure of this sixteen-section Blueprint.</w:t>
            </w:r>
          </w:p>
        </w:tc>
        <w:tc>
          <w:tcPr>
            <w:tcW w:type="dxa" w:w="1843"/>
            <w:tcMar>
              <w:top w:type="dxa" w:w="70"/>
              <w:left w:type="dxa" w:w="90"/>
              <w:bottom w:type="dxa" w:w="70"/>
              <w:right w:type="dxa" w:w="90"/>
            </w:tcMar>
            <w:vAlign w:val="top"/>
          </w:tcPr>
          <w:p>
            <w:r>
              <w:rPr>
                <w:b w:val="false"/>
                <w:bCs w:val="false"/>
                <w:color w:val="000000"/>
                <w:sz w:val="16"/>
                <w:szCs w:val="16"/>
              </w:rPr>
              <w:t xml:space="preserve">Section 1</w:t>
            </w:r>
          </w:p>
        </w:tc>
      </w:tr>
      <w:tr>
        <w:tc>
          <w:tcPr>
            <w:tcW w:type="dxa" w:w="2662"/>
            <w:tcMar>
              <w:top w:type="dxa" w:w="70"/>
              <w:left w:type="dxa" w:w="90"/>
              <w:bottom w:type="dxa" w:w="70"/>
              <w:right w:type="dxa" w:w="90"/>
            </w:tcMar>
            <w:vAlign w:val="top"/>
          </w:tcPr>
          <w:p>
            <w:r>
              <w:rPr>
                <w:b/>
                <w:bCs/>
                <w:color w:val="000000"/>
                <w:sz w:val="16"/>
                <w:szCs w:val="16"/>
              </w:rPr>
              <w:t xml:space="preserve">ArchiMate</w:t>
            </w:r>
          </w:p>
        </w:tc>
        <w:tc>
          <w:tcPr>
            <w:tcW w:type="dxa" w:w="1638"/>
            <w:tcMar>
              <w:top w:type="dxa" w:w="70"/>
              <w:left w:type="dxa" w:w="90"/>
              <w:bottom w:type="dxa" w:w="70"/>
              <w:right w:type="dxa" w:w="90"/>
            </w:tcMar>
            <w:vAlign w:val="top"/>
          </w:tcPr>
          <w:p>
            <w:r>
              <w:rPr>
                <w:b w:val="false"/>
                <w:bCs w:val="false"/>
                <w:color w:val="000000"/>
                <w:sz w:val="16"/>
                <w:szCs w:val="16"/>
              </w:rPr>
              <w:t xml:space="preserve">Architecture notation</w:t>
            </w:r>
          </w:p>
        </w:tc>
        <w:tc>
          <w:tcPr>
            <w:tcW w:type="dxa" w:w="4096"/>
            <w:tcMar>
              <w:top w:type="dxa" w:w="70"/>
              <w:left w:type="dxa" w:w="90"/>
              <w:bottom w:type="dxa" w:w="70"/>
              <w:right w:type="dxa" w:w="90"/>
            </w:tcMar>
            <w:vAlign w:val="top"/>
          </w:tcPr>
          <w:p>
            <w:r>
              <w:rPr>
                <w:b w:val="false"/>
                <w:bCs w:val="false"/>
                <w:color w:val="000000"/>
                <w:sz w:val="16"/>
                <w:szCs w:val="16"/>
              </w:rPr>
              <w:t xml:space="preserve">Informs the visual diagram set specified for production in Section 16.</w:t>
            </w:r>
          </w:p>
        </w:tc>
        <w:tc>
          <w:tcPr>
            <w:tcW w:type="dxa" w:w="1843"/>
            <w:tcMar>
              <w:top w:type="dxa" w:w="70"/>
              <w:left w:type="dxa" w:w="90"/>
              <w:bottom w:type="dxa" w:w="70"/>
              <w:right w:type="dxa" w:w="90"/>
            </w:tcMar>
            <w:vAlign w:val="top"/>
          </w:tcPr>
          <w:p>
            <w:r>
              <w:rPr>
                <w:b w:val="false"/>
                <w:bCs w:val="false"/>
                <w:color w:val="000000"/>
                <w:sz w:val="16"/>
                <w:szCs w:val="16"/>
              </w:rPr>
              <w:t xml:space="preserve">Section 16</w:t>
            </w:r>
          </w:p>
        </w:tc>
      </w:tr>
      <w:tr>
        <w:tc>
          <w:tcPr>
            <w:tcW w:type="dxa" w:w="2662"/>
            <w:tcMar>
              <w:top w:type="dxa" w:w="70"/>
              <w:left w:type="dxa" w:w="90"/>
              <w:bottom w:type="dxa" w:w="70"/>
              <w:right w:type="dxa" w:w="90"/>
            </w:tcMar>
            <w:vAlign w:val="top"/>
          </w:tcPr>
          <w:p>
            <w:r>
              <w:rPr>
                <w:b/>
                <w:bCs/>
                <w:color w:val="000000"/>
                <w:sz w:val="16"/>
                <w:szCs w:val="16"/>
              </w:rPr>
              <w:t xml:space="preserve">ISO 27001</w:t>
            </w:r>
          </w:p>
        </w:tc>
        <w:tc>
          <w:tcPr>
            <w:tcW w:type="dxa" w:w="1638"/>
            <w:tcMar>
              <w:top w:type="dxa" w:w="70"/>
              <w:left w:type="dxa" w:w="90"/>
              <w:bottom w:type="dxa" w:w="70"/>
              <w:right w:type="dxa" w:w="90"/>
            </w:tcMar>
            <w:vAlign w:val="top"/>
          </w:tcPr>
          <w:p>
            <w:r>
              <w:rPr>
                <w:b w:val="false"/>
                <w:bCs w:val="false"/>
                <w:color w:val="000000"/>
                <w:sz w:val="16"/>
                <w:szCs w:val="16"/>
              </w:rPr>
              <w:t xml:space="preserve">Information security management</w:t>
            </w:r>
          </w:p>
        </w:tc>
        <w:tc>
          <w:tcPr>
            <w:tcW w:type="dxa" w:w="4096"/>
            <w:tcMar>
              <w:top w:type="dxa" w:w="70"/>
              <w:left w:type="dxa" w:w="90"/>
              <w:bottom w:type="dxa" w:w="70"/>
              <w:right w:type="dxa" w:w="90"/>
            </w:tcMar>
            <w:vAlign w:val="top"/>
          </w:tcPr>
          <w:p>
            <w:r>
              <w:rPr>
                <w:b w:val="false"/>
                <w:bCs w:val="false"/>
                <w:color w:val="000000"/>
                <w:sz w:val="16"/>
                <w:szCs w:val="16"/>
              </w:rPr>
              <w:t xml:space="preserve">Governance structure behind the Security Architecture (Section 8).</w:t>
            </w:r>
          </w:p>
        </w:tc>
        <w:tc>
          <w:tcPr>
            <w:tcW w:type="dxa" w:w="1843"/>
            <w:tcMar>
              <w:top w:type="dxa" w:w="70"/>
              <w:left w:type="dxa" w:w="90"/>
              <w:bottom w:type="dxa" w:w="70"/>
              <w:right w:type="dxa" w:w="90"/>
            </w:tcMar>
            <w:vAlign w:val="top"/>
          </w:tcPr>
          <w:p>
            <w:r>
              <w:rPr>
                <w:b w:val="false"/>
                <w:bCs w:val="false"/>
                <w:color w:val="000000"/>
                <w:sz w:val="16"/>
                <w:szCs w:val="16"/>
              </w:rPr>
              <w:t xml:space="preserve">Section 8.2</w:t>
            </w:r>
          </w:p>
        </w:tc>
      </w:tr>
      <w:tr>
        <w:tc>
          <w:tcPr>
            <w:tcW w:type="dxa" w:w="2662"/>
            <w:tcMar>
              <w:top w:type="dxa" w:w="70"/>
              <w:left w:type="dxa" w:w="90"/>
              <w:bottom w:type="dxa" w:w="70"/>
              <w:right w:type="dxa" w:w="90"/>
            </w:tcMar>
            <w:vAlign w:val="top"/>
          </w:tcPr>
          <w:p>
            <w:r>
              <w:rPr>
                <w:b/>
                <w:bCs/>
                <w:color w:val="000000"/>
                <w:sz w:val="16"/>
                <w:szCs w:val="16"/>
              </w:rPr>
              <w:t xml:space="preserve">OWASP (Top 10, ASVS)</w:t>
            </w:r>
          </w:p>
        </w:tc>
        <w:tc>
          <w:tcPr>
            <w:tcW w:type="dxa" w:w="1638"/>
            <w:tcMar>
              <w:top w:type="dxa" w:w="70"/>
              <w:left w:type="dxa" w:w="90"/>
              <w:bottom w:type="dxa" w:w="70"/>
              <w:right w:type="dxa" w:w="90"/>
            </w:tcMar>
            <w:vAlign w:val="top"/>
          </w:tcPr>
          <w:p>
            <w:r>
              <w:rPr>
                <w:b w:val="false"/>
                <w:bCs w:val="false"/>
                <w:color w:val="000000"/>
                <w:sz w:val="16"/>
                <w:szCs w:val="16"/>
              </w:rPr>
              <w:t xml:space="preserve">Application security standard</w:t>
            </w:r>
          </w:p>
        </w:tc>
        <w:tc>
          <w:tcPr>
            <w:tcW w:type="dxa" w:w="4096"/>
            <w:tcMar>
              <w:top w:type="dxa" w:w="70"/>
              <w:left w:type="dxa" w:w="90"/>
              <w:bottom w:type="dxa" w:w="70"/>
              <w:right w:type="dxa" w:w="90"/>
            </w:tcMar>
            <w:vAlign w:val="top"/>
          </w:tcPr>
          <w:p>
            <w:r>
              <w:rPr>
                <w:b w:val="false"/>
                <w:bCs w:val="false"/>
                <w:color w:val="000000"/>
                <w:sz w:val="16"/>
                <w:szCs w:val="16"/>
              </w:rPr>
              <w:t xml:space="preserve">Secure coding and configuration practice for ESM, CKR, and the API Gateway.</w:t>
            </w:r>
          </w:p>
        </w:tc>
        <w:tc>
          <w:tcPr>
            <w:tcW w:type="dxa" w:w="1843"/>
            <w:tcMar>
              <w:top w:type="dxa" w:w="70"/>
              <w:left w:type="dxa" w:w="90"/>
              <w:bottom w:type="dxa" w:w="70"/>
              <w:right w:type="dxa" w:w="90"/>
            </w:tcMar>
            <w:vAlign w:val="top"/>
          </w:tcPr>
          <w:p>
            <w:r>
              <w:rPr>
                <w:b w:val="false"/>
                <w:bCs w:val="false"/>
                <w:color w:val="000000"/>
                <w:sz w:val="16"/>
                <w:szCs w:val="16"/>
              </w:rPr>
              <w:t xml:space="preserve">Section 8.2</w:t>
            </w:r>
          </w:p>
        </w:tc>
      </w:tr>
      <w:tr>
        <w:tc>
          <w:tcPr>
            <w:tcW w:type="dxa" w:w="2662"/>
            <w:tcMar>
              <w:top w:type="dxa" w:w="70"/>
              <w:left w:type="dxa" w:w="90"/>
              <w:bottom w:type="dxa" w:w="70"/>
              <w:right w:type="dxa" w:w="90"/>
            </w:tcMar>
            <w:vAlign w:val="top"/>
          </w:tcPr>
          <w:p>
            <w:r>
              <w:rPr>
                <w:b/>
                <w:bCs/>
                <w:color w:val="000000"/>
                <w:sz w:val="16"/>
                <w:szCs w:val="16"/>
              </w:rPr>
              <w:t xml:space="preserve">Nigeria Data Protection Regulation (NDPR)</w:t>
            </w:r>
          </w:p>
        </w:tc>
        <w:tc>
          <w:tcPr>
            <w:tcW w:type="dxa" w:w="1638"/>
            <w:tcMar>
              <w:top w:type="dxa" w:w="70"/>
              <w:left w:type="dxa" w:w="90"/>
              <w:bottom w:type="dxa" w:w="70"/>
              <w:right w:type="dxa" w:w="90"/>
            </w:tcMar>
            <w:vAlign w:val="top"/>
          </w:tcPr>
          <w:p>
            <w:r>
              <w:rPr>
                <w:b w:val="false"/>
                <w:bCs w:val="false"/>
                <w:color w:val="000000"/>
                <w:sz w:val="16"/>
                <w:szCs w:val="16"/>
              </w:rPr>
              <w:t xml:space="preserve">Legal / regulatory</w:t>
            </w:r>
          </w:p>
        </w:tc>
        <w:tc>
          <w:tcPr>
            <w:tcW w:type="dxa" w:w="4096"/>
            <w:tcMar>
              <w:top w:type="dxa" w:w="70"/>
              <w:left w:type="dxa" w:w="90"/>
              <w:bottom w:type="dxa" w:w="70"/>
              <w:right w:type="dxa" w:w="90"/>
            </w:tcMar>
            <w:vAlign w:val="top"/>
          </w:tcPr>
          <w:p>
            <w:r>
              <w:rPr>
                <w:b w:val="false"/>
                <w:bCs w:val="false"/>
                <w:color w:val="000000"/>
                <w:sz w:val="16"/>
                <w:szCs w:val="16"/>
              </w:rPr>
              <w:t xml:space="preserve">Governs personal data handling, retention, and breach notification.</w:t>
            </w:r>
          </w:p>
        </w:tc>
        <w:tc>
          <w:tcPr>
            <w:tcW w:type="dxa" w:w="1843"/>
            <w:tcMar>
              <w:top w:type="dxa" w:w="70"/>
              <w:left w:type="dxa" w:w="90"/>
              <w:bottom w:type="dxa" w:w="70"/>
              <w:right w:type="dxa" w:w="90"/>
            </w:tcMar>
            <w:vAlign w:val="top"/>
          </w:tcPr>
          <w:p>
            <w:r>
              <w:rPr>
                <w:b w:val="false"/>
                <w:bCs w:val="false"/>
                <w:color w:val="000000"/>
                <w:sz w:val="16"/>
                <w:szCs w:val="16"/>
              </w:rPr>
              <w:t xml:space="preserve">Sections 6.11, 8.2, 8.9</w:t>
            </w:r>
          </w:p>
        </w:tc>
      </w:tr>
      <w:tr>
        <w:tc>
          <w:tcPr>
            <w:tcW w:type="dxa" w:w="2662"/>
            <w:tcMar>
              <w:top w:type="dxa" w:w="70"/>
              <w:left w:type="dxa" w:w="90"/>
              <w:bottom w:type="dxa" w:w="70"/>
              <w:right w:type="dxa" w:w="90"/>
            </w:tcMar>
            <w:vAlign w:val="top"/>
          </w:tcPr>
          <w:p>
            <w:r>
              <w:rPr>
                <w:b/>
                <w:bCs/>
                <w:color w:val="000000"/>
                <w:sz w:val="16"/>
                <w:szCs w:val="16"/>
              </w:rPr>
              <w:t xml:space="preserve">IFAD Anti-Money Laundering Policy</w:t>
            </w:r>
          </w:p>
        </w:tc>
        <w:tc>
          <w:tcPr>
            <w:tcW w:type="dxa" w:w="1638"/>
            <w:tcMar>
              <w:top w:type="dxa" w:w="70"/>
              <w:left w:type="dxa" w:w="90"/>
              <w:bottom w:type="dxa" w:w="70"/>
              <w:right w:type="dxa" w:w="90"/>
            </w:tcMar>
            <w:vAlign w:val="top"/>
          </w:tcPr>
          <w:p>
            <w:r>
              <w:rPr>
                <w:b w:val="false"/>
                <w:bCs w:val="false"/>
                <w:color w:val="000000"/>
                <w:sz w:val="16"/>
                <w:szCs w:val="16"/>
              </w:rPr>
              <w:t xml:space="preserve">Donor compliance policy</w:t>
            </w:r>
          </w:p>
        </w:tc>
        <w:tc>
          <w:tcPr>
            <w:tcW w:type="dxa" w:w="4096"/>
            <w:tcMar>
              <w:top w:type="dxa" w:w="70"/>
              <w:left w:type="dxa" w:w="90"/>
              <w:bottom w:type="dxa" w:w="70"/>
              <w:right w:type="dxa" w:w="90"/>
            </w:tcMar>
            <w:vAlign w:val="top"/>
          </w:tcPr>
          <w:p>
            <w:r>
              <w:rPr>
                <w:b w:val="false"/>
                <w:bCs w:val="false"/>
                <w:color w:val="000000"/>
                <w:sz w:val="16"/>
                <w:szCs w:val="16"/>
              </w:rPr>
              <w:t xml:space="preserve">Referenced in the REOI; relevant to programme financial governance.</w:t>
            </w:r>
          </w:p>
        </w:tc>
        <w:tc>
          <w:tcPr>
            <w:tcW w:type="dxa" w:w="1843"/>
            <w:tcMar>
              <w:top w:type="dxa" w:w="70"/>
              <w:left w:type="dxa" w:w="90"/>
              <w:bottom w:type="dxa" w:w="70"/>
              <w:right w:type="dxa" w:w="90"/>
            </w:tcMar>
            <w:vAlign w:val="top"/>
          </w:tcPr>
          <w:p>
            <w:r>
              <w:rPr>
                <w:b w:val="false"/>
                <w:bCs w:val="false"/>
                <w:color w:val="000000"/>
                <w:sz w:val="16"/>
                <w:szCs w:val="16"/>
              </w:rPr>
              <w:t xml:space="preserve">Executive Advice Briefing</w:t>
            </w:r>
          </w:p>
        </w:tc>
      </w:tr>
      <w:tr>
        <w:tc>
          <w:tcPr>
            <w:tcW w:type="dxa" w:w="2662"/>
            <w:tcMar>
              <w:top w:type="dxa" w:w="70"/>
              <w:left w:type="dxa" w:w="90"/>
              <w:bottom w:type="dxa" w:w="70"/>
              <w:right w:type="dxa" w:w="90"/>
            </w:tcMar>
            <w:vAlign w:val="top"/>
          </w:tcPr>
          <w:p>
            <w:r>
              <w:rPr>
                <w:b/>
                <w:bCs/>
                <w:color w:val="000000"/>
                <w:sz w:val="16"/>
                <w:szCs w:val="16"/>
              </w:rPr>
              <w:t xml:space="preserve">IFAD Anti-Fraud and Corruption Policy</w:t>
            </w:r>
          </w:p>
        </w:tc>
        <w:tc>
          <w:tcPr>
            <w:tcW w:type="dxa" w:w="1638"/>
            <w:tcMar>
              <w:top w:type="dxa" w:w="70"/>
              <w:left w:type="dxa" w:w="90"/>
              <w:bottom w:type="dxa" w:w="70"/>
              <w:right w:type="dxa" w:w="90"/>
            </w:tcMar>
            <w:vAlign w:val="top"/>
          </w:tcPr>
          <w:p>
            <w:r>
              <w:rPr>
                <w:b w:val="false"/>
                <w:bCs w:val="false"/>
                <w:color w:val="000000"/>
                <w:sz w:val="16"/>
                <w:szCs w:val="16"/>
              </w:rPr>
              <w:t xml:space="preserve">Donor compliance policy</w:t>
            </w:r>
          </w:p>
        </w:tc>
        <w:tc>
          <w:tcPr>
            <w:tcW w:type="dxa" w:w="4096"/>
            <w:tcMar>
              <w:top w:type="dxa" w:w="70"/>
              <w:left w:type="dxa" w:w="90"/>
              <w:bottom w:type="dxa" w:w="70"/>
              <w:right w:type="dxa" w:w="90"/>
            </w:tcMar>
            <w:vAlign w:val="top"/>
          </w:tcPr>
          <w:p>
            <w:r>
              <w:rPr>
                <w:b w:val="false"/>
                <w:bCs w:val="false"/>
                <w:color w:val="000000"/>
                <w:sz w:val="16"/>
                <w:szCs w:val="16"/>
              </w:rPr>
              <w:t xml:space="preserve">Referenced in the REOI; relevant to programme integrity governance.</w:t>
            </w:r>
          </w:p>
        </w:tc>
        <w:tc>
          <w:tcPr>
            <w:tcW w:type="dxa" w:w="1843"/>
            <w:tcMar>
              <w:top w:type="dxa" w:w="70"/>
              <w:left w:type="dxa" w:w="90"/>
              <w:bottom w:type="dxa" w:w="70"/>
              <w:right w:type="dxa" w:w="90"/>
            </w:tcMar>
            <w:vAlign w:val="top"/>
          </w:tcPr>
          <w:p>
            <w:r>
              <w:rPr>
                <w:b w:val="false"/>
                <w:bCs w:val="false"/>
                <w:color w:val="000000"/>
                <w:sz w:val="16"/>
                <w:szCs w:val="16"/>
              </w:rPr>
              <w:t xml:space="preserve">Executive Advice Briefing</w:t>
            </w:r>
          </w:p>
        </w:tc>
      </w:tr>
      <w:tr>
        <w:tc>
          <w:tcPr>
            <w:tcW w:type="dxa" w:w="2662"/>
            <w:tcMar>
              <w:top w:type="dxa" w:w="70"/>
              <w:left w:type="dxa" w:w="90"/>
              <w:bottom w:type="dxa" w:w="70"/>
              <w:right w:type="dxa" w:w="90"/>
            </w:tcMar>
            <w:vAlign w:val="top"/>
          </w:tcPr>
          <w:p>
            <w:r>
              <w:rPr>
                <w:b/>
                <w:bCs/>
                <w:color w:val="000000"/>
                <w:sz w:val="16"/>
                <w:szCs w:val="16"/>
              </w:rPr>
              <w:t xml:space="preserve">IFAD PSEA Policy (Sexual Exploitation and Abuse)</w:t>
            </w:r>
          </w:p>
        </w:tc>
        <w:tc>
          <w:tcPr>
            <w:tcW w:type="dxa" w:w="1638"/>
            <w:tcMar>
              <w:top w:type="dxa" w:w="70"/>
              <w:left w:type="dxa" w:w="90"/>
              <w:bottom w:type="dxa" w:w="70"/>
              <w:right w:type="dxa" w:w="90"/>
            </w:tcMar>
            <w:vAlign w:val="top"/>
          </w:tcPr>
          <w:p>
            <w:r>
              <w:rPr>
                <w:b w:val="false"/>
                <w:bCs w:val="false"/>
                <w:color w:val="000000"/>
                <w:sz w:val="16"/>
                <w:szCs w:val="16"/>
              </w:rPr>
              <w:t xml:space="preserve">Donor compliance policy</w:t>
            </w:r>
          </w:p>
        </w:tc>
        <w:tc>
          <w:tcPr>
            <w:tcW w:type="dxa" w:w="4096"/>
            <w:tcMar>
              <w:top w:type="dxa" w:w="70"/>
              <w:left w:type="dxa" w:w="90"/>
              <w:bottom w:type="dxa" w:w="70"/>
              <w:right w:type="dxa" w:w="90"/>
            </w:tcMar>
            <w:vAlign w:val="top"/>
          </w:tcPr>
          <w:p>
            <w:r>
              <w:rPr>
                <w:b w:val="false"/>
                <w:bCs w:val="false"/>
                <w:color w:val="000000"/>
                <w:sz w:val="16"/>
                <w:szCs w:val="16"/>
              </w:rPr>
              <w:t xml:space="preserve">Referenced in the REOI as an ongoing disclosure obligation.</w:t>
            </w:r>
          </w:p>
        </w:tc>
        <w:tc>
          <w:tcPr>
            <w:tcW w:type="dxa" w:w="1843"/>
            <w:tcMar>
              <w:top w:type="dxa" w:w="70"/>
              <w:left w:type="dxa" w:w="90"/>
              <w:bottom w:type="dxa" w:w="70"/>
              <w:right w:type="dxa" w:w="90"/>
            </w:tcMar>
            <w:vAlign w:val="top"/>
          </w:tcPr>
          <w:p>
            <w:r>
              <w:rPr>
                <w:b w:val="false"/>
                <w:bCs w:val="false"/>
                <w:color w:val="000000"/>
                <w:sz w:val="16"/>
                <w:szCs w:val="16"/>
              </w:rPr>
              <w:t xml:space="preserve">Executive Advice Briefing</w:t>
            </w:r>
          </w:p>
        </w:tc>
      </w:tr>
      <w:tr>
        <w:tc>
          <w:tcPr>
            <w:tcW w:type="dxa" w:w="2662"/>
            <w:tcMar>
              <w:top w:type="dxa" w:w="70"/>
              <w:left w:type="dxa" w:w="90"/>
              <w:bottom w:type="dxa" w:w="70"/>
              <w:right w:type="dxa" w:w="90"/>
            </w:tcMar>
            <w:vAlign w:val="top"/>
          </w:tcPr>
          <w:p>
            <w:r>
              <w:rPr>
                <w:b/>
                <w:bCs/>
                <w:color w:val="000000"/>
                <w:sz w:val="16"/>
                <w:szCs w:val="16"/>
              </w:rPr>
              <w:t xml:space="preserve">Data &amp; Content Governance Charter</w:t>
            </w:r>
          </w:p>
        </w:tc>
        <w:tc>
          <w:tcPr>
            <w:tcW w:type="dxa" w:w="1638"/>
            <w:tcMar>
              <w:top w:type="dxa" w:w="70"/>
              <w:left w:type="dxa" w:w="90"/>
              <w:bottom w:type="dxa" w:w="70"/>
              <w:right w:type="dxa" w:w="90"/>
            </w:tcMar>
            <w:vAlign w:val="top"/>
          </w:tcPr>
          <w:p>
            <w:r>
              <w:rPr>
                <w:b w:val="false"/>
                <w:bCs w:val="false"/>
                <w:color w:val="000000"/>
                <w:sz w:val="16"/>
                <w:szCs w:val="16"/>
              </w:rPr>
              <w:t xml:space="preserve">Programme-specific instrument</w:t>
            </w:r>
          </w:p>
        </w:tc>
        <w:tc>
          <w:tcPr>
            <w:tcW w:type="dxa" w:w="4096"/>
            <w:tcMar>
              <w:top w:type="dxa" w:w="70"/>
              <w:left w:type="dxa" w:w="90"/>
              <w:bottom w:type="dxa" w:w="70"/>
              <w:right w:type="dxa" w:w="90"/>
            </w:tcMar>
            <w:vAlign w:val="top"/>
          </w:tcPr>
          <w:p>
            <w:r>
              <w:rPr>
                <w:b w:val="false"/>
                <w:bCs w:val="false"/>
                <w:color w:val="000000"/>
                <w:sz w:val="16"/>
                <w:szCs w:val="16"/>
              </w:rPr>
              <w:t xml:space="preserve">The single governing instrument for taxonomy, retention, and ownership decisions across ESM and CKR.</w:t>
            </w:r>
          </w:p>
        </w:tc>
        <w:tc>
          <w:tcPr>
            <w:tcW w:type="dxa" w:w="1843"/>
            <w:tcMar>
              <w:top w:type="dxa" w:w="70"/>
              <w:left w:type="dxa" w:w="90"/>
              <w:bottom w:type="dxa" w:w="70"/>
              <w:right w:type="dxa" w:w="90"/>
            </w:tcMar>
            <w:vAlign w:val="top"/>
          </w:tcPr>
          <w:p>
            <w:r>
              <w:rPr>
                <w:b w:val="false"/>
                <w:bCs w:val="false"/>
                <w:color w:val="000000"/>
                <w:sz w:val="16"/>
                <w:szCs w:val="16"/>
              </w:rPr>
              <w:t xml:space="preserve">Section 2.10</w:t>
            </w:r>
          </w:p>
        </w:tc>
      </w:tr>
      <w:tr>
        <w:tc>
          <w:tcPr>
            <w:tcW w:type="dxa" w:w="2662"/>
            <w:tcMar>
              <w:top w:type="dxa" w:w="70"/>
              <w:left w:type="dxa" w:w="90"/>
              <w:bottom w:type="dxa" w:w="70"/>
              <w:right w:type="dxa" w:w="90"/>
            </w:tcMar>
            <w:vAlign w:val="top"/>
          </w:tcPr>
          <w:p>
            <w:r>
              <w:rPr>
                <w:b/>
                <w:bCs/>
                <w:color w:val="000000"/>
                <w:sz w:val="16"/>
                <w:szCs w:val="16"/>
              </w:rPr>
              <w:t xml:space="preserve">Shared Taxonomy and Metadata Standard</w:t>
            </w:r>
          </w:p>
        </w:tc>
        <w:tc>
          <w:tcPr>
            <w:tcW w:type="dxa" w:w="1638"/>
            <w:tcMar>
              <w:top w:type="dxa" w:w="70"/>
              <w:left w:type="dxa" w:w="90"/>
              <w:bottom w:type="dxa" w:w="70"/>
              <w:right w:type="dxa" w:w="90"/>
            </w:tcMar>
            <w:vAlign w:val="top"/>
          </w:tcPr>
          <w:p>
            <w:r>
              <w:rPr>
                <w:b w:val="false"/>
                <w:bCs w:val="false"/>
                <w:color w:val="000000"/>
                <w:sz w:val="16"/>
                <w:szCs w:val="16"/>
              </w:rPr>
              <w:t xml:space="preserve">Programme-specific standard</w:t>
            </w:r>
          </w:p>
        </w:tc>
        <w:tc>
          <w:tcPr>
            <w:tcW w:type="dxa" w:w="4096"/>
            <w:tcMar>
              <w:top w:type="dxa" w:w="70"/>
              <w:left w:type="dxa" w:w="90"/>
              <w:bottom w:type="dxa" w:w="70"/>
              <w:right w:type="dxa" w:w="90"/>
            </w:tcMar>
            <w:vAlign w:val="top"/>
          </w:tcPr>
          <w:p>
            <w:r>
              <w:rPr>
                <w:b w:val="false"/>
                <w:bCs w:val="false"/>
                <w:color w:val="000000"/>
                <w:sz w:val="16"/>
                <w:szCs w:val="16"/>
              </w:rPr>
              <w:t xml:space="preserve">Controlled vocabulary and mandatory metadata schema applied identically across both systems.</w:t>
            </w:r>
          </w:p>
        </w:tc>
        <w:tc>
          <w:tcPr>
            <w:tcW w:type="dxa" w:w="1843"/>
            <w:tcMar>
              <w:top w:type="dxa" w:w="70"/>
              <w:left w:type="dxa" w:w="90"/>
              <w:bottom w:type="dxa" w:w="70"/>
              <w:right w:type="dxa" w:w="90"/>
            </w:tcMar>
            <w:vAlign w:val="top"/>
          </w:tcPr>
          <w:p>
            <w:r>
              <w:rPr>
                <w:b w:val="false"/>
                <w:bCs w:val="false"/>
                <w:color w:val="000000"/>
                <w:sz w:val="16"/>
                <w:szCs w:val="16"/>
              </w:rPr>
              <w:t xml:space="preserve">Sections 5.4–5.5</w:t>
            </w:r>
          </w:p>
        </w:tc>
      </w:tr>
      <w:tr>
        <w:tc>
          <w:tcPr>
            <w:tcW w:type="dxa" w:w="2662"/>
            <w:tcMar>
              <w:top w:type="dxa" w:w="70"/>
              <w:left w:type="dxa" w:w="90"/>
              <w:bottom w:type="dxa" w:w="70"/>
              <w:right w:type="dxa" w:w="90"/>
            </w:tcMar>
            <w:vAlign w:val="top"/>
          </w:tcPr>
          <w:p>
            <w:r>
              <w:rPr>
                <w:b/>
                <w:bCs/>
                <w:color w:val="000000"/>
                <w:sz w:val="16"/>
                <w:szCs w:val="16"/>
              </w:rPr>
              <w:t xml:space="preserve">Retention Schedule</w:t>
            </w:r>
          </w:p>
        </w:tc>
        <w:tc>
          <w:tcPr>
            <w:tcW w:type="dxa" w:w="1638"/>
            <w:tcMar>
              <w:top w:type="dxa" w:w="70"/>
              <w:left w:type="dxa" w:w="90"/>
              <w:bottom w:type="dxa" w:w="70"/>
              <w:right w:type="dxa" w:w="90"/>
            </w:tcMar>
            <w:vAlign w:val="top"/>
          </w:tcPr>
          <w:p>
            <w:r>
              <w:rPr>
                <w:b w:val="false"/>
                <w:bCs w:val="false"/>
                <w:color w:val="000000"/>
                <w:sz w:val="16"/>
                <w:szCs w:val="16"/>
              </w:rPr>
              <w:t xml:space="preserve">Programme-specific policy</w:t>
            </w:r>
          </w:p>
        </w:tc>
        <w:tc>
          <w:tcPr>
            <w:tcW w:type="dxa" w:w="4096"/>
            <w:tcMar>
              <w:top w:type="dxa" w:w="70"/>
              <w:left w:type="dxa" w:w="90"/>
              <w:bottom w:type="dxa" w:w="70"/>
              <w:right w:type="dxa" w:w="90"/>
            </w:tcMar>
            <w:vAlign w:val="top"/>
          </w:tcPr>
          <w:p>
            <w:r>
              <w:rPr>
                <w:b w:val="false"/>
                <w:bCs w:val="false"/>
                <w:color w:val="000000"/>
                <w:sz w:val="16"/>
                <w:szCs w:val="16"/>
              </w:rPr>
              <w:t xml:space="preserve">Retention class and disposition rules by content type.</w:t>
            </w:r>
          </w:p>
        </w:tc>
        <w:tc>
          <w:tcPr>
            <w:tcW w:type="dxa" w:w="1843"/>
            <w:tcMar>
              <w:top w:type="dxa" w:w="70"/>
              <w:left w:type="dxa" w:w="90"/>
              <w:bottom w:type="dxa" w:w="70"/>
              <w:right w:type="dxa" w:w="90"/>
            </w:tcMar>
            <w:vAlign w:val="top"/>
          </w:tcPr>
          <w:p>
            <w:r>
              <w:rPr>
                <w:b w:val="false"/>
                <w:bCs w:val="false"/>
                <w:color w:val="000000"/>
                <w:sz w:val="16"/>
                <w:szCs w:val="16"/>
              </w:rPr>
              <w:t xml:space="preserve">Section 5.18</w:t>
            </w:r>
          </w:p>
        </w:tc>
      </w:tr>
      <w:tr>
        <w:tc>
          <w:tcPr>
            <w:tcW w:type="dxa" w:w="2662"/>
            <w:tcMar>
              <w:top w:type="dxa" w:w="70"/>
              <w:left w:type="dxa" w:w="90"/>
              <w:bottom w:type="dxa" w:w="70"/>
              <w:right w:type="dxa" w:w="90"/>
            </w:tcMar>
            <w:vAlign w:val="top"/>
          </w:tcPr>
          <w:p>
            <w:r>
              <w:rPr>
                <w:b/>
                <w:bCs/>
                <w:color w:val="000000"/>
                <w:sz w:val="16"/>
                <w:szCs w:val="16"/>
              </w:rPr>
              <w:t xml:space="preserve">Encryption Standard</w:t>
            </w:r>
          </w:p>
        </w:tc>
        <w:tc>
          <w:tcPr>
            <w:tcW w:type="dxa" w:w="1638"/>
            <w:tcMar>
              <w:top w:type="dxa" w:w="70"/>
              <w:left w:type="dxa" w:w="90"/>
              <w:bottom w:type="dxa" w:w="70"/>
              <w:right w:type="dxa" w:w="90"/>
            </w:tcMar>
            <w:vAlign w:val="top"/>
          </w:tcPr>
          <w:p>
            <w:r>
              <w:rPr>
                <w:b w:val="false"/>
                <w:bCs w:val="false"/>
                <w:color w:val="000000"/>
                <w:sz w:val="16"/>
                <w:szCs w:val="16"/>
              </w:rPr>
              <w:t xml:space="preserve">Technical standard</w:t>
            </w:r>
          </w:p>
        </w:tc>
        <w:tc>
          <w:tcPr>
            <w:tcW w:type="dxa" w:w="4096"/>
            <w:tcMar>
              <w:top w:type="dxa" w:w="70"/>
              <w:left w:type="dxa" w:w="90"/>
              <w:bottom w:type="dxa" w:w="70"/>
              <w:right w:type="dxa" w:w="90"/>
            </w:tcMar>
            <w:vAlign w:val="top"/>
          </w:tcPr>
          <w:p>
            <w:r>
              <w:rPr>
                <w:b w:val="false"/>
                <w:bCs w:val="false"/>
                <w:color w:val="000000"/>
                <w:sz w:val="16"/>
                <w:szCs w:val="16"/>
              </w:rPr>
              <w:t xml:space="preserve">At-rest and in-transit encryption requirements by data layer.</w:t>
            </w:r>
          </w:p>
        </w:tc>
        <w:tc>
          <w:tcPr>
            <w:tcW w:type="dxa" w:w="1843"/>
            <w:tcMar>
              <w:top w:type="dxa" w:w="70"/>
              <w:left w:type="dxa" w:w="90"/>
              <w:bottom w:type="dxa" w:w="70"/>
              <w:right w:type="dxa" w:w="90"/>
            </w:tcMar>
            <w:vAlign w:val="top"/>
          </w:tcPr>
          <w:p>
            <w:r>
              <w:rPr>
                <w:b w:val="false"/>
                <w:bCs w:val="false"/>
                <w:color w:val="000000"/>
                <w:sz w:val="16"/>
                <w:szCs w:val="16"/>
              </w:rPr>
              <w:t xml:space="preserve">Section 8.5</w:t>
            </w:r>
          </w:p>
        </w:tc>
      </w:tr>
      <w:tr>
        <w:tc>
          <w:tcPr>
            <w:tcW w:type="dxa" w:w="2662"/>
            <w:tcMar>
              <w:top w:type="dxa" w:w="70"/>
              <w:left w:type="dxa" w:w="90"/>
              <w:bottom w:type="dxa" w:w="70"/>
              <w:right w:type="dxa" w:w="90"/>
            </w:tcMar>
            <w:vAlign w:val="top"/>
          </w:tcPr>
          <w:p>
            <w:r>
              <w:rPr>
                <w:b/>
                <w:bCs/>
                <w:color w:val="000000"/>
                <w:sz w:val="16"/>
                <w:szCs w:val="16"/>
              </w:rPr>
              <w:t xml:space="preserve">API Design Standards</w:t>
            </w:r>
          </w:p>
        </w:tc>
        <w:tc>
          <w:tcPr>
            <w:tcW w:type="dxa" w:w="1638"/>
            <w:tcMar>
              <w:top w:type="dxa" w:w="70"/>
              <w:left w:type="dxa" w:w="90"/>
              <w:bottom w:type="dxa" w:w="70"/>
              <w:right w:type="dxa" w:w="90"/>
            </w:tcMar>
            <w:vAlign w:val="top"/>
          </w:tcPr>
          <w:p>
            <w:r>
              <w:rPr>
                <w:b w:val="false"/>
                <w:bCs w:val="false"/>
                <w:color w:val="000000"/>
                <w:sz w:val="16"/>
                <w:szCs w:val="16"/>
              </w:rPr>
              <w:t xml:space="preserve">Technical standard</w:t>
            </w:r>
          </w:p>
        </w:tc>
        <w:tc>
          <w:tcPr>
            <w:tcW w:type="dxa" w:w="4096"/>
            <w:tcMar>
              <w:top w:type="dxa" w:w="70"/>
              <w:left w:type="dxa" w:w="90"/>
              <w:bottom w:type="dxa" w:w="70"/>
              <w:right w:type="dxa" w:w="90"/>
            </w:tcMar>
            <w:vAlign w:val="top"/>
          </w:tcPr>
          <w:p>
            <w:r>
              <w:rPr>
                <w:b w:val="false"/>
                <w:bCs w:val="false"/>
                <w:color w:val="000000"/>
                <w:sz w:val="16"/>
                <w:szCs w:val="16"/>
              </w:rPr>
              <w:t xml:space="preserve">Contract-first REST design, versioning, and rate limiting for all integration points.</w:t>
            </w:r>
          </w:p>
        </w:tc>
        <w:tc>
          <w:tcPr>
            <w:tcW w:type="dxa" w:w="1843"/>
            <w:tcMar>
              <w:top w:type="dxa" w:w="70"/>
              <w:left w:type="dxa" w:w="90"/>
              <w:bottom w:type="dxa" w:w="70"/>
              <w:right w:type="dxa" w:w="90"/>
            </w:tcMar>
            <w:vAlign w:val="top"/>
          </w:tcPr>
          <w:p>
            <w:r>
              <w:rPr>
                <w:b w:val="false"/>
                <w:bCs w:val="false"/>
                <w:color w:val="000000"/>
                <w:sz w:val="16"/>
                <w:szCs w:val="16"/>
              </w:rPr>
              <w:t xml:space="preserve">Section 7.5</w:t>
            </w:r>
          </w:p>
        </w:tc>
      </w:tr>
    </w:tbl>
    <w:p>
      <w:pPr>
        <w:spacing w:after="160"/>
      </w:pPr>
    </w:p>
    <w:p>
      <w:pPr>
        <w:pStyle w:val="Heading1"/>
        <w:pBdr>
          <w:bottom w:val="single" w:color="1F3864" w:sz="6" w:space="4"/>
        </w:pBdr>
        <w:spacing w:after="130" w:before="320"/>
      </w:pPr>
      <w:r>
        <w:t xml:space="preserve">12.6 Review Boards</w:t>
      </w:r>
    </w:p>
    <w:p>
      <w:pPr>
        <w:spacing w:after="150" w:line="276"/>
        <w:jc w:val="both"/>
      </w:pPr>
      <w:r>
        <w:t xml:space="preserve">The Enterprise Architecture Review Board is the single review body this architecture establishes, first named as an Architecture Principle in Section 1.7 and invoked throughout every subsequent section as the approval authority for architecture exceptions, new integration points, and Phase 2 roadmap activation. Its composition is deliberately lean, consistent with the sustainability requirement running through this Blueprint: the KMC and National Programme Coordinator serve as permanent members, given their joint accountability for security and content decisions (Section 2.9); KM and ICT Units participate as the operational voice, since they inherit whatever the Board approves; and the consultant participates as a full member during the twelve-week engagement only, transitioning to an advisory, non-voting role at handover, consistent with the documented-handover boundary fixed in Section 3.2.</w:t>
      </w:r>
    </w:p>
    <w:p>
      <w:pPr>
        <w:spacing w:after="150" w:line="276"/>
        <w:jc w:val="both"/>
      </w:pPr>
      <w:r>
        <w:t xml:space="preserve">No separate Content Governance Board, Security Board, or Data Governance Board is established alongside the Enterprise Architecture Review Board. This is the same design choice stated in Section 8.12 applied consistently: a second review body would create exactly the kind of parallel governance structure this entire programme exists to eliminate, per the fishbone root-cause finding that the programme's coordination failures are disproportionately governance failures (Section 2.10).</w:t>
      </w:r>
    </w:p>
    <w:p>
      <w:pPr>
        <w:pStyle w:val="Heading1"/>
        <w:pBdr>
          <w:bottom w:val="single" w:color="1F3864" w:sz="6" w:space="4"/>
        </w:pBdr>
        <w:spacing w:after="130" w:before="320"/>
      </w:pPr>
      <w:r>
        <w:t xml:space="preserve">12.7 Architecture Review Process</w:t>
      </w:r>
    </w:p>
    <w:p>
      <w:pPr>
        <w:spacing w:after="150" w:line="276"/>
        <w:jc w:val="both"/>
      </w:pPr>
      <w:r>
        <w:t xml:space="preserve">Every exception, new integration point, or Phase 2 roadmap activation referenced throughout this Blueprint follows the same five-step process, specified here in full for the first 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5734"/>
        <w:gridCol w:w="2458"/>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Step</w:t>
            </w:r>
          </w:p>
        </w:tc>
        <w:tc>
          <w:tcPr>
            <w:tcW w:type="dxa" w:w="5734"/>
            <w:shd w:fill="1F3864" w:val="clear"/>
            <w:tcMar>
              <w:top w:type="dxa" w:w="70"/>
              <w:left w:type="dxa" w:w="90"/>
              <w:bottom w:type="dxa" w:w="70"/>
              <w:right w:type="dxa" w:w="90"/>
            </w:tcMar>
            <w:vAlign w:val="top"/>
          </w:tcPr>
          <w:p>
            <w:r>
              <w:rPr>
                <w:b/>
                <w:bCs/>
                <w:color w:val="FFFFFF"/>
                <w:sz w:val="17"/>
                <w:szCs w:val="17"/>
              </w:rPr>
              <w:t xml:space="preserve">Activity</w:t>
            </w:r>
          </w:p>
        </w:tc>
        <w:tc>
          <w:tcPr>
            <w:tcW w:type="dxa" w:w="2458"/>
            <w:shd w:fill="1F3864" w:val="clear"/>
            <w:tcMar>
              <w:top w:type="dxa" w:w="70"/>
              <w:left w:type="dxa" w:w="90"/>
              <w:bottom w:type="dxa" w:w="70"/>
              <w:right w:type="dxa" w:w="90"/>
            </w:tcMar>
            <w:vAlign w:val="top"/>
          </w:tcPr>
          <w:p>
            <w:r>
              <w:rPr>
                <w:b/>
                <w:bCs/>
                <w:color w:val="FFFFFF"/>
                <w:sz w:val="17"/>
                <w:szCs w:val="17"/>
              </w:rPr>
              <w:t xml:space="preserve">Owner</w:t>
            </w:r>
          </w:p>
        </w:tc>
      </w:tr>
      <w:tr>
        <w:tc>
          <w:tcPr>
            <w:tcW w:type="dxa" w:w="2048"/>
            <w:tcMar>
              <w:top w:type="dxa" w:w="70"/>
              <w:left w:type="dxa" w:w="90"/>
              <w:bottom w:type="dxa" w:w="70"/>
              <w:right w:type="dxa" w:w="90"/>
            </w:tcMar>
            <w:vAlign w:val="top"/>
          </w:tcPr>
          <w:p>
            <w:r>
              <w:rPr>
                <w:b/>
                <w:bCs/>
                <w:color w:val="000000"/>
                <w:sz w:val="17"/>
                <w:szCs w:val="17"/>
              </w:rPr>
              <w:t xml:space="preserve">1. Submit</w:t>
            </w:r>
          </w:p>
        </w:tc>
        <w:tc>
          <w:tcPr>
            <w:tcW w:type="dxa" w:w="5734"/>
            <w:tcMar>
              <w:top w:type="dxa" w:w="70"/>
              <w:left w:type="dxa" w:w="90"/>
              <w:bottom w:type="dxa" w:w="70"/>
              <w:right w:type="dxa" w:w="90"/>
            </w:tcMar>
            <w:vAlign w:val="top"/>
          </w:tcPr>
          <w:p>
            <w:r>
              <w:rPr>
                <w:b w:val="false"/>
                <w:bCs w:val="false"/>
                <w:color w:val="000000"/>
                <w:sz w:val="17"/>
                <w:szCs w:val="17"/>
              </w:rPr>
              <w:t xml:space="preserve">The requesting party (KM and ICT Units, KMC, or the consultant during Phase 1) submits a written change request stating what is proposed and which architecture principle, standard, or decision it affects.</w:t>
            </w:r>
          </w:p>
        </w:tc>
        <w:tc>
          <w:tcPr>
            <w:tcW w:type="dxa" w:w="2458"/>
            <w:tcMar>
              <w:top w:type="dxa" w:w="70"/>
              <w:left w:type="dxa" w:w="90"/>
              <w:bottom w:type="dxa" w:w="70"/>
              <w:right w:type="dxa" w:w="90"/>
            </w:tcMar>
            <w:vAlign w:val="top"/>
          </w:tcPr>
          <w:p>
            <w:r>
              <w:rPr>
                <w:b w:val="false"/>
                <w:bCs w:val="false"/>
                <w:color w:val="000000"/>
                <w:sz w:val="17"/>
                <w:szCs w:val="17"/>
              </w:rPr>
              <w:t xml:space="preserve">Requesting party</w:t>
            </w:r>
          </w:p>
        </w:tc>
      </w:tr>
      <w:tr>
        <w:tc>
          <w:tcPr>
            <w:tcW w:type="dxa" w:w="2048"/>
            <w:tcMar>
              <w:top w:type="dxa" w:w="70"/>
              <w:left w:type="dxa" w:w="90"/>
              <w:bottom w:type="dxa" w:w="70"/>
              <w:right w:type="dxa" w:w="90"/>
            </w:tcMar>
            <w:vAlign w:val="top"/>
          </w:tcPr>
          <w:p>
            <w:r>
              <w:rPr>
                <w:b/>
                <w:bCs/>
                <w:color w:val="000000"/>
                <w:sz w:val="17"/>
                <w:szCs w:val="17"/>
              </w:rPr>
              <w:t xml:space="preserve">2. Assess</w:t>
            </w:r>
          </w:p>
        </w:tc>
        <w:tc>
          <w:tcPr>
            <w:tcW w:type="dxa" w:w="5734"/>
            <w:tcMar>
              <w:top w:type="dxa" w:w="70"/>
              <w:left w:type="dxa" w:w="90"/>
              <w:bottom w:type="dxa" w:w="70"/>
              <w:right w:type="dxa" w:w="90"/>
            </w:tcMar>
            <w:vAlign w:val="top"/>
          </w:tcPr>
          <w:p>
            <w:r>
              <w:rPr>
                <w:b w:val="false"/>
                <w:bCs w:val="false"/>
                <w:color w:val="000000"/>
                <w:sz w:val="17"/>
                <w:szCs w:val="17"/>
              </w:rPr>
              <w:t xml:space="preserve">The Enterprise Architecture Review Board assesses the request against the Architecture Principles (Section 1.7), the affected governance domain (Section 12.2), and any security or data implications (Sections 8.12, 6.7).</w:t>
            </w:r>
          </w:p>
        </w:tc>
        <w:tc>
          <w:tcPr>
            <w:tcW w:type="dxa" w:w="2458"/>
            <w:tcMar>
              <w:top w:type="dxa" w:w="70"/>
              <w:left w:type="dxa" w:w="90"/>
              <w:bottom w:type="dxa" w:w="70"/>
              <w:right w:type="dxa" w:w="90"/>
            </w:tcMar>
            <w:vAlign w:val="top"/>
          </w:tcPr>
          <w:p>
            <w:r>
              <w:rPr>
                <w:b w:val="false"/>
                <w:bCs w:val="false"/>
                <w:color w:val="000000"/>
                <w:sz w:val="17"/>
                <w:szCs w:val="17"/>
              </w:rPr>
              <w:t xml:space="preserve">Enterprise Architecture Review Board</w:t>
            </w:r>
          </w:p>
        </w:tc>
      </w:tr>
      <w:tr>
        <w:tc>
          <w:tcPr>
            <w:tcW w:type="dxa" w:w="2048"/>
            <w:tcMar>
              <w:top w:type="dxa" w:w="70"/>
              <w:left w:type="dxa" w:w="90"/>
              <w:bottom w:type="dxa" w:w="70"/>
              <w:right w:type="dxa" w:w="90"/>
            </w:tcMar>
            <w:vAlign w:val="top"/>
          </w:tcPr>
          <w:p>
            <w:r>
              <w:rPr>
                <w:b/>
                <w:bCs/>
                <w:color w:val="000000"/>
                <w:sz w:val="17"/>
                <w:szCs w:val="17"/>
              </w:rPr>
              <w:t xml:space="preserve">3. Decide</w:t>
            </w:r>
          </w:p>
        </w:tc>
        <w:tc>
          <w:tcPr>
            <w:tcW w:type="dxa" w:w="5734"/>
            <w:tcMar>
              <w:top w:type="dxa" w:w="70"/>
              <w:left w:type="dxa" w:w="90"/>
              <w:bottom w:type="dxa" w:w="70"/>
              <w:right w:type="dxa" w:w="90"/>
            </w:tcMar>
            <w:vAlign w:val="top"/>
          </w:tcPr>
          <w:p>
            <w:r>
              <w:rPr>
                <w:b w:val="false"/>
                <w:bCs w:val="false"/>
                <w:color w:val="000000"/>
                <w:sz w:val="17"/>
                <w:szCs w:val="17"/>
              </w:rPr>
              <w:t xml:space="preserve">The Board approves, rejects, or requests revision. A joint-accountability decision (Section 12.3–12.4) requires both named accountable parties to concur before approval is recorded.</w:t>
            </w:r>
          </w:p>
        </w:tc>
        <w:tc>
          <w:tcPr>
            <w:tcW w:type="dxa" w:w="2458"/>
            <w:tcMar>
              <w:top w:type="dxa" w:w="70"/>
              <w:left w:type="dxa" w:w="90"/>
              <w:bottom w:type="dxa" w:w="70"/>
              <w:right w:type="dxa" w:w="90"/>
            </w:tcMar>
            <w:vAlign w:val="top"/>
          </w:tcPr>
          <w:p>
            <w:r>
              <w:rPr>
                <w:b w:val="false"/>
                <w:bCs w:val="false"/>
                <w:color w:val="000000"/>
                <w:sz w:val="17"/>
                <w:szCs w:val="17"/>
              </w:rPr>
              <w:t xml:space="preserve">Enterprise Architecture Review Board</w:t>
            </w:r>
          </w:p>
        </w:tc>
      </w:tr>
      <w:tr>
        <w:tc>
          <w:tcPr>
            <w:tcW w:type="dxa" w:w="2048"/>
            <w:tcMar>
              <w:top w:type="dxa" w:w="70"/>
              <w:left w:type="dxa" w:w="90"/>
              <w:bottom w:type="dxa" w:w="70"/>
              <w:right w:type="dxa" w:w="90"/>
            </w:tcMar>
            <w:vAlign w:val="top"/>
          </w:tcPr>
          <w:p>
            <w:r>
              <w:rPr>
                <w:b/>
                <w:bCs/>
                <w:color w:val="000000"/>
                <w:sz w:val="17"/>
                <w:szCs w:val="17"/>
              </w:rPr>
              <w:t xml:space="preserve">4. Record</w:t>
            </w:r>
          </w:p>
        </w:tc>
        <w:tc>
          <w:tcPr>
            <w:tcW w:type="dxa" w:w="5734"/>
            <w:tcMar>
              <w:top w:type="dxa" w:w="70"/>
              <w:left w:type="dxa" w:w="90"/>
              <w:bottom w:type="dxa" w:w="70"/>
              <w:right w:type="dxa" w:w="90"/>
            </w:tcMar>
            <w:vAlign w:val="top"/>
          </w:tcPr>
          <w:p>
            <w:r>
              <w:rPr>
                <w:b w:val="false"/>
                <w:bCs w:val="false"/>
                <w:color w:val="000000"/>
                <w:sz w:val="17"/>
                <w:szCs w:val="17"/>
              </w:rPr>
              <w:t xml:space="preserve">The decision, with rationale, is logged as a Decision Register entry (Section 4.4), regardless of outcome — a rejection is recorded with the same rigour as an approval, so the reasoning is not lost.</w:t>
            </w:r>
          </w:p>
        </w:tc>
        <w:tc>
          <w:tcPr>
            <w:tcW w:type="dxa" w:w="2458"/>
            <w:tcMar>
              <w:top w:type="dxa" w:w="70"/>
              <w:left w:type="dxa" w:w="90"/>
              <w:bottom w:type="dxa" w:w="70"/>
              <w:right w:type="dxa" w:w="90"/>
            </w:tcMar>
            <w:vAlign w:val="top"/>
          </w:tcPr>
          <w:p>
            <w:r>
              <w:rPr>
                <w:b w:val="false"/>
                <w:bCs w:val="false"/>
                <w:color w:val="000000"/>
                <w:sz w:val="17"/>
                <w:szCs w:val="17"/>
              </w:rPr>
              <w:t xml:space="preserve">Enterprise Architecture Review Board</w:t>
            </w:r>
          </w:p>
        </w:tc>
      </w:tr>
      <w:tr>
        <w:tc>
          <w:tcPr>
            <w:tcW w:type="dxa" w:w="2048"/>
            <w:tcMar>
              <w:top w:type="dxa" w:w="70"/>
              <w:left w:type="dxa" w:w="90"/>
              <w:bottom w:type="dxa" w:w="70"/>
              <w:right w:type="dxa" w:w="90"/>
            </w:tcMar>
            <w:vAlign w:val="top"/>
          </w:tcPr>
          <w:p>
            <w:r>
              <w:rPr>
                <w:b/>
                <w:bCs/>
                <w:color w:val="000000"/>
                <w:sz w:val="17"/>
                <w:szCs w:val="17"/>
              </w:rPr>
              <w:t xml:space="preserve">5. Implement and Verify</w:t>
            </w:r>
          </w:p>
        </w:tc>
        <w:tc>
          <w:tcPr>
            <w:tcW w:type="dxa" w:w="5734"/>
            <w:tcMar>
              <w:top w:type="dxa" w:w="70"/>
              <w:left w:type="dxa" w:w="90"/>
              <w:bottom w:type="dxa" w:w="70"/>
              <w:right w:type="dxa" w:w="90"/>
            </w:tcMar>
            <w:vAlign w:val="top"/>
          </w:tcPr>
          <w:p>
            <w:r>
              <w:rPr>
                <w:b w:val="false"/>
                <w:bCs w:val="false"/>
                <w:color w:val="000000"/>
                <w:sz w:val="17"/>
                <w:szCs w:val="17"/>
              </w:rPr>
              <w:t xml:space="preserve">Approved changes are implemented, then verified against the original request before being marked closed; unapproved changes are not implemented under any circumstance.</w:t>
            </w:r>
          </w:p>
        </w:tc>
        <w:tc>
          <w:tcPr>
            <w:tcW w:type="dxa" w:w="2458"/>
            <w:tcMar>
              <w:top w:type="dxa" w:w="70"/>
              <w:left w:type="dxa" w:w="90"/>
              <w:bottom w:type="dxa" w:w="70"/>
              <w:right w:type="dxa" w:w="90"/>
            </w:tcMar>
            <w:vAlign w:val="top"/>
          </w:tcPr>
          <w:p>
            <w:r>
              <w:rPr>
                <w:b w:val="false"/>
                <w:bCs w:val="false"/>
                <w:color w:val="000000"/>
                <w:sz w:val="17"/>
                <w:szCs w:val="17"/>
              </w:rPr>
              <w:t xml:space="preserve">Requesting party; verified by KM and ICT Units</w:t>
            </w:r>
          </w:p>
        </w:tc>
      </w:tr>
    </w:tbl>
    <w:p>
      <w:pPr>
        <w:spacing w:after="160"/>
      </w:pPr>
    </w:p>
    <w:p>
      <w:pPr>
        <w:pStyle w:val="Heading1"/>
        <w:pBdr>
          <w:bottom w:val="single" w:color="1F3864" w:sz="6" w:space="4"/>
        </w:pBdr>
        <w:spacing w:after="130" w:before="320"/>
      </w:pPr>
      <w:r>
        <w:t xml:space="preserve">12.8 Governance Cadence</w:t>
      </w:r>
    </w:p>
    <w:p>
      <w:pPr>
        <w:spacing w:after="150" w:line="276"/>
        <w:jc w:val="both"/>
      </w:pPr>
      <w:r>
        <w:t xml:space="preserve">Recurring governance activities, drawn from across this Blueprint, are consolidated into a single calendar.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5734"/>
        <w:gridCol w:w="2458"/>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Frequency</w:t>
            </w:r>
          </w:p>
        </w:tc>
        <w:tc>
          <w:tcPr>
            <w:tcW w:type="dxa" w:w="5734"/>
            <w:shd w:fill="1F3864" w:val="clear"/>
            <w:tcMar>
              <w:top w:type="dxa" w:w="70"/>
              <w:left w:type="dxa" w:w="90"/>
              <w:bottom w:type="dxa" w:w="70"/>
              <w:right w:type="dxa" w:w="90"/>
            </w:tcMar>
            <w:vAlign w:val="top"/>
          </w:tcPr>
          <w:p>
            <w:r>
              <w:rPr>
                <w:b/>
                <w:bCs/>
                <w:color w:val="FFFFFF"/>
                <w:sz w:val="17"/>
                <w:szCs w:val="17"/>
              </w:rPr>
              <w:t xml:space="preserve">Activity</w:t>
            </w:r>
          </w:p>
        </w:tc>
        <w:tc>
          <w:tcPr>
            <w:tcW w:type="dxa" w:w="2458"/>
            <w:shd w:fill="1F3864" w:val="clear"/>
            <w:tcMar>
              <w:top w:type="dxa" w:w="70"/>
              <w:left w:type="dxa" w:w="90"/>
              <w:bottom w:type="dxa" w:w="70"/>
              <w:right w:type="dxa" w:w="90"/>
            </w:tcMar>
            <w:vAlign w:val="top"/>
          </w:tcPr>
          <w:p>
            <w:r>
              <w:rPr>
                <w:b/>
                <w:bCs/>
                <w:color w:val="FFFFFF"/>
                <w:sz w:val="17"/>
                <w:szCs w:val="17"/>
              </w:rPr>
              <w:t xml:space="preserve">Reference</w:t>
            </w:r>
          </w:p>
        </w:tc>
      </w:tr>
      <w:tr>
        <w:tc>
          <w:tcPr>
            <w:tcW w:type="dxa" w:w="2048"/>
            <w:tcMar>
              <w:top w:type="dxa" w:w="70"/>
              <w:left w:type="dxa" w:w="90"/>
              <w:bottom w:type="dxa" w:w="70"/>
              <w:right w:type="dxa" w:w="90"/>
            </w:tcMar>
            <w:vAlign w:val="top"/>
          </w:tcPr>
          <w:p>
            <w:r>
              <w:rPr>
                <w:b/>
                <w:bCs/>
                <w:color w:val="000000"/>
                <w:sz w:val="17"/>
                <w:szCs w:val="17"/>
              </w:rPr>
              <w:t xml:space="preserve">Continuous</w:t>
            </w:r>
          </w:p>
        </w:tc>
        <w:tc>
          <w:tcPr>
            <w:tcW w:type="dxa" w:w="5734"/>
            <w:tcMar>
              <w:top w:type="dxa" w:w="70"/>
              <w:left w:type="dxa" w:w="90"/>
              <w:bottom w:type="dxa" w:w="70"/>
              <w:right w:type="dxa" w:w="90"/>
            </w:tcMar>
            <w:vAlign w:val="top"/>
          </w:tcPr>
          <w:p>
            <w:r>
              <w:rPr>
                <w:b w:val="false"/>
                <w:bCs w:val="false"/>
                <w:color w:val="000000"/>
                <w:sz w:val="17"/>
                <w:szCs w:val="17"/>
              </w:rPr>
              <w:t xml:space="preserve">Decision Register logging of every governed decision; Audit module logging of every workflow and access event.</w:t>
            </w:r>
          </w:p>
        </w:tc>
        <w:tc>
          <w:tcPr>
            <w:tcW w:type="dxa" w:w="2458"/>
            <w:tcMar>
              <w:top w:type="dxa" w:w="70"/>
              <w:left w:type="dxa" w:w="90"/>
              <w:bottom w:type="dxa" w:w="70"/>
              <w:right w:type="dxa" w:w="90"/>
            </w:tcMar>
            <w:vAlign w:val="top"/>
          </w:tcPr>
          <w:p>
            <w:r>
              <w:rPr>
                <w:b w:val="false"/>
                <w:bCs w:val="false"/>
                <w:color w:val="000000"/>
                <w:sz w:val="17"/>
                <w:szCs w:val="17"/>
              </w:rPr>
              <w:t xml:space="preserve">Sections 4.4, 8.8</w:t>
            </w:r>
          </w:p>
        </w:tc>
      </w:tr>
      <w:tr>
        <w:tc>
          <w:tcPr>
            <w:tcW w:type="dxa" w:w="2048"/>
            <w:tcMar>
              <w:top w:type="dxa" w:w="70"/>
              <w:left w:type="dxa" w:w="90"/>
              <w:bottom w:type="dxa" w:w="70"/>
              <w:right w:type="dxa" w:w="90"/>
            </w:tcMar>
            <w:vAlign w:val="top"/>
          </w:tcPr>
          <w:p>
            <w:r>
              <w:rPr>
                <w:b/>
                <w:bCs/>
                <w:color w:val="000000"/>
                <w:sz w:val="17"/>
                <w:szCs w:val="17"/>
              </w:rPr>
              <w:t xml:space="preserve">Monthly</w:t>
            </w:r>
          </w:p>
        </w:tc>
        <w:tc>
          <w:tcPr>
            <w:tcW w:type="dxa" w:w="5734"/>
            <w:tcMar>
              <w:top w:type="dxa" w:w="70"/>
              <w:left w:type="dxa" w:w="90"/>
              <w:bottom w:type="dxa" w:w="70"/>
              <w:right w:type="dxa" w:w="90"/>
            </w:tcMar>
            <w:vAlign w:val="top"/>
          </w:tcPr>
          <w:p>
            <w:r>
              <w:rPr>
                <w:b w:val="false"/>
                <w:bCs w:val="false"/>
                <w:color w:val="000000"/>
                <w:sz w:val="17"/>
                <w:szCs w:val="17"/>
              </w:rPr>
              <w:t xml:space="preserve">Automated vulnerability scanning.</w:t>
            </w:r>
          </w:p>
        </w:tc>
        <w:tc>
          <w:tcPr>
            <w:tcW w:type="dxa" w:w="2458"/>
            <w:tcMar>
              <w:top w:type="dxa" w:w="70"/>
              <w:left w:type="dxa" w:w="90"/>
              <w:bottom w:type="dxa" w:w="70"/>
              <w:right w:type="dxa" w:w="90"/>
            </w:tcMar>
            <w:vAlign w:val="top"/>
          </w:tcPr>
          <w:p>
            <w:r>
              <w:rPr>
                <w:b w:val="false"/>
                <w:bCs w:val="false"/>
                <w:color w:val="000000"/>
                <w:sz w:val="17"/>
                <w:szCs w:val="17"/>
              </w:rPr>
              <w:t xml:space="preserve">Section 8.13</w:t>
            </w:r>
          </w:p>
        </w:tc>
      </w:tr>
      <w:tr>
        <w:tc>
          <w:tcPr>
            <w:tcW w:type="dxa" w:w="2048"/>
            <w:tcMar>
              <w:top w:type="dxa" w:w="70"/>
              <w:left w:type="dxa" w:w="90"/>
              <w:bottom w:type="dxa" w:w="70"/>
              <w:right w:type="dxa" w:w="90"/>
            </w:tcMar>
            <w:vAlign w:val="top"/>
          </w:tcPr>
          <w:p>
            <w:r>
              <w:rPr>
                <w:b/>
                <w:bCs/>
                <w:color w:val="000000"/>
                <w:sz w:val="17"/>
                <w:szCs w:val="17"/>
              </w:rPr>
              <w:t xml:space="preserve">Quarterly</w:t>
            </w:r>
          </w:p>
        </w:tc>
        <w:tc>
          <w:tcPr>
            <w:tcW w:type="dxa" w:w="5734"/>
            <w:tcMar>
              <w:top w:type="dxa" w:w="70"/>
              <w:left w:type="dxa" w:w="90"/>
              <w:bottom w:type="dxa" w:w="70"/>
              <w:right w:type="dxa" w:w="90"/>
            </w:tcMar>
            <w:vAlign w:val="top"/>
          </w:tcPr>
          <w:p>
            <w:r>
              <w:rPr>
                <w:b w:val="false"/>
                <w:bCs w:val="false"/>
                <w:color w:val="000000"/>
                <w:sz w:val="17"/>
                <w:szCs w:val="17"/>
              </w:rPr>
              <w:t xml:space="preserve">Privileged-role access review; donor-alignment review touchpoint with co-financing institutions.</w:t>
            </w:r>
          </w:p>
        </w:tc>
        <w:tc>
          <w:tcPr>
            <w:tcW w:type="dxa" w:w="2458"/>
            <w:tcMar>
              <w:top w:type="dxa" w:w="70"/>
              <w:left w:type="dxa" w:w="90"/>
              <w:bottom w:type="dxa" w:w="70"/>
              <w:right w:type="dxa" w:w="90"/>
            </w:tcMar>
            <w:vAlign w:val="top"/>
          </w:tcPr>
          <w:p>
            <w:r>
              <w:rPr>
                <w:b w:val="false"/>
                <w:bCs w:val="false"/>
                <w:color w:val="000000"/>
                <w:sz w:val="17"/>
                <w:szCs w:val="17"/>
              </w:rPr>
              <w:t xml:space="preserve">Sections 8.13, 2.10</w:t>
            </w:r>
          </w:p>
        </w:tc>
      </w:tr>
      <w:tr>
        <w:tc>
          <w:tcPr>
            <w:tcW w:type="dxa" w:w="2048"/>
            <w:tcMar>
              <w:top w:type="dxa" w:w="70"/>
              <w:left w:type="dxa" w:w="90"/>
              <w:bottom w:type="dxa" w:w="70"/>
              <w:right w:type="dxa" w:w="90"/>
            </w:tcMar>
            <w:vAlign w:val="top"/>
          </w:tcPr>
          <w:p>
            <w:r>
              <w:rPr>
                <w:b/>
                <w:bCs/>
                <w:color w:val="000000"/>
                <w:sz w:val="17"/>
                <w:szCs w:val="17"/>
              </w:rPr>
              <w:t xml:space="preserve">Semi-Annual</w:t>
            </w:r>
          </w:p>
        </w:tc>
        <w:tc>
          <w:tcPr>
            <w:tcW w:type="dxa" w:w="5734"/>
            <w:tcMar>
              <w:top w:type="dxa" w:w="70"/>
              <w:left w:type="dxa" w:w="90"/>
              <w:bottom w:type="dxa" w:w="70"/>
              <w:right w:type="dxa" w:w="90"/>
            </w:tcMar>
            <w:vAlign w:val="top"/>
          </w:tcPr>
          <w:p>
            <w:r>
              <w:rPr>
                <w:b w:val="false"/>
                <w:bCs w:val="false"/>
                <w:color w:val="000000"/>
                <w:sz w:val="17"/>
                <w:szCs w:val="17"/>
              </w:rPr>
              <w:t xml:space="preserve">Disaster recovery and backup restore testing.</w:t>
            </w:r>
          </w:p>
        </w:tc>
        <w:tc>
          <w:tcPr>
            <w:tcW w:type="dxa" w:w="2458"/>
            <w:tcMar>
              <w:top w:type="dxa" w:w="70"/>
              <w:left w:type="dxa" w:w="90"/>
              <w:bottom w:type="dxa" w:w="70"/>
              <w:right w:type="dxa" w:w="90"/>
            </w:tcMar>
            <w:vAlign w:val="top"/>
          </w:tcPr>
          <w:p>
            <w:r>
              <w:rPr>
                <w:b w:val="false"/>
                <w:bCs w:val="false"/>
                <w:color w:val="000000"/>
                <w:sz w:val="17"/>
                <w:szCs w:val="17"/>
              </w:rPr>
              <w:t xml:space="preserve">Section 6.12</w:t>
            </w:r>
          </w:p>
        </w:tc>
      </w:tr>
      <w:tr>
        <w:tc>
          <w:tcPr>
            <w:tcW w:type="dxa" w:w="2048"/>
            <w:tcMar>
              <w:top w:type="dxa" w:w="70"/>
              <w:left w:type="dxa" w:w="90"/>
              <w:bottom w:type="dxa" w:w="70"/>
              <w:right w:type="dxa" w:w="90"/>
            </w:tcMar>
            <w:vAlign w:val="top"/>
          </w:tcPr>
          <w:p>
            <w:r>
              <w:rPr>
                <w:b/>
                <w:bCs/>
                <w:color w:val="000000"/>
                <w:sz w:val="17"/>
                <w:szCs w:val="17"/>
              </w:rPr>
              <w:t xml:space="preserve">Annual</w:t>
            </w:r>
          </w:p>
        </w:tc>
        <w:tc>
          <w:tcPr>
            <w:tcW w:type="dxa" w:w="5734"/>
            <w:tcMar>
              <w:top w:type="dxa" w:w="70"/>
              <w:left w:type="dxa" w:w="90"/>
              <w:bottom w:type="dxa" w:w="70"/>
              <w:right w:type="dxa" w:w="90"/>
            </w:tcMar>
            <w:vAlign w:val="top"/>
          </w:tcPr>
          <w:p>
            <w:r>
              <w:rPr>
                <w:b w:val="false"/>
                <w:bCs w:val="false"/>
                <w:color w:val="000000"/>
                <w:sz w:val="17"/>
                <w:szCs w:val="17"/>
              </w:rPr>
              <w:t xml:space="preserve">Full security vulnerability assessment; security-awareness training refresh; Governance Charter renewal review.</w:t>
            </w:r>
          </w:p>
        </w:tc>
        <w:tc>
          <w:tcPr>
            <w:tcW w:type="dxa" w:w="2458"/>
            <w:tcMar>
              <w:top w:type="dxa" w:w="70"/>
              <w:left w:type="dxa" w:w="90"/>
              <w:bottom w:type="dxa" w:w="70"/>
              <w:right w:type="dxa" w:w="90"/>
            </w:tcMar>
            <w:vAlign w:val="top"/>
          </w:tcPr>
          <w:p>
            <w:r>
              <w:rPr>
                <w:b w:val="false"/>
                <w:bCs w:val="false"/>
                <w:color w:val="000000"/>
                <w:sz w:val="17"/>
                <w:szCs w:val="17"/>
              </w:rPr>
              <w:t xml:space="preserve">Sections 8.13, 12.5</w:t>
            </w:r>
          </w:p>
        </w:tc>
      </w:tr>
      <w:tr>
        <w:tc>
          <w:tcPr>
            <w:tcW w:type="dxa" w:w="2048"/>
            <w:tcMar>
              <w:top w:type="dxa" w:w="70"/>
              <w:left w:type="dxa" w:w="90"/>
              <w:bottom w:type="dxa" w:w="70"/>
              <w:right w:type="dxa" w:w="90"/>
            </w:tcMar>
            <w:vAlign w:val="top"/>
          </w:tcPr>
          <w:p>
            <w:r>
              <w:rPr>
                <w:b/>
                <w:bCs/>
                <w:color w:val="000000"/>
                <w:sz w:val="17"/>
                <w:szCs w:val="17"/>
              </w:rPr>
              <w:t xml:space="preserve">At Milestone (Section 11.4)</w:t>
            </w:r>
          </w:p>
        </w:tc>
        <w:tc>
          <w:tcPr>
            <w:tcW w:type="dxa" w:w="5734"/>
            <w:tcMar>
              <w:top w:type="dxa" w:w="70"/>
              <w:left w:type="dxa" w:w="90"/>
              <w:bottom w:type="dxa" w:w="70"/>
              <w:right w:type="dxa" w:w="90"/>
            </w:tcMar>
            <w:vAlign w:val="top"/>
          </w:tcPr>
          <w:p>
            <w:r>
              <w:rPr>
                <w:b w:val="false"/>
                <w:bCs w:val="false"/>
                <w:color w:val="000000"/>
                <w:sz w:val="17"/>
                <w:szCs w:val="17"/>
              </w:rPr>
              <w:t xml:space="preserve">Enterprise Architecture Review Board progress review at each Phase 1 delivery milestone.</w:t>
            </w:r>
          </w:p>
        </w:tc>
        <w:tc>
          <w:tcPr>
            <w:tcW w:type="dxa" w:w="2458"/>
            <w:tcMar>
              <w:top w:type="dxa" w:w="70"/>
              <w:left w:type="dxa" w:w="90"/>
              <w:bottom w:type="dxa" w:w="70"/>
              <w:right w:type="dxa" w:w="90"/>
            </w:tcMar>
            <w:vAlign w:val="top"/>
          </w:tcPr>
          <w:p>
            <w:r>
              <w:rPr>
                <w:b w:val="false"/>
                <w:bCs w:val="false"/>
                <w:color w:val="000000"/>
                <w:sz w:val="17"/>
                <w:szCs w:val="17"/>
              </w:rPr>
              <w:t xml:space="preserve">Section 11.8</w:t>
            </w:r>
          </w:p>
        </w:tc>
      </w:tr>
      <w:tr>
        <w:tc>
          <w:tcPr>
            <w:tcW w:type="dxa" w:w="2048"/>
            <w:tcMar>
              <w:top w:type="dxa" w:w="70"/>
              <w:left w:type="dxa" w:w="90"/>
              <w:bottom w:type="dxa" w:w="70"/>
              <w:right w:type="dxa" w:w="90"/>
            </w:tcMar>
            <w:vAlign w:val="top"/>
          </w:tcPr>
          <w:p>
            <w:r>
              <w:rPr>
                <w:b/>
                <w:bCs/>
                <w:color w:val="000000"/>
                <w:sz w:val="17"/>
                <w:szCs w:val="17"/>
              </w:rPr>
              <w:t xml:space="preserve">At 12 Months Post-Handover</w:t>
            </w:r>
          </w:p>
        </w:tc>
        <w:tc>
          <w:tcPr>
            <w:tcW w:type="dxa" w:w="5734"/>
            <w:tcMar>
              <w:top w:type="dxa" w:w="70"/>
              <w:left w:type="dxa" w:w="90"/>
              <w:bottom w:type="dxa" w:w="70"/>
              <w:right w:type="dxa" w:w="90"/>
            </w:tcMar>
            <w:vAlign w:val="top"/>
          </w:tcPr>
          <w:p>
            <w:r>
              <w:rPr>
                <w:b w:val="false"/>
                <w:bCs w:val="false"/>
                <w:color w:val="000000"/>
                <w:sz w:val="17"/>
                <w:szCs w:val="17"/>
              </w:rPr>
              <w:t xml:space="preserve">Phase 2 roadmap activation decision, based on actual operating data rather than speculation.</w:t>
            </w:r>
          </w:p>
        </w:tc>
        <w:tc>
          <w:tcPr>
            <w:tcW w:type="dxa" w:w="2458"/>
            <w:tcMar>
              <w:top w:type="dxa" w:w="70"/>
              <w:left w:type="dxa" w:w="90"/>
              <w:bottom w:type="dxa" w:w="70"/>
              <w:right w:type="dxa" w:w="90"/>
            </w:tcMar>
            <w:vAlign w:val="top"/>
          </w:tcPr>
          <w:p>
            <w:r>
              <w:rPr>
                <w:b w:val="false"/>
                <w:bCs w:val="false"/>
                <w:color w:val="000000"/>
                <w:sz w:val="17"/>
                <w:szCs w:val="17"/>
              </w:rPr>
              <w:t xml:space="preserve">Section 11.13</w:t>
            </w:r>
          </w:p>
        </w:tc>
      </w:tr>
    </w:tbl>
    <w:p>
      <w:pPr>
        <w:spacing w:after="160"/>
      </w:pPr>
    </w:p>
    <w:p>
      <w:pPr>
        <w:pStyle w:val="Heading1"/>
        <w:pBdr>
          <w:bottom w:val="single" w:color="1F3864" w:sz="6" w:space="4"/>
        </w:pBdr>
        <w:spacing w:after="130" w:before="320"/>
      </w:pPr>
      <w:r>
        <w:t xml:space="preserve">12.9 Transition to Section 13</w:t>
      </w:r>
    </w:p>
    <w:p>
      <w:pPr>
        <w:spacing w:after="150" w:line="276"/>
        <w:jc w:val="both"/>
      </w:pPr>
      <w:r>
        <w:t xml:space="preserve">Section 13 (Implementation Blueprint) takes the governance model fixed in this section and the roadmap fixed in Section 11 and specifies the detailed work packages, milestones, critical path, resource requirements, and quality gates needed to execute the Phase 1 delivery timeline in practice.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2026-07-18T08:53:07.829Z</dcterms:created>
  <dcterms:modified xsi:type="dcterms:W3CDTF">2026-07-18T08:53:07.829Z</dcterms:modified>
</cp:coreProperties>
</file>

<file path=docProps/custom.xml><?xml version="1.0" encoding="utf-8"?>
<Properties xmlns="http://schemas.openxmlformats.org/officeDocument/2006/custom-properties" xmlns:vt="http://schemas.openxmlformats.org/officeDocument/2006/docPropsVTypes"/>
</file>