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2E5395"/>
          <w:sz w:val="22"/>
          <w:szCs w:val="22"/>
        </w:rPr>
        <w:t xml:space="preserve">Enterprise System Management (ESM) Platform and Central Knowledge Repository (CKR)</w:t>
      </w:r>
    </w:p>
    <w:p>
      <w:pPr>
        <w:spacing w:after="40"/>
        <w:jc w:val="center"/>
      </w:pPr>
      <w:r>
        <w:rPr>
          <w:b/>
          <w:bCs/>
          <w:color w:val="2E5395"/>
          <w:sz w:val="24"/>
          <w:szCs w:val="24"/>
        </w:rPr>
        <w:t xml:space="preserve">Section 13 of 16 — Implementation Blueprint</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3864" w:sz="6" w:space="4"/>
        </w:pBdr>
        <w:spacing w:after="130" w:before="320"/>
      </w:pPr>
      <w:r>
        <w:t xml:space="preserve">13.1 Implementation Approach</w:t>
      </w:r>
    </w:p>
    <w:p>
      <w:pPr>
        <w:spacing w:after="150" w:line="276"/>
        <w:jc w:val="both"/>
      </w:pPr>
      <w:r>
        <w:t xml:space="preserve">This section takes the five-phase Phase 1 delivery timeline fixed in Section 11.4 and the governance model fixed in Section 12 and specifies exactly how they are executed: in what order architecture layers are built, what work packages populate each phase, which specific work sits on the critical path, what resources are required, and the quality gates that must pass before the next phase begins. It answers the question Section 11 leaves at the roadmap level — what happens, by when — at the level of detail a delivery team would need to actually start work in Week 1.</w:t>
      </w:r>
    </w:p>
    <w:p>
      <w:pPr>
        <w:pStyle w:val="Heading1"/>
        <w:pBdr>
          <w:bottom w:val="single" w:color="1F3864" w:sz="6" w:space="4"/>
        </w:pBdr>
        <w:spacing w:after="130" w:before="320"/>
      </w:pPr>
      <w:r>
        <w:t xml:space="preserve">13.2 Architecture Layers and Build Sequence</w:t>
      </w:r>
    </w:p>
    <w:p>
      <w:pPr>
        <w:spacing w:after="150" w:line="276"/>
        <w:jc w:val="both"/>
      </w:pPr>
      <w:r>
        <w:t xml:space="preserve">Six architecture layers are built in a fixed sequence, each depending on the layer before it, consistent with the layer-by-layer thinking sequence fixed at the outset of this Blueprint (Section 1).</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10"/>
        <w:gridCol w:w="2458"/>
        <w:gridCol w:w="4506"/>
        <w:gridCol w:w="2867"/>
      </w:tblGrid>
      <w:tr>
        <w:trPr>
          <w:tblHeader/>
        </w:trPr>
        <w:tc>
          <w:tcPr>
            <w:tcW w:type="dxa" w:w="410"/>
            <w:shd w:fill="1F3864" w:val="clear"/>
            <w:tcMar>
              <w:top w:type="dxa" w:w="70"/>
              <w:left w:type="dxa" w:w="90"/>
              <w:bottom w:type="dxa" w:w="70"/>
              <w:right w:type="dxa" w:w="90"/>
            </w:tcMar>
            <w:vAlign w:val="top"/>
          </w:tcPr>
          <w:p>
            <w:r>
              <w:rPr>
                <w:b/>
                <w:bCs/>
                <w:color w:val="FFFFFF"/>
                <w:sz w:val="17"/>
                <w:szCs w:val="17"/>
              </w:rPr>
              <w:t xml:space="preserve">#</w:t>
            </w:r>
          </w:p>
        </w:tc>
        <w:tc>
          <w:tcPr>
            <w:tcW w:type="dxa" w:w="2458"/>
            <w:shd w:fill="1F3864" w:val="clear"/>
            <w:tcMar>
              <w:top w:type="dxa" w:w="70"/>
              <w:left w:type="dxa" w:w="90"/>
              <w:bottom w:type="dxa" w:w="70"/>
              <w:right w:type="dxa" w:w="90"/>
            </w:tcMar>
            <w:vAlign w:val="top"/>
          </w:tcPr>
          <w:p>
            <w:r>
              <w:rPr>
                <w:b/>
                <w:bCs/>
                <w:color w:val="FFFFFF"/>
                <w:sz w:val="17"/>
                <w:szCs w:val="17"/>
              </w:rPr>
              <w:t xml:space="preserve">Layer</w:t>
            </w:r>
          </w:p>
        </w:tc>
        <w:tc>
          <w:tcPr>
            <w:tcW w:type="dxa" w:w="4506"/>
            <w:shd w:fill="1F3864" w:val="clear"/>
            <w:tcMar>
              <w:top w:type="dxa" w:w="70"/>
              <w:left w:type="dxa" w:w="90"/>
              <w:bottom w:type="dxa" w:w="70"/>
              <w:right w:type="dxa" w:w="90"/>
            </w:tcMar>
            <w:vAlign w:val="top"/>
          </w:tcPr>
          <w:p>
            <w:r>
              <w:rPr>
                <w:b/>
                <w:bCs/>
                <w:color w:val="FFFFFF"/>
                <w:sz w:val="17"/>
                <w:szCs w:val="17"/>
              </w:rPr>
              <w:t xml:space="preserve">What Is Built</w:t>
            </w:r>
          </w:p>
        </w:tc>
        <w:tc>
          <w:tcPr>
            <w:tcW w:type="dxa" w:w="2867"/>
            <w:shd w:fill="1F3864" w:val="clear"/>
            <w:tcMar>
              <w:top w:type="dxa" w:w="70"/>
              <w:left w:type="dxa" w:w="90"/>
              <w:bottom w:type="dxa" w:w="70"/>
              <w:right w:type="dxa" w:w="90"/>
            </w:tcMar>
            <w:vAlign w:val="top"/>
          </w:tcPr>
          <w:p>
            <w:r>
              <w:rPr>
                <w:b/>
                <w:bCs/>
                <w:color w:val="FFFFFF"/>
                <w:sz w:val="17"/>
                <w:szCs w:val="17"/>
              </w:rPr>
              <w:t xml:space="preserve">Depends On</w:t>
            </w:r>
          </w:p>
        </w:tc>
      </w:tr>
      <w:tr>
        <w:tc>
          <w:tcPr>
            <w:tcW w:type="dxa" w:w="410"/>
            <w:tcMar>
              <w:top w:type="dxa" w:w="70"/>
              <w:left w:type="dxa" w:w="90"/>
              <w:bottom w:type="dxa" w:w="70"/>
              <w:right w:type="dxa" w:w="90"/>
            </w:tcMar>
            <w:vAlign w:val="top"/>
          </w:tcPr>
          <w:p>
            <w:r>
              <w:rPr>
                <w:b/>
                <w:bCs/>
                <w:color w:val="000000"/>
                <w:sz w:val="16"/>
                <w:szCs w:val="16"/>
              </w:rPr>
              <w:t xml:space="preserve">1</w:t>
            </w:r>
          </w:p>
        </w:tc>
        <w:tc>
          <w:tcPr>
            <w:tcW w:type="dxa" w:w="2458"/>
            <w:tcMar>
              <w:top w:type="dxa" w:w="70"/>
              <w:left w:type="dxa" w:w="90"/>
              <w:bottom w:type="dxa" w:w="70"/>
              <w:right w:type="dxa" w:w="90"/>
            </w:tcMar>
            <w:vAlign w:val="top"/>
          </w:tcPr>
          <w:p>
            <w:r>
              <w:rPr>
                <w:b w:val="false"/>
                <w:bCs w:val="false"/>
                <w:color w:val="000000"/>
                <w:sz w:val="16"/>
                <w:szCs w:val="16"/>
              </w:rPr>
              <w:t xml:space="preserve">Governance and Information Foundation</w:t>
            </w:r>
          </w:p>
        </w:tc>
        <w:tc>
          <w:tcPr>
            <w:tcW w:type="dxa" w:w="4506"/>
            <w:tcMar>
              <w:top w:type="dxa" w:w="70"/>
              <w:left w:type="dxa" w:w="90"/>
              <w:bottom w:type="dxa" w:w="70"/>
              <w:right w:type="dxa" w:w="90"/>
            </w:tcMar>
            <w:vAlign w:val="top"/>
          </w:tcPr>
          <w:p>
            <w:r>
              <w:rPr>
                <w:b w:val="false"/>
                <w:bCs w:val="false"/>
                <w:color w:val="000000"/>
                <w:sz w:val="16"/>
                <w:szCs w:val="16"/>
              </w:rPr>
              <w:t xml:space="preserve">Data &amp; Content Governance Charter signed; shared taxonomy and metadata standard drafted (Sections 2.10, 5.5).</w:t>
            </w:r>
          </w:p>
        </w:tc>
        <w:tc>
          <w:tcPr>
            <w:tcW w:type="dxa" w:w="2867"/>
            <w:tcMar>
              <w:top w:type="dxa" w:w="70"/>
              <w:left w:type="dxa" w:w="90"/>
              <w:bottom w:type="dxa" w:w="70"/>
              <w:right w:type="dxa" w:w="90"/>
            </w:tcMar>
            <w:vAlign w:val="top"/>
          </w:tcPr>
          <w:p>
            <w:r>
              <w:rPr>
                <w:b w:val="false"/>
                <w:bCs w:val="false"/>
                <w:color w:val="000000"/>
                <w:sz w:val="16"/>
                <w:szCs w:val="16"/>
              </w:rPr>
              <w:t xml:space="preserve">Nothing — this is the foundation layer.</w:t>
            </w:r>
          </w:p>
        </w:tc>
      </w:tr>
      <w:tr>
        <w:tc>
          <w:tcPr>
            <w:tcW w:type="dxa" w:w="410"/>
            <w:tcMar>
              <w:top w:type="dxa" w:w="70"/>
              <w:left w:type="dxa" w:w="90"/>
              <w:bottom w:type="dxa" w:w="70"/>
              <w:right w:type="dxa" w:w="90"/>
            </w:tcMar>
            <w:vAlign w:val="top"/>
          </w:tcPr>
          <w:p>
            <w:r>
              <w:rPr>
                <w:b/>
                <w:bCs/>
                <w:color w:val="000000"/>
                <w:sz w:val="16"/>
                <w:szCs w:val="16"/>
              </w:rPr>
              <w:t xml:space="preserve">2</w:t>
            </w:r>
          </w:p>
        </w:tc>
        <w:tc>
          <w:tcPr>
            <w:tcW w:type="dxa" w:w="2458"/>
            <w:tcMar>
              <w:top w:type="dxa" w:w="70"/>
              <w:left w:type="dxa" w:w="90"/>
              <w:bottom w:type="dxa" w:w="70"/>
              <w:right w:type="dxa" w:w="90"/>
            </w:tcMar>
            <w:vAlign w:val="top"/>
          </w:tcPr>
          <w:p>
            <w:r>
              <w:rPr>
                <w:b w:val="false"/>
                <w:bCs w:val="false"/>
                <w:color w:val="000000"/>
                <w:sz w:val="16"/>
                <w:szCs w:val="16"/>
              </w:rPr>
              <w:t xml:space="preserve">Identity and Security Baseline</w:t>
            </w:r>
          </w:p>
        </w:tc>
        <w:tc>
          <w:tcPr>
            <w:tcW w:type="dxa" w:w="4506"/>
            <w:tcMar>
              <w:top w:type="dxa" w:w="70"/>
              <w:left w:type="dxa" w:w="90"/>
              <w:bottom w:type="dxa" w:w="70"/>
              <w:right w:type="dxa" w:w="90"/>
            </w:tcMar>
            <w:vAlign w:val="top"/>
          </w:tcPr>
          <w:p>
            <w:r>
              <w:rPr>
                <w:b w:val="false"/>
                <w:bCs w:val="false"/>
                <w:color w:val="000000"/>
                <w:sz w:val="16"/>
                <w:szCs w:val="16"/>
              </w:rPr>
              <w:t xml:space="preserve">Keycloak deployed; RBAC/ABAC roles defined; MFA enrolled for privileged roles (Sections 8.3, 10.9).</w:t>
            </w:r>
          </w:p>
        </w:tc>
        <w:tc>
          <w:tcPr>
            <w:tcW w:type="dxa" w:w="2867"/>
            <w:tcMar>
              <w:top w:type="dxa" w:w="70"/>
              <w:left w:type="dxa" w:w="90"/>
              <w:bottom w:type="dxa" w:w="70"/>
              <w:right w:type="dxa" w:w="90"/>
            </w:tcMar>
            <w:vAlign w:val="top"/>
          </w:tcPr>
          <w:p>
            <w:r>
              <w:rPr>
                <w:b w:val="false"/>
                <w:bCs w:val="false"/>
                <w:color w:val="000000"/>
                <w:sz w:val="16"/>
                <w:szCs w:val="16"/>
              </w:rPr>
              <w:t xml:space="preserve">Layer 1 (roles reference taxonomy-scoped state affiliations).</w:t>
            </w:r>
          </w:p>
        </w:tc>
      </w:tr>
      <w:tr>
        <w:tc>
          <w:tcPr>
            <w:tcW w:type="dxa" w:w="410"/>
            <w:tcMar>
              <w:top w:type="dxa" w:w="70"/>
              <w:left w:type="dxa" w:w="90"/>
              <w:bottom w:type="dxa" w:w="70"/>
              <w:right w:type="dxa" w:w="90"/>
            </w:tcMar>
            <w:vAlign w:val="top"/>
          </w:tcPr>
          <w:p>
            <w:r>
              <w:rPr>
                <w:b/>
                <w:bCs/>
                <w:color w:val="000000"/>
                <w:sz w:val="16"/>
                <w:szCs w:val="16"/>
              </w:rPr>
              <w:t xml:space="preserve">3</w:t>
            </w:r>
          </w:p>
        </w:tc>
        <w:tc>
          <w:tcPr>
            <w:tcW w:type="dxa" w:w="2458"/>
            <w:tcMar>
              <w:top w:type="dxa" w:w="70"/>
              <w:left w:type="dxa" w:w="90"/>
              <w:bottom w:type="dxa" w:w="70"/>
              <w:right w:type="dxa" w:w="90"/>
            </w:tcMar>
            <w:vAlign w:val="top"/>
          </w:tcPr>
          <w:p>
            <w:r>
              <w:rPr>
                <w:b w:val="false"/>
                <w:bCs w:val="false"/>
                <w:color w:val="000000"/>
                <w:sz w:val="16"/>
                <w:szCs w:val="16"/>
              </w:rPr>
              <w:t xml:space="preserve">Core Application Platforms</w:t>
            </w:r>
          </w:p>
        </w:tc>
        <w:tc>
          <w:tcPr>
            <w:tcW w:type="dxa" w:w="4506"/>
            <w:tcMar>
              <w:top w:type="dxa" w:w="70"/>
              <w:left w:type="dxa" w:w="90"/>
              <w:bottom w:type="dxa" w:w="70"/>
              <w:right w:type="dxa" w:w="90"/>
            </w:tcMar>
            <w:vAlign w:val="top"/>
          </w:tcPr>
          <w:p>
            <w:r>
              <w:rPr>
                <w:b w:val="false"/>
                <w:bCs w:val="false"/>
                <w:color w:val="000000"/>
                <w:sz w:val="16"/>
                <w:szCs w:val="16"/>
              </w:rPr>
              <w:t xml:space="preserve">ESM Core Platform (Node.js) and CKR Core Platform (Laravel) configured per Section 10's recommended stack.</w:t>
            </w:r>
          </w:p>
        </w:tc>
        <w:tc>
          <w:tcPr>
            <w:tcW w:type="dxa" w:w="2867"/>
            <w:tcMar>
              <w:top w:type="dxa" w:w="70"/>
              <w:left w:type="dxa" w:w="90"/>
              <w:bottom w:type="dxa" w:w="70"/>
              <w:right w:type="dxa" w:w="90"/>
            </w:tcMar>
            <w:vAlign w:val="top"/>
          </w:tcPr>
          <w:p>
            <w:r>
              <w:rPr>
                <w:b w:val="false"/>
                <w:bCs w:val="false"/>
                <w:color w:val="000000"/>
                <w:sz w:val="16"/>
                <w:szCs w:val="16"/>
              </w:rPr>
              <w:t xml:space="preserve">Layer 2 (applications require identity integration from first deployment).</w:t>
            </w:r>
          </w:p>
        </w:tc>
      </w:tr>
      <w:tr>
        <w:tc>
          <w:tcPr>
            <w:tcW w:type="dxa" w:w="410"/>
            <w:tcMar>
              <w:top w:type="dxa" w:w="70"/>
              <w:left w:type="dxa" w:w="90"/>
              <w:bottom w:type="dxa" w:w="70"/>
              <w:right w:type="dxa" w:w="90"/>
            </w:tcMar>
            <w:vAlign w:val="top"/>
          </w:tcPr>
          <w:p>
            <w:r>
              <w:rPr>
                <w:b/>
                <w:bCs/>
                <w:color w:val="000000"/>
                <w:sz w:val="16"/>
                <w:szCs w:val="16"/>
              </w:rPr>
              <w:t xml:space="preserve">4</w:t>
            </w:r>
          </w:p>
        </w:tc>
        <w:tc>
          <w:tcPr>
            <w:tcW w:type="dxa" w:w="2458"/>
            <w:tcMar>
              <w:top w:type="dxa" w:w="70"/>
              <w:left w:type="dxa" w:w="90"/>
              <w:bottom w:type="dxa" w:w="70"/>
              <w:right w:type="dxa" w:w="90"/>
            </w:tcMar>
            <w:vAlign w:val="top"/>
          </w:tcPr>
          <w:p>
            <w:r>
              <w:rPr>
                <w:b w:val="false"/>
                <w:bCs w:val="false"/>
                <w:color w:val="000000"/>
                <w:sz w:val="16"/>
                <w:szCs w:val="16"/>
              </w:rPr>
              <w:t xml:space="preserve">Data Migration and Content Population</w:t>
            </w:r>
          </w:p>
        </w:tc>
        <w:tc>
          <w:tcPr>
            <w:tcW w:type="dxa" w:w="4506"/>
            <w:tcMar>
              <w:top w:type="dxa" w:w="70"/>
              <w:left w:type="dxa" w:w="90"/>
              <w:bottom w:type="dxa" w:w="70"/>
              <w:right w:type="dxa" w:w="90"/>
            </w:tcMar>
            <w:vAlign w:val="top"/>
          </w:tcPr>
          <w:p>
            <w:r>
              <w:rPr>
                <w:b w:val="false"/>
                <w:bCs w:val="false"/>
                <w:color w:val="000000"/>
                <w:sz w:val="16"/>
                <w:szCs w:val="16"/>
              </w:rPr>
              <w:t xml:space="preserve">Legacy content audited, classified, migrated, and validated per the five-stage process in Section 6.8.</w:t>
            </w:r>
          </w:p>
        </w:tc>
        <w:tc>
          <w:tcPr>
            <w:tcW w:type="dxa" w:w="2867"/>
            <w:tcMar>
              <w:top w:type="dxa" w:w="70"/>
              <w:left w:type="dxa" w:w="90"/>
              <w:bottom w:type="dxa" w:w="70"/>
              <w:right w:type="dxa" w:w="90"/>
            </w:tcMar>
            <w:vAlign w:val="top"/>
          </w:tcPr>
          <w:p>
            <w:r>
              <w:rPr>
                <w:b w:val="false"/>
                <w:bCs w:val="false"/>
                <w:color w:val="000000"/>
                <w:sz w:val="16"/>
                <w:szCs w:val="16"/>
              </w:rPr>
              <w:t xml:space="preserve">Layer 3 (a target platform must exist before content is migrated into it).</w:t>
            </w:r>
          </w:p>
        </w:tc>
      </w:tr>
      <w:tr>
        <w:tc>
          <w:tcPr>
            <w:tcW w:type="dxa" w:w="410"/>
            <w:tcMar>
              <w:top w:type="dxa" w:w="70"/>
              <w:left w:type="dxa" w:w="90"/>
              <w:bottom w:type="dxa" w:w="70"/>
              <w:right w:type="dxa" w:w="90"/>
            </w:tcMar>
            <w:vAlign w:val="top"/>
          </w:tcPr>
          <w:p>
            <w:r>
              <w:rPr>
                <w:b/>
                <w:bCs/>
                <w:color w:val="000000"/>
                <w:sz w:val="16"/>
                <w:szCs w:val="16"/>
              </w:rPr>
              <w:t xml:space="preserve">5</w:t>
            </w:r>
          </w:p>
        </w:tc>
        <w:tc>
          <w:tcPr>
            <w:tcW w:type="dxa" w:w="2458"/>
            <w:tcMar>
              <w:top w:type="dxa" w:w="70"/>
              <w:left w:type="dxa" w:w="90"/>
              <w:bottom w:type="dxa" w:w="70"/>
              <w:right w:type="dxa" w:w="90"/>
            </w:tcMar>
            <w:vAlign w:val="top"/>
          </w:tcPr>
          <w:p>
            <w:r>
              <w:rPr>
                <w:b w:val="false"/>
                <w:bCs w:val="false"/>
                <w:color w:val="000000"/>
                <w:sz w:val="16"/>
                <w:szCs w:val="16"/>
              </w:rPr>
              <w:t xml:space="preserve">Integration and Functional Modules</w:t>
            </w:r>
          </w:p>
        </w:tc>
        <w:tc>
          <w:tcPr>
            <w:tcW w:type="dxa" w:w="4506"/>
            <w:tcMar>
              <w:top w:type="dxa" w:w="70"/>
              <w:left w:type="dxa" w:w="90"/>
              <w:bottom w:type="dxa" w:w="70"/>
              <w:right w:type="dxa" w:w="90"/>
            </w:tcMar>
            <w:vAlign w:val="top"/>
          </w:tcPr>
          <w:p>
            <w:r>
              <w:rPr>
                <w:b w:val="false"/>
                <w:bCs w:val="false"/>
                <w:color w:val="000000"/>
                <w:sz w:val="16"/>
                <w:szCs w:val="16"/>
              </w:rPr>
              <w:t xml:space="preserve">The Integration &amp; API Gateway and the twenty-eight functional modules (Section 4) configured on top of the populated core platforms.</w:t>
            </w:r>
          </w:p>
        </w:tc>
        <w:tc>
          <w:tcPr>
            <w:tcW w:type="dxa" w:w="2867"/>
            <w:tcMar>
              <w:top w:type="dxa" w:w="70"/>
              <w:left w:type="dxa" w:w="90"/>
              <w:bottom w:type="dxa" w:w="70"/>
              <w:right w:type="dxa" w:w="90"/>
            </w:tcMar>
            <w:vAlign w:val="top"/>
          </w:tcPr>
          <w:p>
            <w:r>
              <w:rPr>
                <w:b w:val="false"/>
                <w:bCs w:val="false"/>
                <w:color w:val="000000"/>
                <w:sz w:val="16"/>
                <w:szCs w:val="16"/>
              </w:rPr>
              <w:t xml:space="preserve">Layer 4 (functional modules operate on classified, migrated content).</w:t>
            </w:r>
          </w:p>
        </w:tc>
      </w:tr>
      <w:tr>
        <w:tc>
          <w:tcPr>
            <w:tcW w:type="dxa" w:w="410"/>
            <w:tcMar>
              <w:top w:type="dxa" w:w="70"/>
              <w:left w:type="dxa" w:w="90"/>
              <w:bottom w:type="dxa" w:w="70"/>
              <w:right w:type="dxa" w:w="90"/>
            </w:tcMar>
            <w:vAlign w:val="top"/>
          </w:tcPr>
          <w:p>
            <w:r>
              <w:rPr>
                <w:b/>
                <w:bCs/>
                <w:color w:val="000000"/>
                <w:sz w:val="16"/>
                <w:szCs w:val="16"/>
              </w:rPr>
              <w:t xml:space="preserve">6</w:t>
            </w:r>
          </w:p>
        </w:tc>
        <w:tc>
          <w:tcPr>
            <w:tcW w:type="dxa" w:w="2458"/>
            <w:tcMar>
              <w:top w:type="dxa" w:w="70"/>
              <w:left w:type="dxa" w:w="90"/>
              <w:bottom w:type="dxa" w:w="70"/>
              <w:right w:type="dxa" w:w="90"/>
            </w:tcMar>
            <w:vAlign w:val="top"/>
          </w:tcPr>
          <w:p>
            <w:r>
              <w:rPr>
                <w:b w:val="false"/>
                <w:bCs w:val="false"/>
                <w:color w:val="000000"/>
                <w:sz w:val="16"/>
                <w:szCs w:val="16"/>
              </w:rPr>
              <w:t xml:space="preserve">Testing, Training, and Handover</w:t>
            </w:r>
          </w:p>
        </w:tc>
        <w:tc>
          <w:tcPr>
            <w:tcW w:type="dxa" w:w="4506"/>
            <w:tcMar>
              <w:top w:type="dxa" w:w="70"/>
              <w:left w:type="dxa" w:w="90"/>
              <w:bottom w:type="dxa" w:w="70"/>
              <w:right w:type="dxa" w:w="90"/>
            </w:tcMar>
            <w:vAlign w:val="top"/>
          </w:tcPr>
          <w:p>
            <w:r>
              <w:rPr>
                <w:b w:val="false"/>
                <w:bCs w:val="false"/>
                <w:color w:val="000000"/>
                <w:sz w:val="16"/>
                <w:szCs w:val="16"/>
              </w:rPr>
              <w:t xml:space="preserve">Continuous and formal testing, training-of-trainers delivery, user acceptance, and the documented handover package (Section 11.12).</w:t>
            </w:r>
          </w:p>
        </w:tc>
        <w:tc>
          <w:tcPr>
            <w:tcW w:type="dxa" w:w="2867"/>
            <w:tcMar>
              <w:top w:type="dxa" w:w="70"/>
              <w:left w:type="dxa" w:w="90"/>
              <w:bottom w:type="dxa" w:w="70"/>
              <w:right w:type="dxa" w:w="90"/>
            </w:tcMar>
            <w:vAlign w:val="top"/>
          </w:tcPr>
          <w:p>
            <w:r>
              <w:rPr>
                <w:b w:val="false"/>
                <w:bCs w:val="false"/>
                <w:color w:val="000000"/>
                <w:sz w:val="16"/>
                <w:szCs w:val="16"/>
              </w:rPr>
              <w:t xml:space="preserve">Layer 5 (a fully configured, populated system is required before it can be meaningfully tested or trained on).</w:t>
            </w:r>
          </w:p>
        </w:tc>
      </w:tr>
    </w:tbl>
    <w:p>
      <w:pPr>
        <w:spacing w:after="100"/>
      </w:pPr>
    </w:p>
    <w:p>
      <w:pPr>
        <w:spacing w:after="160" w:line="264"/>
      </w:pPr>
      <w:r>
        <w:rPr>
          <w:i/>
          <w:iCs/>
          <w:color w:val="555555"/>
          <w:sz w:val="18"/>
          <w:szCs w:val="18"/>
        </w:rPr>
        <w:t xml:space="preserve">This build sequence is why the Governance Charter is signed in Week 2, not deferred: every later layer depends on the taxonomy and decision-rights structure Layer 1 establishes, so any delay to Layer 1 propagates through all five subsequent layers — the specific mechanism behind the Critical Path analysis in Section 13.5.</w:t>
      </w:r>
    </w:p>
    <w:p>
      <w:pPr>
        <w:spacing w:after="160"/>
      </w:pPr>
    </w:p>
    <w:p>
      <w:pPr>
        <w:pStyle w:val="Heading1"/>
        <w:pBdr>
          <w:bottom w:val="single" w:color="1F3864" w:sz="6" w:space="4"/>
        </w:pBdr>
        <w:spacing w:after="130" w:before="320"/>
      </w:pPr>
      <w:r>
        <w:t xml:space="preserve">13.3 Work Package Breakdown</w:t>
      </w:r>
    </w:p>
    <w:p>
      <w:pPr>
        <w:spacing w:after="150" w:line="276"/>
        <w:jc w:val="both"/>
      </w:pPr>
      <w:r>
        <w:t xml:space="preserve">Thirteen work packages populate the five Phase 1 delivery phases fixed in Section 11.4, each mapped to the architecture layer it builds (Section 13.2).</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819"/>
        <w:gridCol w:w="3686"/>
        <w:gridCol w:w="1434"/>
        <w:gridCol w:w="1229"/>
        <w:gridCol w:w="3072"/>
      </w:tblGrid>
      <w:tr>
        <w:trPr>
          <w:tblHeader/>
        </w:trPr>
        <w:tc>
          <w:tcPr>
            <w:tcW w:type="dxa" w:w="819"/>
            <w:shd w:fill="1F3864" w:val="clear"/>
            <w:tcMar>
              <w:top w:type="dxa" w:w="70"/>
              <w:left w:type="dxa" w:w="90"/>
              <w:bottom w:type="dxa" w:w="70"/>
              <w:right w:type="dxa" w:w="90"/>
            </w:tcMar>
            <w:vAlign w:val="top"/>
          </w:tcPr>
          <w:p>
            <w:r>
              <w:rPr>
                <w:b/>
                <w:bCs/>
                <w:color w:val="FFFFFF"/>
                <w:sz w:val="17"/>
                <w:szCs w:val="17"/>
              </w:rPr>
              <w:t xml:space="preserve">ID</w:t>
            </w:r>
          </w:p>
        </w:tc>
        <w:tc>
          <w:tcPr>
            <w:tcW w:type="dxa" w:w="3686"/>
            <w:shd w:fill="1F3864" w:val="clear"/>
            <w:tcMar>
              <w:top w:type="dxa" w:w="70"/>
              <w:left w:type="dxa" w:w="90"/>
              <w:bottom w:type="dxa" w:w="70"/>
              <w:right w:type="dxa" w:w="90"/>
            </w:tcMar>
            <w:vAlign w:val="top"/>
          </w:tcPr>
          <w:p>
            <w:r>
              <w:rPr>
                <w:b/>
                <w:bCs/>
                <w:color w:val="FFFFFF"/>
                <w:sz w:val="17"/>
                <w:szCs w:val="17"/>
              </w:rPr>
              <w:t xml:space="preserve">Work Package</w:t>
            </w:r>
          </w:p>
        </w:tc>
        <w:tc>
          <w:tcPr>
            <w:tcW w:type="dxa" w:w="1434"/>
            <w:shd w:fill="1F3864" w:val="clear"/>
            <w:tcMar>
              <w:top w:type="dxa" w:w="70"/>
              <w:left w:type="dxa" w:w="90"/>
              <w:bottom w:type="dxa" w:w="70"/>
              <w:right w:type="dxa" w:w="90"/>
            </w:tcMar>
            <w:vAlign w:val="top"/>
          </w:tcPr>
          <w:p>
            <w:r>
              <w:rPr>
                <w:b/>
                <w:bCs/>
                <w:color w:val="FFFFFF"/>
                <w:sz w:val="17"/>
                <w:szCs w:val="17"/>
              </w:rPr>
              <w:t xml:space="preserve">Phase</w:t>
            </w:r>
          </w:p>
        </w:tc>
        <w:tc>
          <w:tcPr>
            <w:tcW w:type="dxa" w:w="1229"/>
            <w:shd w:fill="1F3864" w:val="clear"/>
            <w:tcMar>
              <w:top w:type="dxa" w:w="70"/>
              <w:left w:type="dxa" w:w="90"/>
              <w:bottom w:type="dxa" w:w="70"/>
              <w:right w:type="dxa" w:w="90"/>
            </w:tcMar>
            <w:vAlign w:val="top"/>
          </w:tcPr>
          <w:p>
            <w:r>
              <w:rPr>
                <w:b/>
                <w:bCs/>
                <w:color w:val="FFFFFF"/>
                <w:sz w:val="17"/>
                <w:szCs w:val="17"/>
              </w:rPr>
              <w:t xml:space="preserve">Layer</w:t>
            </w:r>
          </w:p>
        </w:tc>
        <w:tc>
          <w:tcPr>
            <w:tcW w:type="dxa" w:w="3072"/>
            <w:shd w:fill="1F3864" w:val="clear"/>
            <w:tcMar>
              <w:top w:type="dxa" w:w="70"/>
              <w:left w:type="dxa" w:w="90"/>
              <w:bottom w:type="dxa" w:w="70"/>
              <w:right w:type="dxa" w:w="90"/>
            </w:tcMar>
            <w:vAlign w:val="top"/>
          </w:tcPr>
          <w:p>
            <w:r>
              <w:rPr>
                <w:b/>
                <w:bCs/>
                <w:color w:val="FFFFFF"/>
                <w:sz w:val="17"/>
                <w:szCs w:val="17"/>
              </w:rPr>
              <w:t xml:space="preserve">Key Dependency</w:t>
            </w:r>
          </w:p>
        </w:tc>
      </w:tr>
      <w:tr>
        <w:tc>
          <w:tcPr>
            <w:tcW w:type="dxa" w:w="819"/>
            <w:tcMar>
              <w:top w:type="dxa" w:w="70"/>
              <w:left w:type="dxa" w:w="90"/>
              <w:bottom w:type="dxa" w:w="70"/>
              <w:right w:type="dxa" w:w="90"/>
            </w:tcMar>
            <w:vAlign w:val="top"/>
          </w:tcPr>
          <w:p>
            <w:r>
              <w:rPr>
                <w:b/>
                <w:bCs/>
                <w:color w:val="000000"/>
                <w:sz w:val="16"/>
                <w:szCs w:val="16"/>
              </w:rPr>
              <w:t xml:space="preserve">WP1</w:t>
            </w:r>
          </w:p>
        </w:tc>
        <w:tc>
          <w:tcPr>
            <w:tcW w:type="dxa" w:w="3686"/>
            <w:tcMar>
              <w:top w:type="dxa" w:w="70"/>
              <w:left w:type="dxa" w:w="90"/>
              <w:bottom w:type="dxa" w:w="70"/>
              <w:right w:type="dxa" w:w="90"/>
            </w:tcMar>
            <w:vAlign w:val="top"/>
          </w:tcPr>
          <w:p>
            <w:r>
              <w:rPr>
                <w:b w:val="false"/>
                <w:bCs w:val="false"/>
                <w:color w:val="000000"/>
                <w:sz w:val="16"/>
                <w:szCs w:val="16"/>
              </w:rPr>
              <w:t xml:space="preserve">Stakeholder consultation (seven states + FCT)</w:t>
            </w:r>
          </w:p>
        </w:tc>
        <w:tc>
          <w:tcPr>
            <w:tcW w:type="dxa" w:w="1434"/>
            <w:tcMar>
              <w:top w:type="dxa" w:w="70"/>
              <w:left w:type="dxa" w:w="90"/>
              <w:bottom w:type="dxa" w:w="70"/>
              <w:right w:type="dxa" w:w="90"/>
            </w:tcMar>
            <w:vAlign w:val="top"/>
          </w:tcPr>
          <w:p>
            <w:r>
              <w:rPr>
                <w:b w:val="false"/>
                <w:bCs w:val="false"/>
                <w:color w:val="000000"/>
                <w:sz w:val="16"/>
                <w:szCs w:val="16"/>
              </w:rPr>
              <w:t xml:space="preserve">1 (Wks 1–2)</w:t>
            </w:r>
          </w:p>
        </w:tc>
        <w:tc>
          <w:tcPr>
            <w:tcW w:type="dxa" w:w="1229"/>
            <w:tcMar>
              <w:top w:type="dxa" w:w="70"/>
              <w:left w:type="dxa" w:w="90"/>
              <w:bottom w:type="dxa" w:w="70"/>
              <w:right w:type="dxa" w:w="90"/>
            </w:tcMar>
            <w:vAlign w:val="top"/>
          </w:tcPr>
          <w:p>
            <w:r>
              <w:rPr>
                <w:b w:val="false"/>
                <w:bCs w:val="false"/>
                <w:color w:val="000000"/>
                <w:sz w:val="16"/>
                <w:szCs w:val="16"/>
              </w:rPr>
              <w:t xml:space="preserve">—</w:t>
            </w:r>
          </w:p>
        </w:tc>
        <w:tc>
          <w:tcPr>
            <w:tcW w:type="dxa" w:w="3072"/>
            <w:tcMar>
              <w:top w:type="dxa" w:w="70"/>
              <w:left w:type="dxa" w:w="90"/>
              <w:bottom w:type="dxa" w:w="70"/>
              <w:right w:type="dxa" w:w="90"/>
            </w:tcMar>
            <w:vAlign w:val="top"/>
          </w:tcPr>
          <w:p>
            <w:r>
              <w:rPr>
                <w:b w:val="false"/>
                <w:bCs w:val="false"/>
                <w:color w:val="000000"/>
                <w:sz w:val="16"/>
                <w:szCs w:val="16"/>
              </w:rPr>
              <w:t xml:space="preserve">None — first activity</w:t>
            </w:r>
          </w:p>
        </w:tc>
      </w:tr>
      <w:tr>
        <w:tc>
          <w:tcPr>
            <w:tcW w:type="dxa" w:w="819"/>
            <w:tcMar>
              <w:top w:type="dxa" w:w="70"/>
              <w:left w:type="dxa" w:w="90"/>
              <w:bottom w:type="dxa" w:w="70"/>
              <w:right w:type="dxa" w:w="90"/>
            </w:tcMar>
            <w:vAlign w:val="top"/>
          </w:tcPr>
          <w:p>
            <w:r>
              <w:rPr>
                <w:b/>
                <w:bCs/>
                <w:color w:val="000000"/>
                <w:sz w:val="16"/>
                <w:szCs w:val="16"/>
              </w:rPr>
              <w:t xml:space="preserve">WP2</w:t>
            </w:r>
          </w:p>
        </w:tc>
        <w:tc>
          <w:tcPr>
            <w:tcW w:type="dxa" w:w="3686"/>
            <w:tcMar>
              <w:top w:type="dxa" w:w="70"/>
              <w:left w:type="dxa" w:w="90"/>
              <w:bottom w:type="dxa" w:w="70"/>
              <w:right w:type="dxa" w:w="90"/>
            </w:tcMar>
            <w:vAlign w:val="top"/>
          </w:tcPr>
          <w:p>
            <w:r>
              <w:rPr>
                <w:b w:val="false"/>
                <w:bCs w:val="false"/>
                <w:color w:val="000000"/>
                <w:sz w:val="16"/>
                <w:szCs w:val="16"/>
              </w:rPr>
              <w:t xml:space="preserve">Content and data audit</w:t>
            </w:r>
          </w:p>
        </w:tc>
        <w:tc>
          <w:tcPr>
            <w:tcW w:type="dxa" w:w="1434"/>
            <w:tcMar>
              <w:top w:type="dxa" w:w="70"/>
              <w:left w:type="dxa" w:w="90"/>
              <w:bottom w:type="dxa" w:w="70"/>
              <w:right w:type="dxa" w:w="90"/>
            </w:tcMar>
            <w:vAlign w:val="top"/>
          </w:tcPr>
          <w:p>
            <w:r>
              <w:rPr>
                <w:b w:val="false"/>
                <w:bCs w:val="false"/>
                <w:color w:val="000000"/>
                <w:sz w:val="16"/>
                <w:szCs w:val="16"/>
              </w:rPr>
              <w:t xml:space="preserve">1 (Wks 1–2)</w:t>
            </w:r>
          </w:p>
        </w:tc>
        <w:tc>
          <w:tcPr>
            <w:tcW w:type="dxa" w:w="1229"/>
            <w:tcMar>
              <w:top w:type="dxa" w:w="70"/>
              <w:left w:type="dxa" w:w="90"/>
              <w:bottom w:type="dxa" w:w="70"/>
              <w:right w:type="dxa" w:w="90"/>
            </w:tcMar>
            <w:vAlign w:val="top"/>
          </w:tcPr>
          <w:p>
            <w:r>
              <w:rPr>
                <w:b w:val="false"/>
                <w:bCs w:val="false"/>
                <w:color w:val="000000"/>
                <w:sz w:val="16"/>
                <w:szCs w:val="16"/>
              </w:rPr>
              <w:t xml:space="preserve">—</w:t>
            </w:r>
          </w:p>
        </w:tc>
        <w:tc>
          <w:tcPr>
            <w:tcW w:type="dxa" w:w="3072"/>
            <w:tcMar>
              <w:top w:type="dxa" w:w="70"/>
              <w:left w:type="dxa" w:w="90"/>
              <w:bottom w:type="dxa" w:w="70"/>
              <w:right w:type="dxa" w:w="90"/>
            </w:tcMar>
            <w:vAlign w:val="top"/>
          </w:tcPr>
          <w:p>
            <w:r>
              <w:rPr>
                <w:b w:val="false"/>
                <w:bCs w:val="false"/>
                <w:color w:val="000000"/>
                <w:sz w:val="16"/>
                <w:szCs w:val="16"/>
              </w:rPr>
              <w:t xml:space="preserve">WP1 (consultation informs audit scope)</w:t>
            </w:r>
          </w:p>
        </w:tc>
      </w:tr>
      <w:tr>
        <w:tc>
          <w:tcPr>
            <w:tcW w:type="dxa" w:w="819"/>
            <w:tcMar>
              <w:top w:type="dxa" w:w="70"/>
              <w:left w:type="dxa" w:w="90"/>
              <w:bottom w:type="dxa" w:w="70"/>
              <w:right w:type="dxa" w:w="90"/>
            </w:tcMar>
            <w:vAlign w:val="top"/>
          </w:tcPr>
          <w:p>
            <w:r>
              <w:rPr>
                <w:b/>
                <w:bCs/>
                <w:color w:val="000000"/>
                <w:sz w:val="16"/>
                <w:szCs w:val="16"/>
              </w:rPr>
              <w:t xml:space="preserve">WP3</w:t>
            </w:r>
          </w:p>
        </w:tc>
        <w:tc>
          <w:tcPr>
            <w:tcW w:type="dxa" w:w="3686"/>
            <w:tcMar>
              <w:top w:type="dxa" w:w="70"/>
              <w:left w:type="dxa" w:w="90"/>
              <w:bottom w:type="dxa" w:w="70"/>
              <w:right w:type="dxa" w:w="90"/>
            </w:tcMar>
            <w:vAlign w:val="top"/>
          </w:tcPr>
          <w:p>
            <w:r>
              <w:rPr>
                <w:b w:val="false"/>
                <w:bCs w:val="false"/>
                <w:color w:val="000000"/>
                <w:sz w:val="16"/>
                <w:szCs w:val="16"/>
              </w:rPr>
              <w:t xml:space="preserve">Governance Charter drafting and adoption</w:t>
            </w:r>
          </w:p>
        </w:tc>
        <w:tc>
          <w:tcPr>
            <w:tcW w:type="dxa" w:w="1434"/>
            <w:tcMar>
              <w:top w:type="dxa" w:w="70"/>
              <w:left w:type="dxa" w:w="90"/>
              <w:bottom w:type="dxa" w:w="70"/>
              <w:right w:type="dxa" w:w="90"/>
            </w:tcMar>
            <w:vAlign w:val="top"/>
          </w:tcPr>
          <w:p>
            <w:r>
              <w:rPr>
                <w:b w:val="false"/>
                <w:bCs w:val="false"/>
                <w:color w:val="000000"/>
                <w:sz w:val="16"/>
                <w:szCs w:val="16"/>
              </w:rPr>
              <w:t xml:space="preserve">1 (Wks 1–2)</w:t>
            </w:r>
          </w:p>
        </w:tc>
        <w:tc>
          <w:tcPr>
            <w:tcW w:type="dxa" w:w="1229"/>
            <w:tcMar>
              <w:top w:type="dxa" w:w="70"/>
              <w:left w:type="dxa" w:w="90"/>
              <w:bottom w:type="dxa" w:w="70"/>
              <w:right w:type="dxa" w:w="90"/>
            </w:tcMar>
            <w:vAlign w:val="top"/>
          </w:tcPr>
          <w:p>
            <w:r>
              <w:rPr>
                <w:b w:val="false"/>
                <w:bCs w:val="false"/>
                <w:color w:val="000000"/>
                <w:sz w:val="16"/>
                <w:szCs w:val="16"/>
              </w:rPr>
              <w:t xml:space="preserve">Layer 1</w:t>
            </w:r>
          </w:p>
        </w:tc>
        <w:tc>
          <w:tcPr>
            <w:tcW w:type="dxa" w:w="3072"/>
            <w:tcMar>
              <w:top w:type="dxa" w:w="70"/>
              <w:left w:type="dxa" w:w="90"/>
              <w:bottom w:type="dxa" w:w="70"/>
              <w:right w:type="dxa" w:w="90"/>
            </w:tcMar>
            <w:vAlign w:val="top"/>
          </w:tcPr>
          <w:p>
            <w:r>
              <w:rPr>
                <w:b w:val="false"/>
                <w:bCs w:val="false"/>
                <w:color w:val="000000"/>
                <w:sz w:val="16"/>
                <w:szCs w:val="16"/>
              </w:rPr>
              <w:t xml:space="preserve">WP1, WP2</w:t>
            </w:r>
          </w:p>
        </w:tc>
      </w:tr>
      <w:tr>
        <w:tc>
          <w:tcPr>
            <w:tcW w:type="dxa" w:w="819"/>
            <w:tcMar>
              <w:top w:type="dxa" w:w="70"/>
              <w:left w:type="dxa" w:w="90"/>
              <w:bottom w:type="dxa" w:w="70"/>
              <w:right w:type="dxa" w:w="90"/>
            </w:tcMar>
            <w:vAlign w:val="top"/>
          </w:tcPr>
          <w:p>
            <w:r>
              <w:rPr>
                <w:b/>
                <w:bCs/>
                <w:color w:val="000000"/>
                <w:sz w:val="16"/>
                <w:szCs w:val="16"/>
              </w:rPr>
              <w:t xml:space="preserve">WP4</w:t>
            </w:r>
          </w:p>
        </w:tc>
        <w:tc>
          <w:tcPr>
            <w:tcW w:type="dxa" w:w="3686"/>
            <w:tcMar>
              <w:top w:type="dxa" w:w="70"/>
              <w:left w:type="dxa" w:w="90"/>
              <w:bottom w:type="dxa" w:w="70"/>
              <w:right w:type="dxa" w:w="90"/>
            </w:tcMar>
            <w:vAlign w:val="top"/>
          </w:tcPr>
          <w:p>
            <w:r>
              <w:rPr>
                <w:b w:val="false"/>
                <w:bCs w:val="false"/>
                <w:color w:val="000000"/>
                <w:sz w:val="16"/>
                <w:szCs w:val="16"/>
              </w:rPr>
              <w:t xml:space="preserve">Shared taxonomy and metadata standard finalization</w:t>
            </w:r>
          </w:p>
        </w:tc>
        <w:tc>
          <w:tcPr>
            <w:tcW w:type="dxa" w:w="1434"/>
            <w:tcMar>
              <w:top w:type="dxa" w:w="70"/>
              <w:left w:type="dxa" w:w="90"/>
              <w:bottom w:type="dxa" w:w="70"/>
              <w:right w:type="dxa" w:w="90"/>
            </w:tcMar>
            <w:vAlign w:val="top"/>
          </w:tcPr>
          <w:p>
            <w:r>
              <w:rPr>
                <w:b w:val="false"/>
                <w:bCs w:val="false"/>
                <w:color w:val="000000"/>
                <w:sz w:val="16"/>
                <w:szCs w:val="16"/>
              </w:rPr>
              <w:t xml:space="preserve">1 (Wks 1–2)</w:t>
            </w:r>
          </w:p>
        </w:tc>
        <w:tc>
          <w:tcPr>
            <w:tcW w:type="dxa" w:w="1229"/>
            <w:tcMar>
              <w:top w:type="dxa" w:w="70"/>
              <w:left w:type="dxa" w:w="90"/>
              <w:bottom w:type="dxa" w:w="70"/>
              <w:right w:type="dxa" w:w="90"/>
            </w:tcMar>
            <w:vAlign w:val="top"/>
          </w:tcPr>
          <w:p>
            <w:r>
              <w:rPr>
                <w:b w:val="false"/>
                <w:bCs w:val="false"/>
                <w:color w:val="000000"/>
                <w:sz w:val="16"/>
                <w:szCs w:val="16"/>
              </w:rPr>
              <w:t xml:space="preserve">Layer 1</w:t>
            </w:r>
          </w:p>
        </w:tc>
        <w:tc>
          <w:tcPr>
            <w:tcW w:type="dxa" w:w="3072"/>
            <w:tcMar>
              <w:top w:type="dxa" w:w="70"/>
              <w:left w:type="dxa" w:w="90"/>
              <w:bottom w:type="dxa" w:w="70"/>
              <w:right w:type="dxa" w:w="90"/>
            </w:tcMar>
            <w:vAlign w:val="top"/>
          </w:tcPr>
          <w:p>
            <w:r>
              <w:rPr>
                <w:b w:val="false"/>
                <w:bCs w:val="false"/>
                <w:color w:val="000000"/>
                <w:sz w:val="16"/>
                <w:szCs w:val="16"/>
              </w:rPr>
              <w:t xml:space="preserve">WP3</w:t>
            </w:r>
          </w:p>
        </w:tc>
      </w:tr>
      <w:tr>
        <w:tc>
          <w:tcPr>
            <w:tcW w:type="dxa" w:w="819"/>
            <w:tcMar>
              <w:top w:type="dxa" w:w="70"/>
              <w:left w:type="dxa" w:w="90"/>
              <w:bottom w:type="dxa" w:w="70"/>
              <w:right w:type="dxa" w:w="90"/>
            </w:tcMar>
            <w:vAlign w:val="top"/>
          </w:tcPr>
          <w:p>
            <w:r>
              <w:rPr>
                <w:b/>
                <w:bCs/>
                <w:color w:val="000000"/>
                <w:sz w:val="16"/>
                <w:szCs w:val="16"/>
              </w:rPr>
              <w:t xml:space="preserve">WP5</w:t>
            </w:r>
          </w:p>
        </w:tc>
        <w:tc>
          <w:tcPr>
            <w:tcW w:type="dxa" w:w="3686"/>
            <w:tcMar>
              <w:top w:type="dxa" w:w="70"/>
              <w:left w:type="dxa" w:w="90"/>
              <w:bottom w:type="dxa" w:w="70"/>
              <w:right w:type="dxa" w:w="90"/>
            </w:tcMar>
            <w:vAlign w:val="top"/>
          </w:tcPr>
          <w:p>
            <w:r>
              <w:rPr>
                <w:b w:val="false"/>
                <w:bCs w:val="false"/>
                <w:color w:val="000000"/>
                <w:sz w:val="16"/>
                <w:szCs w:val="16"/>
              </w:rPr>
              <w:t xml:space="preserve">Identity platform deployment and role design</w:t>
            </w:r>
          </w:p>
        </w:tc>
        <w:tc>
          <w:tcPr>
            <w:tcW w:type="dxa" w:w="1434"/>
            <w:tcMar>
              <w:top w:type="dxa" w:w="70"/>
              <w:left w:type="dxa" w:w="90"/>
              <w:bottom w:type="dxa" w:w="70"/>
              <w:right w:type="dxa" w:w="90"/>
            </w:tcMar>
            <w:vAlign w:val="top"/>
          </w:tcPr>
          <w:p>
            <w:r>
              <w:rPr>
                <w:b w:val="false"/>
                <w:bCs w:val="false"/>
                <w:color w:val="000000"/>
                <w:sz w:val="16"/>
                <w:szCs w:val="16"/>
              </w:rPr>
              <w:t xml:space="preserve">2 (Wks 3–8)</w:t>
            </w:r>
          </w:p>
        </w:tc>
        <w:tc>
          <w:tcPr>
            <w:tcW w:type="dxa" w:w="1229"/>
            <w:tcMar>
              <w:top w:type="dxa" w:w="70"/>
              <w:left w:type="dxa" w:w="90"/>
              <w:bottom w:type="dxa" w:w="70"/>
              <w:right w:type="dxa" w:w="90"/>
            </w:tcMar>
            <w:vAlign w:val="top"/>
          </w:tcPr>
          <w:p>
            <w:r>
              <w:rPr>
                <w:b w:val="false"/>
                <w:bCs w:val="false"/>
                <w:color w:val="000000"/>
                <w:sz w:val="16"/>
                <w:szCs w:val="16"/>
              </w:rPr>
              <w:t xml:space="preserve">Layer 2</w:t>
            </w:r>
          </w:p>
        </w:tc>
        <w:tc>
          <w:tcPr>
            <w:tcW w:type="dxa" w:w="3072"/>
            <w:tcMar>
              <w:top w:type="dxa" w:w="70"/>
              <w:left w:type="dxa" w:w="90"/>
              <w:bottom w:type="dxa" w:w="70"/>
              <w:right w:type="dxa" w:w="90"/>
            </w:tcMar>
            <w:vAlign w:val="top"/>
          </w:tcPr>
          <w:p>
            <w:r>
              <w:rPr>
                <w:b w:val="false"/>
                <w:bCs w:val="false"/>
                <w:color w:val="000000"/>
                <w:sz w:val="16"/>
                <w:szCs w:val="16"/>
              </w:rPr>
              <w:t xml:space="preserve">WP4</w:t>
            </w:r>
          </w:p>
        </w:tc>
      </w:tr>
      <w:tr>
        <w:tc>
          <w:tcPr>
            <w:tcW w:type="dxa" w:w="819"/>
            <w:tcMar>
              <w:top w:type="dxa" w:w="70"/>
              <w:left w:type="dxa" w:w="90"/>
              <w:bottom w:type="dxa" w:w="70"/>
              <w:right w:type="dxa" w:w="90"/>
            </w:tcMar>
            <w:vAlign w:val="top"/>
          </w:tcPr>
          <w:p>
            <w:r>
              <w:rPr>
                <w:b/>
                <w:bCs/>
                <w:color w:val="000000"/>
                <w:sz w:val="16"/>
                <w:szCs w:val="16"/>
              </w:rPr>
              <w:t xml:space="preserve">WP6</w:t>
            </w:r>
          </w:p>
        </w:tc>
        <w:tc>
          <w:tcPr>
            <w:tcW w:type="dxa" w:w="3686"/>
            <w:tcMar>
              <w:top w:type="dxa" w:w="70"/>
              <w:left w:type="dxa" w:w="90"/>
              <w:bottom w:type="dxa" w:w="70"/>
              <w:right w:type="dxa" w:w="90"/>
            </w:tcMar>
            <w:vAlign w:val="top"/>
          </w:tcPr>
          <w:p>
            <w:r>
              <w:rPr>
                <w:b w:val="false"/>
                <w:bCs w:val="false"/>
                <w:color w:val="000000"/>
                <w:sz w:val="16"/>
                <w:szCs w:val="16"/>
              </w:rPr>
              <w:t xml:space="preserve">ESM and CKR core platform configuration</w:t>
            </w:r>
          </w:p>
        </w:tc>
        <w:tc>
          <w:tcPr>
            <w:tcW w:type="dxa" w:w="1434"/>
            <w:tcMar>
              <w:top w:type="dxa" w:w="70"/>
              <w:left w:type="dxa" w:w="90"/>
              <w:bottom w:type="dxa" w:w="70"/>
              <w:right w:type="dxa" w:w="90"/>
            </w:tcMar>
            <w:vAlign w:val="top"/>
          </w:tcPr>
          <w:p>
            <w:r>
              <w:rPr>
                <w:b w:val="false"/>
                <w:bCs w:val="false"/>
                <w:color w:val="000000"/>
                <w:sz w:val="16"/>
                <w:szCs w:val="16"/>
              </w:rPr>
              <w:t xml:space="preserve">2 (Wks 3–8)</w:t>
            </w:r>
          </w:p>
        </w:tc>
        <w:tc>
          <w:tcPr>
            <w:tcW w:type="dxa" w:w="1229"/>
            <w:tcMar>
              <w:top w:type="dxa" w:w="70"/>
              <w:left w:type="dxa" w:w="90"/>
              <w:bottom w:type="dxa" w:w="70"/>
              <w:right w:type="dxa" w:w="90"/>
            </w:tcMar>
            <w:vAlign w:val="top"/>
          </w:tcPr>
          <w:p>
            <w:r>
              <w:rPr>
                <w:b w:val="false"/>
                <w:bCs w:val="false"/>
                <w:color w:val="000000"/>
                <w:sz w:val="16"/>
                <w:szCs w:val="16"/>
              </w:rPr>
              <w:t xml:space="preserve">Layer 3</w:t>
            </w:r>
          </w:p>
        </w:tc>
        <w:tc>
          <w:tcPr>
            <w:tcW w:type="dxa" w:w="3072"/>
            <w:tcMar>
              <w:top w:type="dxa" w:w="70"/>
              <w:left w:type="dxa" w:w="90"/>
              <w:bottom w:type="dxa" w:w="70"/>
              <w:right w:type="dxa" w:w="90"/>
            </w:tcMar>
            <w:vAlign w:val="top"/>
          </w:tcPr>
          <w:p>
            <w:r>
              <w:rPr>
                <w:b w:val="false"/>
                <w:bCs w:val="false"/>
                <w:color w:val="000000"/>
                <w:sz w:val="16"/>
                <w:szCs w:val="16"/>
              </w:rPr>
              <w:t xml:space="preserve">WP5</w:t>
            </w:r>
          </w:p>
        </w:tc>
      </w:tr>
      <w:tr>
        <w:tc>
          <w:tcPr>
            <w:tcW w:type="dxa" w:w="819"/>
            <w:tcMar>
              <w:top w:type="dxa" w:w="70"/>
              <w:left w:type="dxa" w:w="90"/>
              <w:bottom w:type="dxa" w:w="70"/>
              <w:right w:type="dxa" w:w="90"/>
            </w:tcMar>
            <w:vAlign w:val="top"/>
          </w:tcPr>
          <w:p>
            <w:r>
              <w:rPr>
                <w:b/>
                <w:bCs/>
                <w:color w:val="000000"/>
                <w:sz w:val="16"/>
                <w:szCs w:val="16"/>
              </w:rPr>
              <w:t xml:space="preserve">WP7</w:t>
            </w:r>
          </w:p>
        </w:tc>
        <w:tc>
          <w:tcPr>
            <w:tcW w:type="dxa" w:w="3686"/>
            <w:tcMar>
              <w:top w:type="dxa" w:w="70"/>
              <w:left w:type="dxa" w:w="90"/>
              <w:bottom w:type="dxa" w:w="70"/>
              <w:right w:type="dxa" w:w="90"/>
            </w:tcMar>
            <w:vAlign w:val="top"/>
          </w:tcPr>
          <w:p>
            <w:r>
              <w:rPr>
                <w:b w:val="false"/>
                <w:bCs w:val="false"/>
                <w:color w:val="000000"/>
                <w:sz w:val="16"/>
                <w:szCs w:val="16"/>
              </w:rPr>
              <w:t xml:space="preserve">Content migration (Must Have priority subset)</w:t>
            </w:r>
          </w:p>
        </w:tc>
        <w:tc>
          <w:tcPr>
            <w:tcW w:type="dxa" w:w="1434"/>
            <w:tcMar>
              <w:top w:type="dxa" w:w="70"/>
              <w:left w:type="dxa" w:w="90"/>
              <w:bottom w:type="dxa" w:w="70"/>
              <w:right w:type="dxa" w:w="90"/>
            </w:tcMar>
            <w:vAlign w:val="top"/>
          </w:tcPr>
          <w:p>
            <w:r>
              <w:rPr>
                <w:b w:val="false"/>
                <w:bCs w:val="false"/>
                <w:color w:val="000000"/>
                <w:sz w:val="16"/>
                <w:szCs w:val="16"/>
              </w:rPr>
              <w:t xml:space="preserve">2 (Wks 3–8)</w:t>
            </w:r>
          </w:p>
        </w:tc>
        <w:tc>
          <w:tcPr>
            <w:tcW w:type="dxa" w:w="1229"/>
            <w:tcMar>
              <w:top w:type="dxa" w:w="70"/>
              <w:left w:type="dxa" w:w="90"/>
              <w:bottom w:type="dxa" w:w="70"/>
              <w:right w:type="dxa" w:w="90"/>
            </w:tcMar>
            <w:vAlign w:val="top"/>
          </w:tcPr>
          <w:p>
            <w:r>
              <w:rPr>
                <w:b w:val="false"/>
                <w:bCs w:val="false"/>
                <w:color w:val="000000"/>
                <w:sz w:val="16"/>
                <w:szCs w:val="16"/>
              </w:rPr>
              <w:t xml:space="preserve">Layer 4</w:t>
            </w:r>
          </w:p>
        </w:tc>
        <w:tc>
          <w:tcPr>
            <w:tcW w:type="dxa" w:w="3072"/>
            <w:tcMar>
              <w:top w:type="dxa" w:w="70"/>
              <w:left w:type="dxa" w:w="90"/>
              <w:bottom w:type="dxa" w:w="70"/>
              <w:right w:type="dxa" w:w="90"/>
            </w:tcMar>
            <w:vAlign w:val="top"/>
          </w:tcPr>
          <w:p>
            <w:r>
              <w:rPr>
                <w:b w:val="false"/>
                <w:bCs w:val="false"/>
                <w:color w:val="000000"/>
                <w:sz w:val="16"/>
                <w:szCs w:val="16"/>
              </w:rPr>
              <w:t xml:space="preserve">WP6</w:t>
            </w:r>
          </w:p>
        </w:tc>
      </w:tr>
      <w:tr>
        <w:tc>
          <w:tcPr>
            <w:tcW w:type="dxa" w:w="819"/>
            <w:tcMar>
              <w:top w:type="dxa" w:w="70"/>
              <w:left w:type="dxa" w:w="90"/>
              <w:bottom w:type="dxa" w:w="70"/>
              <w:right w:type="dxa" w:w="90"/>
            </w:tcMar>
            <w:vAlign w:val="top"/>
          </w:tcPr>
          <w:p>
            <w:r>
              <w:rPr>
                <w:b/>
                <w:bCs/>
                <w:color w:val="000000"/>
                <w:sz w:val="16"/>
                <w:szCs w:val="16"/>
              </w:rPr>
              <w:t xml:space="preserve">WP8</w:t>
            </w:r>
          </w:p>
        </w:tc>
        <w:tc>
          <w:tcPr>
            <w:tcW w:type="dxa" w:w="3686"/>
            <w:tcMar>
              <w:top w:type="dxa" w:w="70"/>
              <w:left w:type="dxa" w:w="90"/>
              <w:bottom w:type="dxa" w:w="70"/>
              <w:right w:type="dxa" w:w="90"/>
            </w:tcMar>
            <w:vAlign w:val="top"/>
          </w:tcPr>
          <w:p>
            <w:r>
              <w:rPr>
                <w:b w:val="false"/>
                <w:bCs w:val="false"/>
                <w:color w:val="000000"/>
                <w:sz w:val="16"/>
                <w:szCs w:val="16"/>
              </w:rPr>
              <w:t xml:space="preserve">Workflow and integration configuration</w:t>
            </w:r>
          </w:p>
        </w:tc>
        <w:tc>
          <w:tcPr>
            <w:tcW w:type="dxa" w:w="1434"/>
            <w:tcMar>
              <w:top w:type="dxa" w:w="70"/>
              <w:left w:type="dxa" w:w="90"/>
              <w:bottom w:type="dxa" w:w="70"/>
              <w:right w:type="dxa" w:w="90"/>
            </w:tcMar>
            <w:vAlign w:val="top"/>
          </w:tcPr>
          <w:p>
            <w:r>
              <w:rPr>
                <w:b w:val="false"/>
                <w:bCs w:val="false"/>
                <w:color w:val="000000"/>
                <w:sz w:val="16"/>
                <w:szCs w:val="16"/>
              </w:rPr>
              <w:t xml:space="preserve">2 (Wks 3–8)</w:t>
            </w:r>
          </w:p>
        </w:tc>
        <w:tc>
          <w:tcPr>
            <w:tcW w:type="dxa" w:w="1229"/>
            <w:tcMar>
              <w:top w:type="dxa" w:w="70"/>
              <w:left w:type="dxa" w:w="90"/>
              <w:bottom w:type="dxa" w:w="70"/>
              <w:right w:type="dxa" w:w="90"/>
            </w:tcMar>
            <w:vAlign w:val="top"/>
          </w:tcPr>
          <w:p>
            <w:r>
              <w:rPr>
                <w:b w:val="false"/>
                <w:bCs w:val="false"/>
                <w:color w:val="000000"/>
                <w:sz w:val="16"/>
                <w:szCs w:val="16"/>
              </w:rPr>
              <w:t xml:space="preserve">Layer 5</w:t>
            </w:r>
          </w:p>
        </w:tc>
        <w:tc>
          <w:tcPr>
            <w:tcW w:type="dxa" w:w="3072"/>
            <w:tcMar>
              <w:top w:type="dxa" w:w="70"/>
              <w:left w:type="dxa" w:w="90"/>
              <w:bottom w:type="dxa" w:w="70"/>
              <w:right w:type="dxa" w:w="90"/>
            </w:tcMar>
            <w:vAlign w:val="top"/>
          </w:tcPr>
          <w:p>
            <w:r>
              <w:rPr>
                <w:b w:val="false"/>
                <w:bCs w:val="false"/>
                <w:color w:val="000000"/>
                <w:sz w:val="16"/>
                <w:szCs w:val="16"/>
              </w:rPr>
              <w:t xml:space="preserve">WP7</w:t>
            </w:r>
          </w:p>
        </w:tc>
      </w:tr>
      <w:tr>
        <w:tc>
          <w:tcPr>
            <w:tcW w:type="dxa" w:w="819"/>
            <w:tcMar>
              <w:top w:type="dxa" w:w="70"/>
              <w:left w:type="dxa" w:w="90"/>
              <w:bottom w:type="dxa" w:w="70"/>
              <w:right w:type="dxa" w:w="90"/>
            </w:tcMar>
            <w:vAlign w:val="top"/>
          </w:tcPr>
          <w:p>
            <w:r>
              <w:rPr>
                <w:b/>
                <w:bCs/>
                <w:color w:val="000000"/>
                <w:sz w:val="16"/>
                <w:szCs w:val="16"/>
              </w:rPr>
              <w:t xml:space="preserve">WP9</w:t>
            </w:r>
          </w:p>
        </w:tc>
        <w:tc>
          <w:tcPr>
            <w:tcW w:type="dxa" w:w="3686"/>
            <w:tcMar>
              <w:top w:type="dxa" w:w="70"/>
              <w:left w:type="dxa" w:w="90"/>
              <w:bottom w:type="dxa" w:w="70"/>
              <w:right w:type="dxa" w:w="90"/>
            </w:tcMar>
            <w:vAlign w:val="top"/>
          </w:tcPr>
          <w:p>
            <w:r>
              <w:rPr>
                <w:b w:val="false"/>
                <w:bCs w:val="false"/>
                <w:color w:val="000000"/>
                <w:sz w:val="16"/>
                <w:szCs w:val="16"/>
              </w:rPr>
              <w:t xml:space="preserve">Functional module configuration (twenty-eight modules)</w:t>
            </w:r>
          </w:p>
        </w:tc>
        <w:tc>
          <w:tcPr>
            <w:tcW w:type="dxa" w:w="1434"/>
            <w:tcMar>
              <w:top w:type="dxa" w:w="70"/>
              <w:left w:type="dxa" w:w="90"/>
              <w:bottom w:type="dxa" w:w="70"/>
              <w:right w:type="dxa" w:w="90"/>
            </w:tcMar>
            <w:vAlign w:val="top"/>
          </w:tcPr>
          <w:p>
            <w:r>
              <w:rPr>
                <w:b w:val="false"/>
                <w:bCs w:val="false"/>
                <w:color w:val="000000"/>
                <w:sz w:val="16"/>
                <w:szCs w:val="16"/>
              </w:rPr>
              <w:t xml:space="preserve">2 (Wks 3–8)</w:t>
            </w:r>
          </w:p>
        </w:tc>
        <w:tc>
          <w:tcPr>
            <w:tcW w:type="dxa" w:w="1229"/>
            <w:tcMar>
              <w:top w:type="dxa" w:w="70"/>
              <w:left w:type="dxa" w:w="90"/>
              <w:bottom w:type="dxa" w:w="70"/>
              <w:right w:type="dxa" w:w="90"/>
            </w:tcMar>
            <w:vAlign w:val="top"/>
          </w:tcPr>
          <w:p>
            <w:r>
              <w:rPr>
                <w:b w:val="false"/>
                <w:bCs w:val="false"/>
                <w:color w:val="000000"/>
                <w:sz w:val="16"/>
                <w:szCs w:val="16"/>
              </w:rPr>
              <w:t xml:space="preserve">Layer 5</w:t>
            </w:r>
          </w:p>
        </w:tc>
        <w:tc>
          <w:tcPr>
            <w:tcW w:type="dxa" w:w="3072"/>
            <w:tcMar>
              <w:top w:type="dxa" w:w="70"/>
              <w:left w:type="dxa" w:w="90"/>
              <w:bottom w:type="dxa" w:w="70"/>
              <w:right w:type="dxa" w:w="90"/>
            </w:tcMar>
            <w:vAlign w:val="top"/>
          </w:tcPr>
          <w:p>
            <w:r>
              <w:rPr>
                <w:b w:val="false"/>
                <w:bCs w:val="false"/>
                <w:color w:val="000000"/>
                <w:sz w:val="16"/>
                <w:szCs w:val="16"/>
              </w:rPr>
              <w:t xml:space="preserve">WP8</w:t>
            </w:r>
          </w:p>
        </w:tc>
      </w:tr>
      <w:tr>
        <w:tc>
          <w:tcPr>
            <w:tcW w:type="dxa" w:w="819"/>
            <w:tcMar>
              <w:top w:type="dxa" w:w="70"/>
              <w:left w:type="dxa" w:w="90"/>
              <w:bottom w:type="dxa" w:w="70"/>
              <w:right w:type="dxa" w:w="90"/>
            </w:tcMar>
            <w:vAlign w:val="top"/>
          </w:tcPr>
          <w:p>
            <w:r>
              <w:rPr>
                <w:b/>
                <w:bCs/>
                <w:color w:val="000000"/>
                <w:sz w:val="16"/>
                <w:szCs w:val="16"/>
              </w:rPr>
              <w:t xml:space="preserve">WP10</w:t>
            </w:r>
          </w:p>
        </w:tc>
        <w:tc>
          <w:tcPr>
            <w:tcW w:type="dxa" w:w="3686"/>
            <w:tcMar>
              <w:top w:type="dxa" w:w="70"/>
              <w:left w:type="dxa" w:w="90"/>
              <w:bottom w:type="dxa" w:w="70"/>
              <w:right w:type="dxa" w:w="90"/>
            </w:tcMar>
            <w:vAlign w:val="top"/>
          </w:tcPr>
          <w:p>
            <w:r>
              <w:rPr>
                <w:b w:val="false"/>
                <w:bCs w:val="false"/>
                <w:color w:val="000000"/>
                <w:sz w:val="16"/>
                <w:szCs w:val="16"/>
              </w:rPr>
              <w:t xml:space="preserve">Continuous testing (beginning Week 3)</w:t>
            </w:r>
          </w:p>
        </w:tc>
        <w:tc>
          <w:tcPr>
            <w:tcW w:type="dxa" w:w="1434"/>
            <w:tcMar>
              <w:top w:type="dxa" w:w="70"/>
              <w:left w:type="dxa" w:w="90"/>
              <w:bottom w:type="dxa" w:w="70"/>
              <w:right w:type="dxa" w:w="90"/>
            </w:tcMar>
            <w:vAlign w:val="top"/>
          </w:tcPr>
          <w:p>
            <w:r>
              <w:rPr>
                <w:b w:val="false"/>
                <w:bCs w:val="false"/>
                <w:color w:val="000000"/>
                <w:sz w:val="16"/>
                <w:szCs w:val="16"/>
              </w:rPr>
              <w:t xml:space="preserve">2–3 (Wks 3–10)</w:t>
            </w:r>
          </w:p>
        </w:tc>
        <w:tc>
          <w:tcPr>
            <w:tcW w:type="dxa" w:w="1229"/>
            <w:tcMar>
              <w:top w:type="dxa" w:w="70"/>
              <w:left w:type="dxa" w:w="90"/>
              <w:bottom w:type="dxa" w:w="70"/>
              <w:right w:type="dxa" w:w="90"/>
            </w:tcMar>
            <w:vAlign w:val="top"/>
          </w:tcPr>
          <w:p>
            <w:r>
              <w:rPr>
                <w:b w:val="false"/>
                <w:bCs w:val="false"/>
                <w:color w:val="000000"/>
                <w:sz w:val="16"/>
                <w:szCs w:val="16"/>
              </w:rPr>
              <w:t xml:space="preserve">Layer 6</w:t>
            </w:r>
          </w:p>
        </w:tc>
        <w:tc>
          <w:tcPr>
            <w:tcW w:type="dxa" w:w="3072"/>
            <w:tcMar>
              <w:top w:type="dxa" w:w="70"/>
              <w:left w:type="dxa" w:w="90"/>
              <w:bottom w:type="dxa" w:w="70"/>
              <w:right w:type="dxa" w:w="90"/>
            </w:tcMar>
            <w:vAlign w:val="top"/>
          </w:tcPr>
          <w:p>
            <w:r>
              <w:rPr>
                <w:b w:val="false"/>
                <w:bCs w:val="false"/>
                <w:color w:val="000000"/>
                <w:sz w:val="16"/>
                <w:szCs w:val="16"/>
              </w:rPr>
              <w:t xml:space="preserve">Runs alongside WP6–WP9, per Section 11.4's risk-reduction note</w:t>
            </w:r>
          </w:p>
        </w:tc>
      </w:tr>
      <w:tr>
        <w:tc>
          <w:tcPr>
            <w:tcW w:type="dxa" w:w="819"/>
            <w:tcMar>
              <w:top w:type="dxa" w:w="70"/>
              <w:left w:type="dxa" w:w="90"/>
              <w:bottom w:type="dxa" w:w="70"/>
              <w:right w:type="dxa" w:w="90"/>
            </w:tcMar>
            <w:vAlign w:val="top"/>
          </w:tcPr>
          <w:p>
            <w:r>
              <w:rPr>
                <w:b/>
                <w:bCs/>
                <w:color w:val="000000"/>
                <w:sz w:val="16"/>
                <w:szCs w:val="16"/>
              </w:rPr>
              <w:t xml:space="preserve">WP11</w:t>
            </w:r>
          </w:p>
        </w:tc>
        <w:tc>
          <w:tcPr>
            <w:tcW w:type="dxa" w:w="3686"/>
            <w:tcMar>
              <w:top w:type="dxa" w:w="70"/>
              <w:left w:type="dxa" w:w="90"/>
              <w:bottom w:type="dxa" w:w="70"/>
              <w:right w:type="dxa" w:w="90"/>
            </w:tcMar>
            <w:vAlign w:val="top"/>
          </w:tcPr>
          <w:p>
            <w:r>
              <w:rPr>
                <w:b w:val="false"/>
                <w:bCs w:val="false"/>
                <w:color w:val="000000"/>
                <w:sz w:val="16"/>
                <w:szCs w:val="16"/>
              </w:rPr>
              <w:t xml:space="preserve">Formal test cycle and defect resolution</w:t>
            </w:r>
          </w:p>
        </w:tc>
        <w:tc>
          <w:tcPr>
            <w:tcW w:type="dxa" w:w="1434"/>
            <w:tcMar>
              <w:top w:type="dxa" w:w="70"/>
              <w:left w:type="dxa" w:w="90"/>
              <w:bottom w:type="dxa" w:w="70"/>
              <w:right w:type="dxa" w:w="90"/>
            </w:tcMar>
            <w:vAlign w:val="top"/>
          </w:tcPr>
          <w:p>
            <w:r>
              <w:rPr>
                <w:b w:val="false"/>
                <w:bCs w:val="false"/>
                <w:color w:val="000000"/>
                <w:sz w:val="16"/>
                <w:szCs w:val="16"/>
              </w:rPr>
              <w:t xml:space="preserve">3 (Wks 9–10)</w:t>
            </w:r>
          </w:p>
        </w:tc>
        <w:tc>
          <w:tcPr>
            <w:tcW w:type="dxa" w:w="1229"/>
            <w:tcMar>
              <w:top w:type="dxa" w:w="70"/>
              <w:left w:type="dxa" w:w="90"/>
              <w:bottom w:type="dxa" w:w="70"/>
              <w:right w:type="dxa" w:w="90"/>
            </w:tcMar>
            <w:vAlign w:val="top"/>
          </w:tcPr>
          <w:p>
            <w:r>
              <w:rPr>
                <w:b w:val="false"/>
                <w:bCs w:val="false"/>
                <w:color w:val="000000"/>
                <w:sz w:val="16"/>
                <w:szCs w:val="16"/>
              </w:rPr>
              <w:t xml:space="preserve">Layer 6</w:t>
            </w:r>
          </w:p>
        </w:tc>
        <w:tc>
          <w:tcPr>
            <w:tcW w:type="dxa" w:w="3072"/>
            <w:tcMar>
              <w:top w:type="dxa" w:w="70"/>
              <w:left w:type="dxa" w:w="90"/>
              <w:bottom w:type="dxa" w:w="70"/>
              <w:right w:type="dxa" w:w="90"/>
            </w:tcMar>
            <w:vAlign w:val="top"/>
          </w:tcPr>
          <w:p>
            <w:r>
              <w:rPr>
                <w:b w:val="false"/>
                <w:bCs w:val="false"/>
                <w:color w:val="000000"/>
                <w:sz w:val="16"/>
                <w:szCs w:val="16"/>
              </w:rPr>
              <w:t xml:space="preserve">WP9, WP10</w:t>
            </w:r>
          </w:p>
        </w:tc>
      </w:tr>
      <w:tr>
        <w:tc>
          <w:tcPr>
            <w:tcW w:type="dxa" w:w="819"/>
            <w:tcMar>
              <w:top w:type="dxa" w:w="70"/>
              <w:left w:type="dxa" w:w="90"/>
              <w:bottom w:type="dxa" w:w="70"/>
              <w:right w:type="dxa" w:w="90"/>
            </w:tcMar>
            <w:vAlign w:val="top"/>
          </w:tcPr>
          <w:p>
            <w:r>
              <w:rPr>
                <w:b/>
                <w:bCs/>
                <w:color w:val="000000"/>
                <w:sz w:val="16"/>
                <w:szCs w:val="16"/>
              </w:rPr>
              <w:t xml:space="preserve">WP12</w:t>
            </w:r>
          </w:p>
        </w:tc>
        <w:tc>
          <w:tcPr>
            <w:tcW w:type="dxa" w:w="3686"/>
            <w:tcMar>
              <w:top w:type="dxa" w:w="70"/>
              <w:left w:type="dxa" w:w="90"/>
              <w:bottom w:type="dxa" w:w="70"/>
              <w:right w:type="dxa" w:w="90"/>
            </w:tcMar>
            <w:vAlign w:val="top"/>
          </w:tcPr>
          <w:p>
            <w:r>
              <w:rPr>
                <w:b w:val="false"/>
                <w:bCs w:val="false"/>
                <w:color w:val="000000"/>
                <w:sz w:val="16"/>
                <w:szCs w:val="16"/>
              </w:rPr>
              <w:t xml:space="preserve">Training-of-trainers delivery and user acceptance testing</w:t>
            </w:r>
          </w:p>
        </w:tc>
        <w:tc>
          <w:tcPr>
            <w:tcW w:type="dxa" w:w="1434"/>
            <w:tcMar>
              <w:top w:type="dxa" w:w="70"/>
              <w:left w:type="dxa" w:w="90"/>
              <w:bottom w:type="dxa" w:w="70"/>
              <w:right w:type="dxa" w:w="90"/>
            </w:tcMar>
            <w:vAlign w:val="top"/>
          </w:tcPr>
          <w:p>
            <w:r>
              <w:rPr>
                <w:b w:val="false"/>
                <w:bCs w:val="false"/>
                <w:color w:val="000000"/>
                <w:sz w:val="16"/>
                <w:szCs w:val="16"/>
              </w:rPr>
              <w:t xml:space="preserve">4 (Wk 11)</w:t>
            </w:r>
          </w:p>
        </w:tc>
        <w:tc>
          <w:tcPr>
            <w:tcW w:type="dxa" w:w="1229"/>
            <w:tcMar>
              <w:top w:type="dxa" w:w="70"/>
              <w:left w:type="dxa" w:w="90"/>
              <w:bottom w:type="dxa" w:w="70"/>
              <w:right w:type="dxa" w:w="90"/>
            </w:tcMar>
            <w:vAlign w:val="top"/>
          </w:tcPr>
          <w:p>
            <w:r>
              <w:rPr>
                <w:b w:val="false"/>
                <w:bCs w:val="false"/>
                <w:color w:val="000000"/>
                <w:sz w:val="16"/>
                <w:szCs w:val="16"/>
              </w:rPr>
              <w:t xml:space="preserve">Layer 6</w:t>
            </w:r>
          </w:p>
        </w:tc>
        <w:tc>
          <w:tcPr>
            <w:tcW w:type="dxa" w:w="3072"/>
            <w:tcMar>
              <w:top w:type="dxa" w:w="70"/>
              <w:left w:type="dxa" w:w="90"/>
              <w:bottom w:type="dxa" w:w="70"/>
              <w:right w:type="dxa" w:w="90"/>
            </w:tcMar>
            <w:vAlign w:val="top"/>
          </w:tcPr>
          <w:p>
            <w:r>
              <w:rPr>
                <w:b w:val="false"/>
                <w:bCs w:val="false"/>
                <w:color w:val="000000"/>
                <w:sz w:val="16"/>
                <w:szCs w:val="16"/>
              </w:rPr>
              <w:t xml:space="preserve">WP11</w:t>
            </w:r>
          </w:p>
        </w:tc>
      </w:tr>
      <w:tr>
        <w:tc>
          <w:tcPr>
            <w:tcW w:type="dxa" w:w="819"/>
            <w:tcMar>
              <w:top w:type="dxa" w:w="70"/>
              <w:left w:type="dxa" w:w="90"/>
              <w:bottom w:type="dxa" w:w="70"/>
              <w:right w:type="dxa" w:w="90"/>
            </w:tcMar>
            <w:vAlign w:val="top"/>
          </w:tcPr>
          <w:p>
            <w:r>
              <w:rPr>
                <w:b/>
                <w:bCs/>
                <w:color w:val="000000"/>
                <w:sz w:val="16"/>
                <w:szCs w:val="16"/>
              </w:rPr>
              <w:t xml:space="preserve">WP13</w:t>
            </w:r>
          </w:p>
        </w:tc>
        <w:tc>
          <w:tcPr>
            <w:tcW w:type="dxa" w:w="3686"/>
            <w:tcMar>
              <w:top w:type="dxa" w:w="70"/>
              <w:left w:type="dxa" w:w="90"/>
              <w:bottom w:type="dxa" w:w="70"/>
              <w:right w:type="dxa" w:w="90"/>
            </w:tcMar>
            <w:vAlign w:val="top"/>
          </w:tcPr>
          <w:p>
            <w:r>
              <w:rPr>
                <w:b w:val="false"/>
                <w:bCs w:val="false"/>
                <w:color w:val="000000"/>
                <w:sz w:val="16"/>
                <w:szCs w:val="16"/>
              </w:rPr>
              <w:t xml:space="preserve">Go-live, final reporting, and documented handover</w:t>
            </w:r>
          </w:p>
        </w:tc>
        <w:tc>
          <w:tcPr>
            <w:tcW w:type="dxa" w:w="1434"/>
            <w:tcMar>
              <w:top w:type="dxa" w:w="70"/>
              <w:left w:type="dxa" w:w="90"/>
              <w:bottom w:type="dxa" w:w="70"/>
              <w:right w:type="dxa" w:w="90"/>
            </w:tcMar>
            <w:vAlign w:val="top"/>
          </w:tcPr>
          <w:p>
            <w:r>
              <w:rPr>
                <w:b w:val="false"/>
                <w:bCs w:val="false"/>
                <w:color w:val="000000"/>
                <w:sz w:val="16"/>
                <w:szCs w:val="16"/>
              </w:rPr>
              <w:t xml:space="preserve">5 (Wk 12)</w:t>
            </w:r>
          </w:p>
        </w:tc>
        <w:tc>
          <w:tcPr>
            <w:tcW w:type="dxa" w:w="1229"/>
            <w:tcMar>
              <w:top w:type="dxa" w:w="70"/>
              <w:left w:type="dxa" w:w="90"/>
              <w:bottom w:type="dxa" w:w="70"/>
              <w:right w:type="dxa" w:w="90"/>
            </w:tcMar>
            <w:vAlign w:val="top"/>
          </w:tcPr>
          <w:p>
            <w:r>
              <w:rPr>
                <w:b w:val="false"/>
                <w:bCs w:val="false"/>
                <w:color w:val="000000"/>
                <w:sz w:val="16"/>
                <w:szCs w:val="16"/>
              </w:rPr>
              <w:t xml:space="preserve">Layer 6</w:t>
            </w:r>
          </w:p>
        </w:tc>
        <w:tc>
          <w:tcPr>
            <w:tcW w:type="dxa" w:w="3072"/>
            <w:tcMar>
              <w:top w:type="dxa" w:w="70"/>
              <w:left w:type="dxa" w:w="90"/>
              <w:bottom w:type="dxa" w:w="70"/>
              <w:right w:type="dxa" w:w="90"/>
            </w:tcMar>
            <w:vAlign w:val="top"/>
          </w:tcPr>
          <w:p>
            <w:r>
              <w:rPr>
                <w:b w:val="false"/>
                <w:bCs w:val="false"/>
                <w:color w:val="000000"/>
                <w:sz w:val="16"/>
                <w:szCs w:val="16"/>
              </w:rPr>
              <w:t xml:space="preserve">WP12</w:t>
            </w:r>
          </w:p>
        </w:tc>
      </w:tr>
    </w:tbl>
    <w:p>
      <w:pPr>
        <w:spacing w:after="160"/>
      </w:pPr>
    </w:p>
    <w:p>
      <w:pPr>
        <w:pStyle w:val="Heading1"/>
        <w:pBdr>
          <w:bottom w:val="single" w:color="1F3864" w:sz="6" w:space="4"/>
        </w:pBdr>
        <w:spacing w:after="130" w:before="320"/>
      </w:pPr>
      <w:r>
        <w:t xml:space="preserve">13.4 Milestones</w:t>
      </w:r>
    </w:p>
    <w:p>
      <w:pPr>
        <w:spacing w:after="150" w:line="276"/>
        <w:jc w:val="both"/>
      </w:pPr>
      <w:r>
        <w:t xml:space="preserve">Five milestones gate phase transitions, identical to those fixed in Section 11.4, restated here against their governing work packages.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82"/>
        <w:gridCol w:w="1024"/>
        <w:gridCol w:w="5734"/>
      </w:tblGrid>
      <w:tr>
        <w:trPr>
          <w:tblHeader/>
        </w:trPr>
        <w:tc>
          <w:tcPr>
            <w:tcW w:type="dxa" w:w="3482"/>
            <w:shd w:fill="1F3864" w:val="clear"/>
            <w:tcMar>
              <w:top w:type="dxa" w:w="70"/>
              <w:left w:type="dxa" w:w="90"/>
              <w:bottom w:type="dxa" w:w="70"/>
              <w:right w:type="dxa" w:w="90"/>
            </w:tcMar>
            <w:vAlign w:val="top"/>
          </w:tcPr>
          <w:p>
            <w:r>
              <w:rPr>
                <w:b/>
                <w:bCs/>
                <w:color w:val="FFFFFF"/>
                <w:sz w:val="17"/>
                <w:szCs w:val="17"/>
              </w:rPr>
              <w:t xml:space="preserve">Milestone</w:t>
            </w:r>
          </w:p>
        </w:tc>
        <w:tc>
          <w:tcPr>
            <w:tcW w:type="dxa" w:w="1024"/>
            <w:shd w:fill="1F3864" w:val="clear"/>
            <w:tcMar>
              <w:top w:type="dxa" w:w="70"/>
              <w:left w:type="dxa" w:w="90"/>
              <w:bottom w:type="dxa" w:w="70"/>
              <w:right w:type="dxa" w:w="90"/>
            </w:tcMar>
            <w:vAlign w:val="top"/>
          </w:tcPr>
          <w:p>
            <w:r>
              <w:rPr>
                <w:b/>
                <w:bCs/>
                <w:color w:val="FFFFFF"/>
                <w:sz w:val="17"/>
                <w:szCs w:val="17"/>
              </w:rPr>
              <w:t xml:space="preserve">Week</w:t>
            </w:r>
          </w:p>
        </w:tc>
        <w:tc>
          <w:tcPr>
            <w:tcW w:type="dxa" w:w="5734"/>
            <w:shd w:fill="1F3864" w:val="clear"/>
            <w:tcMar>
              <w:top w:type="dxa" w:w="70"/>
              <w:left w:type="dxa" w:w="90"/>
              <w:bottom w:type="dxa" w:w="70"/>
              <w:right w:type="dxa" w:w="90"/>
            </w:tcMar>
            <w:vAlign w:val="top"/>
          </w:tcPr>
          <w:p>
            <w:r>
              <w:rPr>
                <w:b/>
                <w:bCs/>
                <w:color w:val="FFFFFF"/>
                <w:sz w:val="17"/>
                <w:szCs w:val="17"/>
              </w:rPr>
              <w:t xml:space="preserve">Confirmed By</w:t>
            </w:r>
          </w:p>
        </w:tc>
      </w:tr>
      <w:tr>
        <w:tc>
          <w:tcPr>
            <w:tcW w:type="dxa" w:w="3482"/>
            <w:tcMar>
              <w:top w:type="dxa" w:w="70"/>
              <w:left w:type="dxa" w:w="90"/>
              <w:bottom w:type="dxa" w:w="70"/>
              <w:right w:type="dxa" w:w="90"/>
            </w:tcMar>
            <w:vAlign w:val="top"/>
          </w:tcPr>
          <w:p>
            <w:r>
              <w:rPr>
                <w:b/>
                <w:bCs/>
                <w:color w:val="000000"/>
                <w:sz w:val="17"/>
                <w:szCs w:val="17"/>
              </w:rPr>
              <w:t xml:space="preserve">Governance Charter signed</w:t>
            </w:r>
          </w:p>
        </w:tc>
        <w:tc>
          <w:tcPr>
            <w:tcW w:type="dxa" w:w="1024"/>
            <w:tcMar>
              <w:top w:type="dxa" w:w="70"/>
              <w:left w:type="dxa" w:w="90"/>
              <w:bottom w:type="dxa" w:w="70"/>
              <w:right w:type="dxa" w:w="90"/>
            </w:tcMar>
            <w:vAlign w:val="top"/>
          </w:tcPr>
          <w:p>
            <w:r>
              <w:rPr>
                <w:b w:val="false"/>
                <w:bCs w:val="false"/>
                <w:color w:val="000000"/>
                <w:sz w:val="17"/>
                <w:szCs w:val="17"/>
              </w:rPr>
              <w:t xml:space="preserve">2</w:t>
            </w:r>
          </w:p>
        </w:tc>
        <w:tc>
          <w:tcPr>
            <w:tcW w:type="dxa" w:w="5734"/>
            <w:tcMar>
              <w:top w:type="dxa" w:w="70"/>
              <w:left w:type="dxa" w:w="90"/>
              <w:bottom w:type="dxa" w:w="70"/>
              <w:right w:type="dxa" w:w="90"/>
            </w:tcMar>
            <w:vAlign w:val="top"/>
          </w:tcPr>
          <w:p>
            <w:r>
              <w:rPr>
                <w:b w:val="false"/>
                <w:bCs w:val="false"/>
                <w:color w:val="000000"/>
                <w:sz w:val="17"/>
                <w:szCs w:val="17"/>
              </w:rPr>
              <w:t xml:space="preserve">WP3 complete; co-signed by KMC, endorsed by National Programme Coordinator</w:t>
            </w:r>
          </w:p>
        </w:tc>
      </w:tr>
      <w:tr>
        <w:tc>
          <w:tcPr>
            <w:tcW w:type="dxa" w:w="3482"/>
            <w:tcMar>
              <w:top w:type="dxa" w:w="70"/>
              <w:left w:type="dxa" w:w="90"/>
              <w:bottom w:type="dxa" w:w="70"/>
              <w:right w:type="dxa" w:w="90"/>
            </w:tcMar>
            <w:vAlign w:val="top"/>
          </w:tcPr>
          <w:p>
            <w:r>
              <w:rPr>
                <w:b/>
                <w:bCs/>
                <w:color w:val="000000"/>
                <w:sz w:val="17"/>
                <w:szCs w:val="17"/>
              </w:rPr>
              <w:t xml:space="preserve">Core platforms configured; priority content migrated</w:t>
            </w:r>
          </w:p>
        </w:tc>
        <w:tc>
          <w:tcPr>
            <w:tcW w:type="dxa" w:w="1024"/>
            <w:tcMar>
              <w:top w:type="dxa" w:w="70"/>
              <w:left w:type="dxa" w:w="90"/>
              <w:bottom w:type="dxa" w:w="70"/>
              <w:right w:type="dxa" w:w="90"/>
            </w:tcMar>
            <w:vAlign w:val="top"/>
          </w:tcPr>
          <w:p>
            <w:r>
              <w:rPr>
                <w:b w:val="false"/>
                <w:bCs w:val="false"/>
                <w:color w:val="000000"/>
                <w:sz w:val="17"/>
                <w:szCs w:val="17"/>
              </w:rPr>
              <w:t xml:space="preserve">8</w:t>
            </w:r>
          </w:p>
        </w:tc>
        <w:tc>
          <w:tcPr>
            <w:tcW w:type="dxa" w:w="5734"/>
            <w:tcMar>
              <w:top w:type="dxa" w:w="70"/>
              <w:left w:type="dxa" w:w="90"/>
              <w:bottom w:type="dxa" w:w="70"/>
              <w:right w:type="dxa" w:w="90"/>
            </w:tcMar>
            <w:vAlign w:val="top"/>
          </w:tcPr>
          <w:p>
            <w:r>
              <w:rPr>
                <w:b w:val="false"/>
                <w:bCs w:val="false"/>
                <w:color w:val="000000"/>
                <w:sz w:val="17"/>
                <w:szCs w:val="17"/>
              </w:rPr>
              <w:t xml:space="preserve">WP6 and WP7 complete and validated</w:t>
            </w:r>
          </w:p>
        </w:tc>
      </w:tr>
      <w:tr>
        <w:tc>
          <w:tcPr>
            <w:tcW w:type="dxa" w:w="3482"/>
            <w:tcMar>
              <w:top w:type="dxa" w:w="70"/>
              <w:left w:type="dxa" w:w="90"/>
              <w:bottom w:type="dxa" w:w="70"/>
              <w:right w:type="dxa" w:w="90"/>
            </w:tcMar>
            <w:vAlign w:val="top"/>
          </w:tcPr>
          <w:p>
            <w:r>
              <w:rPr>
                <w:b/>
                <w:bCs/>
                <w:color w:val="000000"/>
                <w:sz w:val="17"/>
                <w:szCs w:val="17"/>
              </w:rPr>
              <w:t xml:space="preserve">Test cycle complete</w:t>
            </w:r>
          </w:p>
        </w:tc>
        <w:tc>
          <w:tcPr>
            <w:tcW w:type="dxa" w:w="1024"/>
            <w:tcMar>
              <w:top w:type="dxa" w:w="70"/>
              <w:left w:type="dxa" w:w="90"/>
              <w:bottom w:type="dxa" w:w="70"/>
              <w:right w:type="dxa" w:w="90"/>
            </w:tcMar>
            <w:vAlign w:val="top"/>
          </w:tcPr>
          <w:p>
            <w:r>
              <w:rPr>
                <w:b w:val="false"/>
                <w:bCs w:val="false"/>
                <w:color w:val="000000"/>
                <w:sz w:val="17"/>
                <w:szCs w:val="17"/>
              </w:rPr>
              <w:t xml:space="preserve">10</w:t>
            </w:r>
          </w:p>
        </w:tc>
        <w:tc>
          <w:tcPr>
            <w:tcW w:type="dxa" w:w="5734"/>
            <w:tcMar>
              <w:top w:type="dxa" w:w="70"/>
              <w:left w:type="dxa" w:w="90"/>
              <w:bottom w:type="dxa" w:w="70"/>
              <w:right w:type="dxa" w:w="90"/>
            </w:tcMar>
            <w:vAlign w:val="top"/>
          </w:tcPr>
          <w:p>
            <w:r>
              <w:rPr>
                <w:b w:val="false"/>
                <w:bCs w:val="false"/>
                <w:color w:val="000000"/>
                <w:sz w:val="17"/>
                <w:szCs w:val="17"/>
              </w:rPr>
              <w:t xml:space="preserve">WP11 complete; defects triaged and resolved</w:t>
            </w:r>
          </w:p>
        </w:tc>
      </w:tr>
      <w:tr>
        <w:tc>
          <w:tcPr>
            <w:tcW w:type="dxa" w:w="3482"/>
            <w:tcMar>
              <w:top w:type="dxa" w:w="70"/>
              <w:left w:type="dxa" w:w="90"/>
              <w:bottom w:type="dxa" w:w="70"/>
              <w:right w:type="dxa" w:w="90"/>
            </w:tcMar>
            <w:vAlign w:val="top"/>
          </w:tcPr>
          <w:p>
            <w:r>
              <w:rPr>
                <w:b/>
                <w:bCs/>
                <w:color w:val="000000"/>
                <w:sz w:val="17"/>
                <w:szCs w:val="17"/>
              </w:rPr>
              <w:t xml:space="preserve">User acceptance confirmed</w:t>
            </w:r>
          </w:p>
        </w:tc>
        <w:tc>
          <w:tcPr>
            <w:tcW w:type="dxa" w:w="1024"/>
            <w:tcMar>
              <w:top w:type="dxa" w:w="70"/>
              <w:left w:type="dxa" w:w="90"/>
              <w:bottom w:type="dxa" w:w="70"/>
              <w:right w:type="dxa" w:w="90"/>
            </w:tcMar>
            <w:vAlign w:val="top"/>
          </w:tcPr>
          <w:p>
            <w:r>
              <w:rPr>
                <w:b w:val="false"/>
                <w:bCs w:val="false"/>
                <w:color w:val="000000"/>
                <w:sz w:val="17"/>
                <w:szCs w:val="17"/>
              </w:rPr>
              <w:t xml:space="preserve">11</w:t>
            </w:r>
          </w:p>
        </w:tc>
        <w:tc>
          <w:tcPr>
            <w:tcW w:type="dxa" w:w="5734"/>
            <w:tcMar>
              <w:top w:type="dxa" w:w="70"/>
              <w:left w:type="dxa" w:w="90"/>
              <w:bottom w:type="dxa" w:w="70"/>
              <w:right w:type="dxa" w:w="90"/>
            </w:tcMar>
            <w:vAlign w:val="top"/>
          </w:tcPr>
          <w:p>
            <w:r>
              <w:rPr>
                <w:b w:val="false"/>
                <w:bCs w:val="false"/>
                <w:color w:val="000000"/>
                <w:sz w:val="17"/>
                <w:szCs w:val="17"/>
              </w:rPr>
              <w:t xml:space="preserve">WP12 complete; KM and ICT Units certified on core administration tasks</w:t>
            </w:r>
          </w:p>
        </w:tc>
      </w:tr>
      <w:tr>
        <w:tc>
          <w:tcPr>
            <w:tcW w:type="dxa" w:w="3482"/>
            <w:tcMar>
              <w:top w:type="dxa" w:w="70"/>
              <w:left w:type="dxa" w:w="90"/>
              <w:bottom w:type="dxa" w:w="70"/>
              <w:right w:type="dxa" w:w="90"/>
            </w:tcMar>
            <w:vAlign w:val="top"/>
          </w:tcPr>
          <w:p>
            <w:r>
              <w:rPr>
                <w:b/>
                <w:bCs/>
                <w:color w:val="000000"/>
                <w:sz w:val="17"/>
                <w:szCs w:val="17"/>
              </w:rPr>
              <w:t xml:space="preserve">Go-live and handover accepted</w:t>
            </w:r>
          </w:p>
        </w:tc>
        <w:tc>
          <w:tcPr>
            <w:tcW w:type="dxa" w:w="1024"/>
            <w:tcMar>
              <w:top w:type="dxa" w:w="70"/>
              <w:left w:type="dxa" w:w="90"/>
              <w:bottom w:type="dxa" w:w="70"/>
              <w:right w:type="dxa" w:w="90"/>
            </w:tcMar>
            <w:vAlign w:val="top"/>
          </w:tcPr>
          <w:p>
            <w:r>
              <w:rPr>
                <w:b w:val="false"/>
                <w:bCs w:val="false"/>
                <w:color w:val="000000"/>
                <w:sz w:val="17"/>
                <w:szCs w:val="17"/>
              </w:rPr>
              <w:t xml:space="preserve">12</w:t>
            </w:r>
          </w:p>
        </w:tc>
        <w:tc>
          <w:tcPr>
            <w:tcW w:type="dxa" w:w="5734"/>
            <w:tcMar>
              <w:top w:type="dxa" w:w="70"/>
              <w:left w:type="dxa" w:w="90"/>
              <w:bottom w:type="dxa" w:w="70"/>
              <w:right w:type="dxa" w:w="90"/>
            </w:tcMar>
            <w:vAlign w:val="top"/>
          </w:tcPr>
          <w:p>
            <w:r>
              <w:rPr>
                <w:b w:val="false"/>
                <w:bCs w:val="false"/>
                <w:color w:val="000000"/>
                <w:sz w:val="17"/>
                <w:szCs w:val="17"/>
              </w:rPr>
              <w:t xml:space="preserve">WP13 complete; handover package formally signed off (Section 11.12)</w:t>
            </w:r>
          </w:p>
        </w:tc>
      </w:tr>
    </w:tbl>
    <w:p>
      <w:pPr>
        <w:spacing w:after="160"/>
      </w:pPr>
    </w:p>
    <w:p>
      <w:pPr>
        <w:pStyle w:val="Heading1"/>
        <w:pBdr>
          <w:bottom w:val="single" w:color="1F3864" w:sz="6" w:space="4"/>
        </w:pBdr>
        <w:spacing w:after="130" w:before="320"/>
      </w:pPr>
      <w:r>
        <w:t xml:space="preserve">13.5 Critical Path</w:t>
      </w:r>
    </w:p>
    <w:p>
      <w:pPr>
        <w:spacing w:after="150" w:line="276"/>
        <w:jc w:val="both"/>
      </w:pPr>
      <w:r>
        <w:t xml:space="preserve">Six work packages sit on the critical path — the sequence whose total duration determines whether the twelve-week schedule holds. A delay to any one of these six delays go-live directly; every other work package carries some schedule float.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072"/>
        <w:gridCol w:w="7168"/>
      </w:tblGrid>
      <w:tr>
        <w:trPr>
          <w:tblHeader/>
        </w:trPr>
        <w:tc>
          <w:tcPr>
            <w:tcW w:type="dxa" w:w="3072"/>
            <w:shd w:fill="1F3864" w:val="clear"/>
            <w:tcMar>
              <w:top w:type="dxa" w:w="70"/>
              <w:left w:type="dxa" w:w="90"/>
              <w:bottom w:type="dxa" w:w="70"/>
              <w:right w:type="dxa" w:w="90"/>
            </w:tcMar>
            <w:vAlign w:val="top"/>
          </w:tcPr>
          <w:p>
            <w:r>
              <w:rPr>
                <w:b/>
                <w:bCs/>
                <w:color w:val="FFFFFF"/>
                <w:sz w:val="17"/>
                <w:szCs w:val="17"/>
              </w:rPr>
              <w:t xml:space="preserve">Critical Path Work Package</w:t>
            </w:r>
          </w:p>
        </w:tc>
        <w:tc>
          <w:tcPr>
            <w:tcW w:type="dxa" w:w="7168"/>
            <w:shd w:fill="1F3864" w:val="clear"/>
            <w:tcMar>
              <w:top w:type="dxa" w:w="70"/>
              <w:left w:type="dxa" w:w="90"/>
              <w:bottom w:type="dxa" w:w="70"/>
              <w:right w:type="dxa" w:w="90"/>
            </w:tcMar>
            <w:vAlign w:val="top"/>
          </w:tcPr>
          <w:p>
            <w:r>
              <w:rPr>
                <w:b/>
                <w:bCs/>
                <w:color w:val="FFFFFF"/>
                <w:sz w:val="17"/>
                <w:szCs w:val="17"/>
              </w:rPr>
              <w:t xml:space="preserve">Why It Is Critical</w:t>
            </w:r>
          </w:p>
        </w:tc>
      </w:tr>
      <w:tr>
        <w:tc>
          <w:tcPr>
            <w:tcW w:type="dxa" w:w="3072"/>
            <w:tcMar>
              <w:top w:type="dxa" w:w="70"/>
              <w:left w:type="dxa" w:w="90"/>
              <w:bottom w:type="dxa" w:w="70"/>
              <w:right w:type="dxa" w:w="90"/>
            </w:tcMar>
            <w:vAlign w:val="top"/>
          </w:tcPr>
          <w:p>
            <w:r>
              <w:rPr>
                <w:b/>
                <w:bCs/>
                <w:color w:val="000000"/>
                <w:sz w:val="17"/>
                <w:szCs w:val="17"/>
              </w:rPr>
              <w:t xml:space="preserve">WP3 — Governance Charter adoption</w:t>
            </w:r>
          </w:p>
        </w:tc>
        <w:tc>
          <w:tcPr>
            <w:tcW w:type="dxa" w:w="7168"/>
            <w:tcMar>
              <w:top w:type="dxa" w:w="70"/>
              <w:left w:type="dxa" w:w="90"/>
              <w:bottom w:type="dxa" w:w="70"/>
              <w:right w:type="dxa" w:w="90"/>
            </w:tcMar>
            <w:vAlign w:val="top"/>
          </w:tcPr>
          <w:p>
            <w:r>
              <w:rPr>
                <w:b w:val="false"/>
                <w:bCs w:val="false"/>
                <w:color w:val="000000"/>
                <w:sz w:val="17"/>
                <w:szCs w:val="17"/>
              </w:rPr>
              <w:t xml:space="preserve">Every later layer depends on the taxonomy and decision-rights structure this establishes (Section 13.2, Layer 1); no configuration work can meaningfully begin without it.</w:t>
            </w:r>
          </w:p>
        </w:tc>
      </w:tr>
      <w:tr>
        <w:tc>
          <w:tcPr>
            <w:tcW w:type="dxa" w:w="3072"/>
            <w:tcMar>
              <w:top w:type="dxa" w:w="70"/>
              <w:left w:type="dxa" w:w="90"/>
              <w:bottom w:type="dxa" w:w="70"/>
              <w:right w:type="dxa" w:w="90"/>
            </w:tcMar>
            <w:vAlign w:val="top"/>
          </w:tcPr>
          <w:p>
            <w:r>
              <w:rPr>
                <w:b/>
                <w:bCs/>
                <w:color w:val="000000"/>
                <w:sz w:val="17"/>
                <w:szCs w:val="17"/>
              </w:rPr>
              <w:t xml:space="preserve">WP5 — Identity platform deployment</w:t>
            </w:r>
          </w:p>
        </w:tc>
        <w:tc>
          <w:tcPr>
            <w:tcW w:type="dxa" w:w="7168"/>
            <w:tcMar>
              <w:top w:type="dxa" w:w="70"/>
              <w:left w:type="dxa" w:w="90"/>
              <w:bottom w:type="dxa" w:w="70"/>
              <w:right w:type="dxa" w:w="90"/>
            </w:tcMar>
            <w:vAlign w:val="top"/>
          </w:tcPr>
          <w:p>
            <w:r>
              <w:rPr>
                <w:b w:val="false"/>
                <w:bCs w:val="false"/>
                <w:color w:val="000000"/>
                <w:sz w:val="17"/>
                <w:szCs w:val="17"/>
              </w:rPr>
              <w:t xml:space="preserve">Every application in the portfolio requires identity integration from first deployment (Section 3.3); this cannot be retrofitted efficiently after platforms are configured.</w:t>
            </w:r>
          </w:p>
        </w:tc>
      </w:tr>
      <w:tr>
        <w:tc>
          <w:tcPr>
            <w:tcW w:type="dxa" w:w="3072"/>
            <w:tcMar>
              <w:top w:type="dxa" w:w="70"/>
              <w:left w:type="dxa" w:w="90"/>
              <w:bottom w:type="dxa" w:w="70"/>
              <w:right w:type="dxa" w:w="90"/>
            </w:tcMar>
            <w:vAlign w:val="top"/>
          </w:tcPr>
          <w:p>
            <w:r>
              <w:rPr>
                <w:b/>
                <w:bCs/>
                <w:color w:val="000000"/>
                <w:sz w:val="17"/>
                <w:szCs w:val="17"/>
              </w:rPr>
              <w:t xml:space="preserve">WP6 — Core platform configuration</w:t>
            </w:r>
          </w:p>
        </w:tc>
        <w:tc>
          <w:tcPr>
            <w:tcW w:type="dxa" w:w="7168"/>
            <w:tcMar>
              <w:top w:type="dxa" w:w="70"/>
              <w:left w:type="dxa" w:w="90"/>
              <w:bottom w:type="dxa" w:w="70"/>
              <w:right w:type="dxa" w:w="90"/>
            </w:tcMar>
            <w:vAlign w:val="top"/>
          </w:tcPr>
          <w:p>
            <w:r>
              <w:rPr>
                <w:b w:val="false"/>
                <w:bCs w:val="false"/>
                <w:color w:val="000000"/>
                <w:sz w:val="17"/>
                <w:szCs w:val="17"/>
              </w:rPr>
              <w:t xml:space="preserve">The single largest work package by effort, and the direct prerequisite for content migration, workflow configuration, and every functional module.</w:t>
            </w:r>
          </w:p>
        </w:tc>
      </w:tr>
      <w:tr>
        <w:tc>
          <w:tcPr>
            <w:tcW w:type="dxa" w:w="3072"/>
            <w:tcMar>
              <w:top w:type="dxa" w:w="70"/>
              <w:left w:type="dxa" w:w="90"/>
              <w:bottom w:type="dxa" w:w="70"/>
              <w:right w:type="dxa" w:w="90"/>
            </w:tcMar>
            <w:vAlign w:val="top"/>
          </w:tcPr>
          <w:p>
            <w:r>
              <w:rPr>
                <w:b/>
                <w:bCs/>
                <w:color w:val="000000"/>
                <w:sz w:val="17"/>
                <w:szCs w:val="17"/>
              </w:rPr>
              <w:t xml:space="preserve">WP7 — Content migration (priority subset)</w:t>
            </w:r>
          </w:p>
        </w:tc>
        <w:tc>
          <w:tcPr>
            <w:tcW w:type="dxa" w:w="7168"/>
            <w:tcMar>
              <w:top w:type="dxa" w:w="70"/>
              <w:left w:type="dxa" w:w="90"/>
              <w:bottom w:type="dxa" w:w="70"/>
              <w:right w:type="dxa" w:w="90"/>
            </w:tcMar>
            <w:vAlign w:val="top"/>
          </w:tcPr>
          <w:p>
            <w:r>
              <w:rPr>
                <w:b w:val="false"/>
                <w:bCs w:val="false"/>
                <w:color w:val="000000"/>
                <w:sz w:val="17"/>
                <w:szCs w:val="17"/>
              </w:rPr>
              <w:t xml:space="preserve">The Master Bid &amp; Delivery Strategy's own scenario planning identifies legacy content quality as the highest-risk variable in the entire engagement; delay here has historically been the most common source of schedule slippage in comparable programmes (Section 10 benchmarking).</w:t>
            </w:r>
          </w:p>
        </w:tc>
      </w:tr>
      <w:tr>
        <w:tc>
          <w:tcPr>
            <w:tcW w:type="dxa" w:w="3072"/>
            <w:tcMar>
              <w:top w:type="dxa" w:w="70"/>
              <w:left w:type="dxa" w:w="90"/>
              <w:bottom w:type="dxa" w:w="70"/>
              <w:right w:type="dxa" w:w="90"/>
            </w:tcMar>
            <w:vAlign w:val="top"/>
          </w:tcPr>
          <w:p>
            <w:r>
              <w:rPr>
                <w:b/>
                <w:bCs/>
                <w:color w:val="000000"/>
                <w:sz w:val="17"/>
                <w:szCs w:val="17"/>
              </w:rPr>
              <w:t xml:space="preserve">WP11 — Formal test cycle</w:t>
            </w:r>
          </w:p>
        </w:tc>
        <w:tc>
          <w:tcPr>
            <w:tcW w:type="dxa" w:w="7168"/>
            <w:tcMar>
              <w:top w:type="dxa" w:w="70"/>
              <w:left w:type="dxa" w:w="90"/>
              <w:bottom w:type="dxa" w:w="70"/>
              <w:right w:type="dxa" w:w="90"/>
            </w:tcMar>
            <w:vAlign w:val="top"/>
          </w:tcPr>
          <w:p>
            <w:r>
              <w:rPr>
                <w:b w:val="false"/>
                <w:bCs w:val="false"/>
                <w:color w:val="000000"/>
                <w:sz w:val="17"/>
                <w:szCs w:val="17"/>
              </w:rPr>
              <w:t xml:space="preserve">Cannot be compressed without accepting materially higher go-live risk; this is why continuous testing (WP10) begins in Week 3 rather than only within the formal window, to reduce — though not eliminate — this work package's own schedule risk.</w:t>
            </w:r>
          </w:p>
        </w:tc>
      </w:tr>
      <w:tr>
        <w:tc>
          <w:tcPr>
            <w:tcW w:type="dxa" w:w="3072"/>
            <w:tcMar>
              <w:top w:type="dxa" w:w="70"/>
              <w:left w:type="dxa" w:w="90"/>
              <w:bottom w:type="dxa" w:w="70"/>
              <w:right w:type="dxa" w:w="90"/>
            </w:tcMar>
            <w:vAlign w:val="top"/>
          </w:tcPr>
          <w:p>
            <w:r>
              <w:rPr>
                <w:b/>
                <w:bCs/>
                <w:color w:val="000000"/>
                <w:sz w:val="17"/>
                <w:szCs w:val="17"/>
              </w:rPr>
              <w:t xml:space="preserve">WP13 — Go-live and handover</w:t>
            </w:r>
          </w:p>
        </w:tc>
        <w:tc>
          <w:tcPr>
            <w:tcW w:type="dxa" w:w="7168"/>
            <w:tcMar>
              <w:top w:type="dxa" w:w="70"/>
              <w:left w:type="dxa" w:w="90"/>
              <w:bottom w:type="dxa" w:w="70"/>
              <w:right w:type="dxa" w:w="90"/>
            </w:tcMar>
            <w:vAlign w:val="top"/>
          </w:tcPr>
          <w:p>
            <w:r>
              <w:rPr>
                <w:b w:val="false"/>
                <w:bCs w:val="false"/>
                <w:color w:val="000000"/>
                <w:sz w:val="17"/>
                <w:szCs w:val="17"/>
              </w:rPr>
              <w:t xml:space="preserve">The terminal milestone; by definition, any upstream delay arrives here.</w:t>
            </w:r>
          </w:p>
        </w:tc>
      </w:tr>
    </w:tbl>
    <w:p>
      <w:pPr>
        <w:spacing w:after="100"/>
      </w:pPr>
    </w:p>
    <w:p>
      <w:pPr>
        <w:spacing w:after="160" w:line="264"/>
      </w:pPr>
      <w:r>
        <w:rPr>
          <w:i/>
          <w:iCs/>
          <w:color w:val="555555"/>
          <w:sz w:val="18"/>
          <w:szCs w:val="18"/>
        </w:rPr>
        <w:t xml:space="preserve">The single highest-leverage schedule protection in this plan is starting WP1 (stakeholder consultation) immediately and without delay in Week 1: every critical path work package traces back to it, and the Master Bid &amp; Delivery Strategy's own base-case scenario planning specifically flags stakeholder consultation across seven states as likely to take longer than the two weeks nominally allotted.</w:t>
      </w:r>
    </w:p>
    <w:p>
      <w:pPr>
        <w:spacing w:after="160"/>
      </w:pPr>
    </w:p>
    <w:p>
      <w:pPr>
        <w:pStyle w:val="Heading1"/>
        <w:pBdr>
          <w:bottom w:val="single" w:color="1F3864" w:sz="6" w:space="4"/>
        </w:pBdr>
        <w:spacing w:after="130" w:before="320"/>
      </w:pPr>
      <w:r>
        <w:t xml:space="preserve">13.6 Resource Requirements</w:t>
      </w:r>
    </w:p>
    <w:p>
      <w:pPr>
        <w:spacing w:after="150" w:line="276"/>
        <w:jc w:val="both"/>
      </w:pPr>
      <w:r>
        <w:t xml:space="preserve">Resource requirements follow the RACI structure fixed in Section 2.13, stated here in terms of effort and role rather than accountability alone.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62"/>
        <w:gridCol w:w="3891"/>
        <w:gridCol w:w="3686"/>
      </w:tblGrid>
      <w:tr>
        <w:trPr>
          <w:tblHeader/>
        </w:trPr>
        <w:tc>
          <w:tcPr>
            <w:tcW w:type="dxa" w:w="2662"/>
            <w:shd w:fill="1F3864" w:val="clear"/>
            <w:tcMar>
              <w:top w:type="dxa" w:w="70"/>
              <w:left w:type="dxa" w:w="90"/>
              <w:bottom w:type="dxa" w:w="70"/>
              <w:right w:type="dxa" w:w="90"/>
            </w:tcMar>
            <w:vAlign w:val="top"/>
          </w:tcPr>
          <w:p>
            <w:r>
              <w:rPr>
                <w:b/>
                <w:bCs/>
                <w:color w:val="FFFFFF"/>
                <w:sz w:val="17"/>
                <w:szCs w:val="17"/>
              </w:rPr>
              <w:t xml:space="preserve">Resource</w:t>
            </w:r>
          </w:p>
        </w:tc>
        <w:tc>
          <w:tcPr>
            <w:tcW w:type="dxa" w:w="3891"/>
            <w:shd w:fill="1F3864" w:val="clear"/>
            <w:tcMar>
              <w:top w:type="dxa" w:w="70"/>
              <w:left w:type="dxa" w:w="90"/>
              <w:bottom w:type="dxa" w:w="70"/>
              <w:right w:type="dxa" w:w="90"/>
            </w:tcMar>
            <w:vAlign w:val="top"/>
          </w:tcPr>
          <w:p>
            <w:r>
              <w:rPr>
                <w:b/>
                <w:bCs/>
                <w:color w:val="FFFFFF"/>
                <w:sz w:val="17"/>
                <w:szCs w:val="17"/>
              </w:rPr>
              <w:t xml:space="preserve">Role</w:t>
            </w:r>
          </w:p>
        </w:tc>
        <w:tc>
          <w:tcPr>
            <w:tcW w:type="dxa" w:w="3686"/>
            <w:shd w:fill="1F3864" w:val="clear"/>
            <w:tcMar>
              <w:top w:type="dxa" w:w="70"/>
              <w:left w:type="dxa" w:w="90"/>
              <w:bottom w:type="dxa" w:w="70"/>
              <w:right w:type="dxa" w:w="90"/>
            </w:tcMar>
            <w:vAlign w:val="top"/>
          </w:tcPr>
          <w:p>
            <w:r>
              <w:rPr>
                <w:b/>
                <w:bCs/>
                <w:color w:val="FFFFFF"/>
                <w:sz w:val="17"/>
                <w:szCs w:val="17"/>
              </w:rPr>
              <w:t xml:space="preserve">Commitment</w:t>
            </w:r>
          </w:p>
        </w:tc>
      </w:tr>
      <w:tr>
        <w:tc>
          <w:tcPr>
            <w:tcW w:type="dxa" w:w="2662"/>
            <w:tcMar>
              <w:top w:type="dxa" w:w="70"/>
              <w:left w:type="dxa" w:w="90"/>
              <w:bottom w:type="dxa" w:w="70"/>
              <w:right w:type="dxa" w:w="90"/>
            </w:tcMar>
            <w:vAlign w:val="top"/>
          </w:tcPr>
          <w:p>
            <w:r>
              <w:rPr>
                <w:b/>
                <w:bCs/>
                <w:color w:val="000000"/>
                <w:sz w:val="17"/>
                <w:szCs w:val="17"/>
              </w:rPr>
              <w:t xml:space="preserve">Consultant (named individual)</w:t>
            </w:r>
          </w:p>
        </w:tc>
        <w:tc>
          <w:tcPr>
            <w:tcW w:type="dxa" w:w="3891"/>
            <w:tcMar>
              <w:top w:type="dxa" w:w="70"/>
              <w:left w:type="dxa" w:w="90"/>
              <w:bottom w:type="dxa" w:w="70"/>
              <w:right w:type="dxa" w:w="90"/>
            </w:tcMar>
            <w:vAlign w:val="top"/>
          </w:tcPr>
          <w:p>
            <w:r>
              <w:rPr>
                <w:b w:val="false"/>
                <w:bCs w:val="false"/>
                <w:color w:val="000000"/>
                <w:sz w:val="17"/>
                <w:szCs w:val="17"/>
              </w:rPr>
              <w:t xml:space="preserve">Leads architecture, configuration, and migration personally throughout</w:t>
            </w:r>
          </w:p>
        </w:tc>
        <w:tc>
          <w:tcPr>
            <w:tcW w:type="dxa" w:w="3686"/>
            <w:tcMar>
              <w:top w:type="dxa" w:w="70"/>
              <w:left w:type="dxa" w:w="90"/>
              <w:bottom w:type="dxa" w:w="70"/>
              <w:right w:type="dxa" w:w="90"/>
            </w:tcMar>
            <w:vAlign w:val="top"/>
          </w:tcPr>
          <w:p>
            <w:r>
              <w:rPr>
                <w:b w:val="false"/>
                <w:bCs w:val="false"/>
                <w:color w:val="000000"/>
                <w:sz w:val="17"/>
                <w:szCs w:val="17"/>
              </w:rPr>
              <w:t xml:space="preserve">Full-time, twelve weeks, per the resource-loading discipline fixed in the Master Bid &amp; Delivery Strategy</w:t>
            </w:r>
          </w:p>
        </w:tc>
      </w:tr>
      <w:tr>
        <w:tc>
          <w:tcPr>
            <w:tcW w:type="dxa" w:w="2662"/>
            <w:tcMar>
              <w:top w:type="dxa" w:w="70"/>
              <w:left w:type="dxa" w:w="90"/>
              <w:bottom w:type="dxa" w:w="70"/>
              <w:right w:type="dxa" w:w="90"/>
            </w:tcMar>
            <w:vAlign w:val="top"/>
          </w:tcPr>
          <w:p>
            <w:r>
              <w:rPr>
                <w:b/>
                <w:bCs/>
                <w:color w:val="000000"/>
                <w:sz w:val="17"/>
                <w:szCs w:val="17"/>
              </w:rPr>
              <w:t xml:space="preserve">Bounded specialist support (if engaged)</w:t>
            </w:r>
          </w:p>
        </w:tc>
        <w:tc>
          <w:tcPr>
            <w:tcW w:type="dxa" w:w="3891"/>
            <w:tcMar>
              <w:top w:type="dxa" w:w="70"/>
              <w:left w:type="dxa" w:w="90"/>
              <w:bottom w:type="dxa" w:w="70"/>
              <w:right w:type="dxa" w:w="90"/>
            </w:tcMar>
            <w:vAlign w:val="top"/>
          </w:tcPr>
          <w:p>
            <w:r>
              <w:rPr>
                <w:b w:val="false"/>
                <w:bCs w:val="false"/>
                <w:color w:val="000000"/>
                <w:sz w:val="17"/>
                <w:szCs w:val="17"/>
              </w:rPr>
              <w:t xml:space="preserve">Named, defined-scope support for specific modules only, where resource-loading requires it</w:t>
            </w:r>
          </w:p>
        </w:tc>
        <w:tc>
          <w:tcPr>
            <w:tcW w:type="dxa" w:w="3686"/>
            <w:tcMar>
              <w:top w:type="dxa" w:w="70"/>
              <w:left w:type="dxa" w:w="90"/>
              <w:bottom w:type="dxa" w:w="70"/>
              <w:right w:type="dxa" w:w="90"/>
            </w:tcMar>
            <w:vAlign w:val="top"/>
          </w:tcPr>
          <w:p>
            <w:r>
              <w:rPr>
                <w:b w:val="false"/>
                <w:bCs w:val="false"/>
                <w:color w:val="000000"/>
                <w:sz w:val="17"/>
                <w:szCs w:val="17"/>
              </w:rPr>
              <w:t xml:space="preserve">Part-time, scoped to specific work packages — not a standing team, consistent with the CV-only, individual-consultant nature of this engagement</w:t>
            </w:r>
          </w:p>
        </w:tc>
      </w:tr>
      <w:tr>
        <w:tc>
          <w:tcPr>
            <w:tcW w:type="dxa" w:w="2662"/>
            <w:tcMar>
              <w:top w:type="dxa" w:w="70"/>
              <w:left w:type="dxa" w:w="90"/>
              <w:bottom w:type="dxa" w:w="70"/>
              <w:right w:type="dxa" w:w="90"/>
            </w:tcMar>
            <w:vAlign w:val="top"/>
          </w:tcPr>
          <w:p>
            <w:r>
              <w:rPr>
                <w:b/>
                <w:bCs/>
                <w:color w:val="000000"/>
                <w:sz w:val="17"/>
                <w:szCs w:val="17"/>
              </w:rPr>
              <w:t xml:space="preserve">KM and ICT Units</w:t>
            </w:r>
          </w:p>
        </w:tc>
        <w:tc>
          <w:tcPr>
            <w:tcW w:type="dxa" w:w="3891"/>
            <w:tcMar>
              <w:top w:type="dxa" w:w="70"/>
              <w:left w:type="dxa" w:w="90"/>
              <w:bottom w:type="dxa" w:w="70"/>
              <w:right w:type="dxa" w:w="90"/>
            </w:tcMar>
            <w:vAlign w:val="top"/>
          </w:tcPr>
          <w:p>
            <w:r>
              <w:rPr>
                <w:b w:val="false"/>
                <w:bCs w:val="false"/>
                <w:color w:val="000000"/>
                <w:sz w:val="17"/>
                <w:szCs w:val="17"/>
              </w:rPr>
              <w:t xml:space="preserve">Consulted and increasingly Responsible across WP5–WP13, per the capability-maturity progression (Section 11.10)</w:t>
            </w:r>
          </w:p>
        </w:tc>
        <w:tc>
          <w:tcPr>
            <w:tcW w:type="dxa" w:w="3686"/>
            <w:tcMar>
              <w:top w:type="dxa" w:w="70"/>
              <w:left w:type="dxa" w:w="90"/>
              <w:bottom w:type="dxa" w:w="70"/>
              <w:right w:type="dxa" w:w="90"/>
            </w:tcMar>
            <w:vAlign w:val="top"/>
          </w:tcPr>
          <w:p>
            <w:r>
              <w:rPr>
                <w:b w:val="false"/>
                <w:bCs w:val="false"/>
                <w:color w:val="000000"/>
                <w:sz w:val="17"/>
                <w:szCs w:val="17"/>
              </w:rPr>
              <w:t xml:space="preserve">Part-time during Phase 1, rising to full ownership at handover</w:t>
            </w:r>
          </w:p>
        </w:tc>
      </w:tr>
      <w:tr>
        <w:tc>
          <w:tcPr>
            <w:tcW w:type="dxa" w:w="2662"/>
            <w:tcMar>
              <w:top w:type="dxa" w:w="70"/>
              <w:left w:type="dxa" w:w="90"/>
              <w:bottom w:type="dxa" w:w="70"/>
              <w:right w:type="dxa" w:w="90"/>
            </w:tcMar>
            <w:vAlign w:val="top"/>
          </w:tcPr>
          <w:p>
            <w:r>
              <w:rPr>
                <w:b/>
                <w:bCs/>
                <w:color w:val="000000"/>
                <w:sz w:val="17"/>
                <w:szCs w:val="17"/>
              </w:rPr>
              <w:t xml:space="preserve">State-level focal points (seven states + FCT)</w:t>
            </w:r>
          </w:p>
        </w:tc>
        <w:tc>
          <w:tcPr>
            <w:tcW w:type="dxa" w:w="3891"/>
            <w:tcMar>
              <w:top w:type="dxa" w:w="70"/>
              <w:left w:type="dxa" w:w="90"/>
              <w:bottom w:type="dxa" w:w="70"/>
              <w:right w:type="dxa" w:w="90"/>
            </w:tcMar>
            <w:vAlign w:val="top"/>
          </w:tcPr>
          <w:p>
            <w:r>
              <w:rPr>
                <w:b w:val="false"/>
                <w:bCs w:val="false"/>
                <w:color w:val="000000"/>
                <w:sz w:val="17"/>
                <w:szCs w:val="17"/>
              </w:rPr>
              <w:t xml:space="preserve">Consulted on migration and classification decisions; participate in training and UAT</w:t>
            </w:r>
          </w:p>
        </w:tc>
        <w:tc>
          <w:tcPr>
            <w:tcW w:type="dxa" w:w="3686"/>
            <w:tcMar>
              <w:top w:type="dxa" w:w="70"/>
              <w:left w:type="dxa" w:w="90"/>
              <w:bottom w:type="dxa" w:w="70"/>
              <w:right w:type="dxa" w:w="90"/>
            </w:tcMar>
            <w:vAlign w:val="top"/>
          </w:tcPr>
          <w:p>
            <w:r>
              <w:rPr>
                <w:b w:val="false"/>
                <w:bCs w:val="false"/>
                <w:color w:val="000000"/>
                <w:sz w:val="17"/>
                <w:szCs w:val="17"/>
              </w:rPr>
              <w:t xml:space="preserve">Time-bounded participation at defined points, not continuous</w:t>
            </w:r>
          </w:p>
        </w:tc>
      </w:tr>
      <w:tr>
        <w:tc>
          <w:tcPr>
            <w:tcW w:type="dxa" w:w="2662"/>
            <w:tcMar>
              <w:top w:type="dxa" w:w="70"/>
              <w:left w:type="dxa" w:w="90"/>
              <w:bottom w:type="dxa" w:w="70"/>
              <w:right w:type="dxa" w:w="90"/>
            </w:tcMar>
            <w:vAlign w:val="top"/>
          </w:tcPr>
          <w:p>
            <w:r>
              <w:rPr>
                <w:b/>
                <w:bCs/>
                <w:color w:val="000000"/>
                <w:sz w:val="17"/>
                <w:szCs w:val="17"/>
              </w:rPr>
              <w:t xml:space="preserve">National Programme Coordinator / KMC</w:t>
            </w:r>
          </w:p>
        </w:tc>
        <w:tc>
          <w:tcPr>
            <w:tcW w:type="dxa" w:w="3891"/>
            <w:tcMar>
              <w:top w:type="dxa" w:w="70"/>
              <w:left w:type="dxa" w:w="90"/>
              <w:bottom w:type="dxa" w:w="70"/>
              <w:right w:type="dxa" w:w="90"/>
            </w:tcMar>
            <w:vAlign w:val="top"/>
          </w:tcPr>
          <w:p>
            <w:r>
              <w:rPr>
                <w:b w:val="false"/>
                <w:bCs w:val="false"/>
                <w:color w:val="000000"/>
                <w:sz w:val="17"/>
                <w:szCs w:val="17"/>
              </w:rPr>
              <w:t xml:space="preserve">Governance decisions and milestone sign-off per the Decision Model (Section 2.9)</w:t>
            </w:r>
          </w:p>
        </w:tc>
        <w:tc>
          <w:tcPr>
            <w:tcW w:type="dxa" w:w="3686"/>
            <w:tcMar>
              <w:top w:type="dxa" w:w="70"/>
              <w:left w:type="dxa" w:w="90"/>
              <w:bottom w:type="dxa" w:w="70"/>
              <w:right w:type="dxa" w:w="90"/>
            </w:tcMar>
            <w:vAlign w:val="top"/>
          </w:tcPr>
          <w:p>
            <w:r>
              <w:rPr>
                <w:b w:val="false"/>
                <w:bCs w:val="false"/>
                <w:color w:val="000000"/>
                <w:sz w:val="17"/>
                <w:szCs w:val="17"/>
              </w:rPr>
              <w:t xml:space="preserve">Periodic, at each governance touchpoint and milestone</w:t>
            </w:r>
          </w:p>
        </w:tc>
      </w:tr>
      <w:tr>
        <w:tc>
          <w:tcPr>
            <w:tcW w:type="dxa" w:w="2662"/>
            <w:tcMar>
              <w:top w:type="dxa" w:w="70"/>
              <w:left w:type="dxa" w:w="90"/>
              <w:bottom w:type="dxa" w:w="70"/>
              <w:right w:type="dxa" w:w="90"/>
            </w:tcMar>
            <w:vAlign w:val="top"/>
          </w:tcPr>
          <w:p>
            <w:r>
              <w:rPr>
                <w:b/>
                <w:bCs/>
                <w:color w:val="000000"/>
                <w:sz w:val="17"/>
                <w:szCs w:val="17"/>
              </w:rPr>
              <w:t xml:space="preserve">Cloud infrastructure</w:t>
            </w:r>
          </w:p>
        </w:tc>
        <w:tc>
          <w:tcPr>
            <w:tcW w:type="dxa" w:w="3891"/>
            <w:tcMar>
              <w:top w:type="dxa" w:w="70"/>
              <w:left w:type="dxa" w:w="90"/>
              <w:bottom w:type="dxa" w:w="70"/>
              <w:right w:type="dxa" w:w="90"/>
            </w:tcMar>
            <w:vAlign w:val="top"/>
          </w:tcPr>
          <w:p>
            <w:r>
              <w:rPr>
                <w:b w:val="false"/>
                <w:bCs w:val="false"/>
                <w:color w:val="000000"/>
                <w:sz w:val="17"/>
                <w:szCs w:val="17"/>
              </w:rPr>
              <w:t xml:space="preserve">Azure environment (Section 10.7) provisioned for development, staging, and production</w:t>
            </w:r>
          </w:p>
        </w:tc>
        <w:tc>
          <w:tcPr>
            <w:tcW w:type="dxa" w:w="3686"/>
            <w:tcMar>
              <w:top w:type="dxa" w:w="70"/>
              <w:left w:type="dxa" w:w="90"/>
              <w:bottom w:type="dxa" w:w="70"/>
              <w:right w:type="dxa" w:w="90"/>
            </w:tcMar>
            <w:vAlign w:val="top"/>
          </w:tcPr>
          <w:p>
            <w:r>
              <w:rPr>
                <w:b w:val="false"/>
                <w:bCs w:val="false"/>
                <w:color w:val="000000"/>
                <w:sz w:val="17"/>
                <w:szCs w:val="17"/>
              </w:rPr>
              <w:t xml:space="preserve">Provisioned by Week 3, ahead of WP6</w:t>
            </w:r>
          </w:p>
        </w:tc>
      </w:tr>
    </w:tbl>
    <w:p>
      <w:pPr>
        <w:spacing w:after="160"/>
      </w:pPr>
    </w:p>
    <w:p>
      <w:pPr>
        <w:pStyle w:val="Heading1"/>
        <w:pBdr>
          <w:bottom w:val="single" w:color="1F3864" w:sz="6" w:space="4"/>
        </w:pBdr>
        <w:spacing w:after="130" w:before="320"/>
      </w:pPr>
      <w:r>
        <w:t xml:space="preserve">13.7 Execution Risks and Mitigation (Summary)</w:t>
      </w:r>
    </w:p>
    <w:p>
      <w:pPr>
        <w:spacing w:after="150" w:line="276"/>
        <w:jc w:val="both"/>
      </w:pPr>
      <w:r>
        <w:t xml:space="preserve">Three risks concentrate specifically at the implementation level, distinct from the full architecture risk register developed in Section 14. Each is already anticipated in the critical path analysis above.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82"/>
        <w:gridCol w:w="6758"/>
      </w:tblGrid>
      <w:tr>
        <w:trPr>
          <w:tblHeader/>
        </w:trPr>
        <w:tc>
          <w:tcPr>
            <w:tcW w:type="dxa" w:w="3482"/>
            <w:shd w:fill="1F3864" w:val="clear"/>
            <w:tcMar>
              <w:top w:type="dxa" w:w="70"/>
              <w:left w:type="dxa" w:w="90"/>
              <w:bottom w:type="dxa" w:w="70"/>
              <w:right w:type="dxa" w:w="90"/>
            </w:tcMar>
            <w:vAlign w:val="top"/>
          </w:tcPr>
          <w:p>
            <w:r>
              <w:rPr>
                <w:b/>
                <w:bCs/>
                <w:color w:val="FFFFFF"/>
                <w:sz w:val="17"/>
                <w:szCs w:val="17"/>
              </w:rPr>
              <w:t xml:space="preserve">Risk</w:t>
            </w:r>
          </w:p>
        </w:tc>
        <w:tc>
          <w:tcPr>
            <w:tcW w:type="dxa" w:w="6758"/>
            <w:shd w:fill="1F3864" w:val="clear"/>
            <w:tcMar>
              <w:top w:type="dxa" w:w="70"/>
              <w:left w:type="dxa" w:w="90"/>
              <w:bottom w:type="dxa" w:w="70"/>
              <w:right w:type="dxa" w:w="90"/>
            </w:tcMar>
            <w:vAlign w:val="top"/>
          </w:tcPr>
          <w:p>
            <w:r>
              <w:rPr>
                <w:b/>
                <w:bCs/>
                <w:color w:val="FFFFFF"/>
                <w:sz w:val="17"/>
                <w:szCs w:val="17"/>
              </w:rPr>
              <w:t xml:space="preserve">Mitigation</w:t>
            </w:r>
          </w:p>
        </w:tc>
      </w:tr>
      <w:tr>
        <w:tc>
          <w:tcPr>
            <w:tcW w:type="dxa" w:w="3482"/>
            <w:tcMar>
              <w:top w:type="dxa" w:w="70"/>
              <w:left w:type="dxa" w:w="90"/>
              <w:bottom w:type="dxa" w:w="70"/>
              <w:right w:type="dxa" w:w="90"/>
            </w:tcMar>
            <w:vAlign w:val="top"/>
          </w:tcPr>
          <w:p>
            <w:r>
              <w:rPr>
                <w:b/>
                <w:bCs/>
                <w:color w:val="000000"/>
                <w:sz w:val="17"/>
                <w:szCs w:val="17"/>
              </w:rPr>
              <w:t xml:space="preserve">Legacy content messier than expected (WP7)</w:t>
            </w:r>
          </w:p>
        </w:tc>
        <w:tc>
          <w:tcPr>
            <w:tcW w:type="dxa" w:w="6758"/>
            <w:tcMar>
              <w:top w:type="dxa" w:w="70"/>
              <w:left w:type="dxa" w:w="90"/>
              <w:bottom w:type="dxa" w:w="70"/>
              <w:right w:type="dxa" w:w="90"/>
            </w:tcMar>
            <w:vAlign w:val="top"/>
          </w:tcPr>
          <w:p>
            <w:r>
              <w:rPr>
                <w:b w:val="false"/>
                <w:bCs w:val="false"/>
                <w:color w:val="000000"/>
                <w:sz w:val="17"/>
                <w:szCs w:val="17"/>
              </w:rPr>
              <w:t xml:space="preserve">Prioritized-subset migration scope (Section 3.2 MoSCoW) absorbs quality variance without threatening the Must Have commitment; full coverage is explicitly a post-handover medium-term improvement (Section 11.6).</w:t>
            </w:r>
          </w:p>
        </w:tc>
      </w:tr>
      <w:tr>
        <w:tc>
          <w:tcPr>
            <w:tcW w:type="dxa" w:w="3482"/>
            <w:tcMar>
              <w:top w:type="dxa" w:w="70"/>
              <w:left w:type="dxa" w:w="90"/>
              <w:bottom w:type="dxa" w:w="70"/>
              <w:right w:type="dxa" w:w="90"/>
            </w:tcMar>
            <w:vAlign w:val="top"/>
          </w:tcPr>
          <w:p>
            <w:r>
              <w:rPr>
                <w:b/>
                <w:bCs/>
                <w:color w:val="000000"/>
                <w:sz w:val="17"/>
                <w:szCs w:val="17"/>
              </w:rPr>
              <w:t xml:space="preserve">Stakeholder consultation across seven states takes longer than two weeks (WP1)</w:t>
            </w:r>
          </w:p>
        </w:tc>
        <w:tc>
          <w:tcPr>
            <w:tcW w:type="dxa" w:w="6758"/>
            <w:tcMar>
              <w:top w:type="dxa" w:w="70"/>
              <w:left w:type="dxa" w:w="90"/>
              <w:bottom w:type="dxa" w:w="70"/>
              <w:right w:type="dxa" w:w="90"/>
            </w:tcMar>
            <w:vAlign w:val="top"/>
          </w:tcPr>
          <w:p>
            <w:r>
              <w:rPr>
                <w:b w:val="false"/>
                <w:bCs w:val="false"/>
                <w:color w:val="000000"/>
                <w:sz w:val="17"/>
                <w:szCs w:val="17"/>
              </w:rPr>
              <w:t xml:space="preserve">WP1 begins immediately in Week 1 with no lead-in delay; the critical path analysis (Section 13.5) already treats this as the highest-leverage schedule protection point.</w:t>
            </w:r>
          </w:p>
        </w:tc>
      </w:tr>
      <w:tr>
        <w:tc>
          <w:tcPr>
            <w:tcW w:type="dxa" w:w="3482"/>
            <w:tcMar>
              <w:top w:type="dxa" w:w="70"/>
              <w:left w:type="dxa" w:w="90"/>
              <w:bottom w:type="dxa" w:w="70"/>
              <w:right w:type="dxa" w:w="90"/>
            </w:tcMar>
            <w:vAlign w:val="top"/>
          </w:tcPr>
          <w:p>
            <w:r>
              <w:rPr>
                <w:b/>
                <w:bCs/>
                <w:color w:val="000000"/>
                <w:sz w:val="17"/>
                <w:szCs w:val="17"/>
              </w:rPr>
              <w:t xml:space="preserve">Key-person risk (a single named consultant delivering the entire engagement)</w:t>
            </w:r>
          </w:p>
        </w:tc>
        <w:tc>
          <w:tcPr>
            <w:tcW w:type="dxa" w:w="6758"/>
            <w:tcMar>
              <w:top w:type="dxa" w:w="70"/>
              <w:left w:type="dxa" w:w="90"/>
              <w:bottom w:type="dxa" w:w="70"/>
              <w:right w:type="dxa" w:w="90"/>
            </w:tcMar>
            <w:vAlign w:val="top"/>
          </w:tcPr>
          <w:p>
            <w:r>
              <w:rPr>
                <w:b w:val="false"/>
                <w:bCs w:val="false"/>
                <w:color w:val="000000"/>
                <w:sz w:val="17"/>
                <w:szCs w:val="17"/>
              </w:rPr>
              <w:t xml:space="preserve">Bounded, named specialist support for specific work packages only (Section 13.6), sequenced work rather than parallel dependency on the consultant alone, and comprehensive documentation (Section 11.12) reducing reliance on undocumented individual knowledge.</w:t>
            </w:r>
          </w:p>
        </w:tc>
      </w:tr>
    </w:tbl>
    <w:p>
      <w:pPr>
        <w:spacing w:after="100"/>
      </w:pPr>
    </w:p>
    <w:p>
      <w:pPr>
        <w:spacing w:after="160" w:line="264"/>
      </w:pPr>
      <w:r>
        <w:rPr>
          <w:i/>
          <w:iCs/>
          <w:color w:val="555555"/>
          <w:sz w:val="18"/>
          <w:szCs w:val="18"/>
        </w:rPr>
        <w:t xml:space="preserve">Section 14 (Architecture Risks) develops the complete risk register — architectural, operational, and strategic — of which these three implementation-specific risks are a subset.</w:t>
      </w:r>
    </w:p>
    <w:p>
      <w:pPr>
        <w:spacing w:after="160"/>
      </w:pPr>
    </w:p>
    <w:p>
      <w:pPr>
        <w:pStyle w:val="Heading1"/>
        <w:pBdr>
          <w:bottom w:val="single" w:color="1F3864" w:sz="6" w:space="4"/>
        </w:pBdr>
        <w:spacing w:after="130" w:before="320"/>
      </w:pPr>
      <w:r>
        <w:t xml:space="preserve">13.8 Technical Debt Strategy</w:t>
      </w:r>
    </w:p>
    <w:p>
      <w:pPr>
        <w:spacing w:after="150" w:line="276"/>
        <w:jc w:val="both"/>
      </w:pPr>
      <w:r>
        <w:t xml:space="preserve">Technical debt in this engagement is managed as a deliberate, documented category, not an unplanned byproduct discovered after the fact. Every MoSCoW Should Have item deferred beyond Week 12 — full migration coverage, the full analytics dashboard suite, comprehensive training-manual coverage for every role (Section 3.2) — is logged as intentional technical debt in the Decision Register (Section 4.4), with a named owner and a target resolution point drawn from the medium-term improvements roadmap (Section 11.6), rather than left as an implicit gap discovered later during a security or architecture review. No debt is carried silently: the Architecture Review Report in Section 15 audits this Decision Register log specifically as part of its own quality assurance pass, so that deferred scope remains visible rather than forgotten.</w:t>
      </w:r>
    </w:p>
    <w:p>
      <w:pPr>
        <w:pStyle w:val="Heading1"/>
        <w:pBdr>
          <w:bottom w:val="single" w:color="1F3864" w:sz="6" w:space="4"/>
        </w:pBdr>
        <w:spacing w:after="130" w:before="320"/>
      </w:pPr>
      <w:r>
        <w:t xml:space="preserve">13.9 Quality Gates</w:t>
      </w:r>
    </w:p>
    <w:p>
      <w:pPr>
        <w:spacing w:after="150" w:line="276"/>
        <w:jc w:val="both"/>
      </w:pPr>
      <w:r>
        <w:t xml:space="preserve">Each phase transition in Section 11.4 is gated by explicit pass criteria; the next phase does not begin until its gate criteria are met.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58"/>
        <w:gridCol w:w="7782"/>
      </w:tblGrid>
      <w:tr>
        <w:trPr>
          <w:tblHeader/>
        </w:trPr>
        <w:tc>
          <w:tcPr>
            <w:tcW w:type="dxa" w:w="2458"/>
            <w:shd w:fill="1F3864" w:val="clear"/>
            <w:tcMar>
              <w:top w:type="dxa" w:w="70"/>
              <w:left w:type="dxa" w:w="90"/>
              <w:bottom w:type="dxa" w:w="70"/>
              <w:right w:type="dxa" w:w="90"/>
            </w:tcMar>
            <w:vAlign w:val="top"/>
          </w:tcPr>
          <w:p>
            <w:r>
              <w:rPr>
                <w:b/>
                <w:bCs/>
                <w:color w:val="FFFFFF"/>
                <w:sz w:val="17"/>
                <w:szCs w:val="17"/>
              </w:rPr>
              <w:t xml:space="preserve">Gate</w:t>
            </w:r>
          </w:p>
        </w:tc>
        <w:tc>
          <w:tcPr>
            <w:tcW w:type="dxa" w:w="7782"/>
            <w:shd w:fill="1F3864" w:val="clear"/>
            <w:tcMar>
              <w:top w:type="dxa" w:w="70"/>
              <w:left w:type="dxa" w:w="90"/>
              <w:bottom w:type="dxa" w:w="70"/>
              <w:right w:type="dxa" w:w="90"/>
            </w:tcMar>
            <w:vAlign w:val="top"/>
          </w:tcPr>
          <w:p>
            <w:r>
              <w:rPr>
                <w:b/>
                <w:bCs/>
                <w:color w:val="FFFFFF"/>
                <w:sz w:val="17"/>
                <w:szCs w:val="17"/>
              </w:rPr>
              <w:t xml:space="preserve">Pass Criteria</w:t>
            </w:r>
          </w:p>
        </w:tc>
      </w:tr>
      <w:tr>
        <w:tc>
          <w:tcPr>
            <w:tcW w:type="dxa" w:w="2458"/>
            <w:tcMar>
              <w:top w:type="dxa" w:w="70"/>
              <w:left w:type="dxa" w:w="90"/>
              <w:bottom w:type="dxa" w:w="70"/>
              <w:right w:type="dxa" w:w="90"/>
            </w:tcMar>
            <w:vAlign w:val="top"/>
          </w:tcPr>
          <w:p>
            <w:r>
              <w:rPr>
                <w:b/>
                <w:bCs/>
                <w:color w:val="000000"/>
                <w:sz w:val="17"/>
                <w:szCs w:val="17"/>
              </w:rPr>
              <w:t xml:space="preserve">Phase 1 → Phase 2</w:t>
            </w:r>
          </w:p>
        </w:tc>
        <w:tc>
          <w:tcPr>
            <w:tcW w:type="dxa" w:w="7782"/>
            <w:tcMar>
              <w:top w:type="dxa" w:w="70"/>
              <w:left w:type="dxa" w:w="90"/>
              <w:bottom w:type="dxa" w:w="70"/>
              <w:right w:type="dxa" w:w="90"/>
            </w:tcMar>
            <w:vAlign w:val="top"/>
          </w:tcPr>
          <w:p>
            <w:r>
              <w:rPr>
                <w:b w:val="false"/>
                <w:bCs w:val="false"/>
                <w:color w:val="000000"/>
                <w:sz w:val="17"/>
                <w:szCs w:val="17"/>
              </w:rPr>
              <w:t xml:space="preserve">Governance Charter signed (WP3); shared taxonomy finalized (WP4).</w:t>
            </w:r>
          </w:p>
        </w:tc>
      </w:tr>
      <w:tr>
        <w:tc>
          <w:tcPr>
            <w:tcW w:type="dxa" w:w="2458"/>
            <w:tcMar>
              <w:top w:type="dxa" w:w="70"/>
              <w:left w:type="dxa" w:w="90"/>
              <w:bottom w:type="dxa" w:w="70"/>
              <w:right w:type="dxa" w:w="90"/>
            </w:tcMar>
            <w:vAlign w:val="top"/>
          </w:tcPr>
          <w:p>
            <w:r>
              <w:rPr>
                <w:b/>
                <w:bCs/>
                <w:color w:val="000000"/>
                <w:sz w:val="17"/>
                <w:szCs w:val="17"/>
              </w:rPr>
              <w:t xml:space="preserve">Phase 2 → Phase 3</w:t>
            </w:r>
          </w:p>
        </w:tc>
        <w:tc>
          <w:tcPr>
            <w:tcW w:type="dxa" w:w="7782"/>
            <w:tcMar>
              <w:top w:type="dxa" w:w="70"/>
              <w:left w:type="dxa" w:w="90"/>
              <w:bottom w:type="dxa" w:w="70"/>
              <w:right w:type="dxa" w:w="90"/>
            </w:tcMar>
            <w:vAlign w:val="top"/>
          </w:tcPr>
          <w:p>
            <w:r>
              <w:rPr>
                <w:b w:val="false"/>
                <w:bCs w:val="false"/>
                <w:color w:val="000000"/>
                <w:sz w:val="17"/>
                <w:szCs w:val="17"/>
              </w:rPr>
              <w:t xml:space="preserve">Core platforms configured and validated (WP6); Must Have priority content migrated and reconciled per Section 6.8 Stage 4 (WP7); workflow and functional modules configured (WP8, WP9).</w:t>
            </w:r>
          </w:p>
        </w:tc>
      </w:tr>
      <w:tr>
        <w:tc>
          <w:tcPr>
            <w:tcW w:type="dxa" w:w="2458"/>
            <w:tcMar>
              <w:top w:type="dxa" w:w="70"/>
              <w:left w:type="dxa" w:w="90"/>
              <w:bottom w:type="dxa" w:w="70"/>
              <w:right w:type="dxa" w:w="90"/>
            </w:tcMar>
            <w:vAlign w:val="top"/>
          </w:tcPr>
          <w:p>
            <w:r>
              <w:rPr>
                <w:b/>
                <w:bCs/>
                <w:color w:val="000000"/>
                <w:sz w:val="17"/>
                <w:szCs w:val="17"/>
              </w:rPr>
              <w:t xml:space="preserve">Phase 3 → Phase 4</w:t>
            </w:r>
          </w:p>
        </w:tc>
        <w:tc>
          <w:tcPr>
            <w:tcW w:type="dxa" w:w="7782"/>
            <w:tcMar>
              <w:top w:type="dxa" w:w="70"/>
              <w:left w:type="dxa" w:w="90"/>
              <w:bottom w:type="dxa" w:w="70"/>
              <w:right w:type="dxa" w:w="90"/>
            </w:tcMar>
            <w:vAlign w:val="top"/>
          </w:tcPr>
          <w:p>
            <w:r>
              <w:rPr>
                <w:b w:val="false"/>
                <w:bCs w:val="false"/>
                <w:color w:val="000000"/>
                <w:sz w:val="17"/>
                <w:szCs w:val="17"/>
              </w:rPr>
              <w:t xml:space="preserve">Formal test cycle complete with all Critical and High severity defects resolved (WP11); security testing against the Section 8 threat model passed.</w:t>
            </w:r>
          </w:p>
        </w:tc>
      </w:tr>
      <w:tr>
        <w:tc>
          <w:tcPr>
            <w:tcW w:type="dxa" w:w="2458"/>
            <w:tcMar>
              <w:top w:type="dxa" w:w="70"/>
              <w:left w:type="dxa" w:w="90"/>
              <w:bottom w:type="dxa" w:w="70"/>
              <w:right w:type="dxa" w:w="90"/>
            </w:tcMar>
            <w:vAlign w:val="top"/>
          </w:tcPr>
          <w:p>
            <w:r>
              <w:rPr>
                <w:b/>
                <w:bCs/>
                <w:color w:val="000000"/>
                <w:sz w:val="17"/>
                <w:szCs w:val="17"/>
              </w:rPr>
              <w:t xml:space="preserve">Phase 4 → Phase 5</w:t>
            </w:r>
          </w:p>
        </w:tc>
        <w:tc>
          <w:tcPr>
            <w:tcW w:type="dxa" w:w="7782"/>
            <w:tcMar>
              <w:top w:type="dxa" w:w="70"/>
              <w:left w:type="dxa" w:w="90"/>
              <w:bottom w:type="dxa" w:w="70"/>
              <w:right w:type="dxa" w:w="90"/>
            </w:tcMar>
            <w:vAlign w:val="top"/>
          </w:tcPr>
          <w:p>
            <w:r>
              <w:rPr>
                <w:b w:val="false"/>
                <w:bCs w:val="false"/>
                <w:color w:val="000000"/>
                <w:sz w:val="17"/>
                <w:szCs w:val="17"/>
              </w:rPr>
              <w:t xml:space="preserve">User acceptance confirmed by state-level focal points (WP12); KM and ICT Units certified on core administration tasks.</w:t>
            </w:r>
          </w:p>
        </w:tc>
      </w:tr>
      <w:tr>
        <w:tc>
          <w:tcPr>
            <w:tcW w:type="dxa" w:w="2458"/>
            <w:tcMar>
              <w:top w:type="dxa" w:w="70"/>
              <w:left w:type="dxa" w:w="90"/>
              <w:bottom w:type="dxa" w:w="70"/>
              <w:right w:type="dxa" w:w="90"/>
            </w:tcMar>
            <w:vAlign w:val="top"/>
          </w:tcPr>
          <w:p>
            <w:r>
              <w:rPr>
                <w:b/>
                <w:bCs/>
                <w:color w:val="000000"/>
                <w:sz w:val="17"/>
                <w:szCs w:val="17"/>
              </w:rPr>
              <w:t xml:space="preserve">Phase 5 → Closure</w:t>
            </w:r>
          </w:p>
        </w:tc>
        <w:tc>
          <w:tcPr>
            <w:tcW w:type="dxa" w:w="7782"/>
            <w:tcMar>
              <w:top w:type="dxa" w:w="70"/>
              <w:left w:type="dxa" w:w="90"/>
              <w:bottom w:type="dxa" w:w="70"/>
              <w:right w:type="dxa" w:w="90"/>
            </w:tcMar>
            <w:vAlign w:val="top"/>
          </w:tcPr>
          <w:p>
            <w:r>
              <w:rPr>
                <w:b w:val="false"/>
                <w:bCs w:val="false"/>
                <w:color w:val="000000"/>
                <w:sz w:val="17"/>
                <w:szCs w:val="17"/>
              </w:rPr>
              <w:t xml:space="preserve">Go-live confirmed stable; handover package delivered and formally signed off (WP13, Section 11.12).</w:t>
            </w:r>
          </w:p>
        </w:tc>
      </w:tr>
    </w:tbl>
    <w:p>
      <w:pPr>
        <w:spacing w:after="160"/>
      </w:pPr>
    </w:p>
    <w:p>
      <w:pPr>
        <w:pStyle w:val="Heading1"/>
        <w:pBdr>
          <w:bottom w:val="single" w:color="1F3864" w:sz="6" w:space="4"/>
        </w:pBdr>
        <w:spacing w:after="130" w:before="320"/>
      </w:pPr>
      <w:r>
        <w:t xml:space="preserve">13.10 Acceptance Criteria</w:t>
      </w:r>
    </w:p>
    <w:p>
      <w:pPr>
        <w:spacing w:after="150" w:line="276"/>
        <w:jc w:val="both"/>
      </w:pPr>
      <w:r>
        <w:t xml:space="preserve">Final programme acceptance requires four conditions to hold simultaneously, consistent with the Success Metrics fixed in Section 11.13: every Must Have application, module, and integration point identified in Sections 3.2 and 4.1 is live and functioning; the Governance Charter is signed and operating, with the KMC and KM and ICT Units actively exercising the Decision Rights fixed in Section 12.3; the handover package (Section 11.12) is delivered in full and formally accepted by the National Programme Coordinator; and no Critical or High severity defect or security finding remains open. Acceptance against a prioritized Should Have subset — full migration coverage, the complete analytics suite — is explicitly not required for programme acceptance, consistent with the Technical Debt Strategy above; those items are tracked to their own medium-term resolution point rather than blocking go-live.</w:t>
      </w:r>
    </w:p>
    <w:p>
      <w:pPr>
        <w:pStyle w:val="Heading1"/>
        <w:pBdr>
          <w:bottom w:val="single" w:color="1F3864" w:sz="6" w:space="4"/>
        </w:pBdr>
        <w:spacing w:after="130" w:before="320"/>
      </w:pPr>
      <w:r>
        <w:t xml:space="preserve">13.11 Transition to Section 14</w:t>
      </w:r>
    </w:p>
    <w:p>
      <w:pPr>
        <w:spacing w:after="150" w:line="276"/>
        <w:jc w:val="both"/>
      </w:pPr>
      <w:r>
        <w:t xml:space="preserve">Section 14 (Architecture Risks) develops the complete risk register this section's Section 13.7 summary is drawn from — architectural, operational, and strategic risks across the full lifecycle of this Blueprint, each with likelihood, impact, and a named mitigation owner.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2026-07-18T09:02:51.609Z</dcterms:created>
  <dcterms:modified xsi:type="dcterms:W3CDTF">2026-07-18T09:02:51.609Z</dcterms:modified>
</cp:coreProperties>
</file>

<file path=docProps/custom.xml><?xml version="1.0" encoding="utf-8"?>
<Properties xmlns="http://schemas.openxmlformats.org/officeDocument/2006/custom-properties" xmlns:vt="http://schemas.openxmlformats.org/officeDocument/2006/docPropsVTypes"/>
</file>