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808080"/>
          <w:sz w:val="20"/>
          <w:szCs w:val="20"/>
        </w:rPr>
        <w:t xml:space="preserve">SAPZ PROGRAMME — REF: NPCO/SAPZ/IFAD/26/1023/588</w:t>
      </w:r>
    </w:p>
    <w:p>
      <w:pPr>
        <w:spacing w:after="60"/>
        <w:jc w:val="center"/>
      </w:pPr>
      <w:r>
        <w:rPr>
          <w:b/>
          <w:bCs/>
          <w:color w:val="1F3864"/>
          <w:sz w:val="32"/>
          <w:szCs w:val="32"/>
        </w:rPr>
        <w:t xml:space="preserve">Enterprise Architecture &amp; Digital Transformation Blueprint</w:t>
      </w:r>
    </w:p>
    <w:p>
      <w:pPr>
        <w:spacing w:after="60"/>
        <w:jc w:val="center"/>
      </w:pPr>
      <w:r>
        <w:rPr>
          <w:b/>
          <w:bCs/>
          <w:color w:val="2E5395"/>
          <w:sz w:val="22"/>
          <w:szCs w:val="22"/>
        </w:rPr>
        <w:t xml:space="preserve">Enterprise System Management (ESM) Platform and Central Knowledge Repository (CKR)</w:t>
      </w:r>
    </w:p>
    <w:p>
      <w:pPr>
        <w:spacing w:after="40"/>
        <w:jc w:val="center"/>
      </w:pPr>
      <w:r>
        <w:rPr>
          <w:b/>
          <w:bCs/>
          <w:color w:val="2E5395"/>
          <w:sz w:val="24"/>
          <w:szCs w:val="24"/>
        </w:rPr>
        <w:t xml:space="preserve">Section 14 of 16 — Architecture Risks</w:t>
      </w:r>
    </w:p>
    <w:p>
      <w:pPr>
        <w:spacing w:after="260"/>
        <w:jc w:val="center"/>
      </w:pPr>
      <w:r>
        <w:rPr>
          <w:i/>
          <w:iCs/>
          <w:color w:val="555555"/>
          <w:sz w:val="19"/>
          <w:szCs w:val="19"/>
        </w:rPr>
        <w:t xml:space="preserve">Prepared for the SAPZ National Programme Coordination Office — Consultant: Ahmed Babajide Olanrewaju</w:t>
      </w:r>
    </w:p>
    <w:p>
      <w:pPr>
        <w:pStyle w:val="Heading1"/>
        <w:pBdr>
          <w:bottom w:val="single" w:color="1F3864" w:sz="6" w:space="4"/>
        </w:pBdr>
        <w:spacing w:after="130" w:before="320"/>
      </w:pPr>
      <w:r>
        <w:t xml:space="preserve">14.1 Risk Management Approach</w:t>
      </w:r>
    </w:p>
    <w:p>
      <w:pPr>
        <w:spacing w:after="150" w:line="276"/>
        <w:jc w:val="both"/>
      </w:pPr>
      <w:r>
        <w:t xml:space="preserve">This section is the complete architecture risk register for this Blueprint — architectural, technical, data, security, integration, operational, governance, schedule, and Phase 2 risks across the full lifecycle of the ESM/CKR programme, not only the implementation-execution risks already summarized in Section 13.7. Every risk is scored on a simple three-level Likelihood × Impact scale (Low, Medium, High), consistent with the probability-impact matrix methodology already applied in the Master Bid &amp; Delivery Strategy, and every risk carries a named mitigation and a named owner drawn from the Organisation Model (Section 2.7) — no risk in this register is left without an accountable party.</w:t>
      </w:r>
    </w:p>
    <w:p>
      <w:pPr>
        <w:spacing w:after="150" w:line="276"/>
        <w:jc w:val="both"/>
      </w:pPr>
      <w:r>
        <w:t xml:space="preserve">This register is the source document the Risk Register functional module (Section 4.4, module 21) is built to operate: every risk below is intended to be entered into that module at the start of the engagement and tracked through its own lifecycle (Identify → Assess → Mitigate → Monitor → Close, per Section 2.5), rather than existing only as a static document.</w:t>
      </w:r>
    </w:p>
    <w:p>
      <w:pPr>
        <w:pStyle w:val="Heading1"/>
        <w:pBdr>
          <w:bottom w:val="single" w:color="1F3864" w:sz="6" w:space="4"/>
        </w:pBdr>
        <w:spacing w:after="130" w:before="320"/>
      </w:pPr>
      <w:r>
        <w:t xml:space="preserve">14.2 Strategic Risks</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717"/>
        <w:gridCol w:w="3072"/>
        <w:gridCol w:w="1126"/>
        <w:gridCol w:w="1126"/>
        <w:gridCol w:w="3174"/>
        <w:gridCol w:w="1024"/>
      </w:tblGrid>
      <w:tr>
        <w:trPr>
          <w:tblHeader/>
        </w:trPr>
        <w:tc>
          <w:tcPr>
            <w:tcW w:type="dxa" w:w="717"/>
            <w:shd w:fill="1F3864" w:val="clear"/>
            <w:tcMar>
              <w:top w:type="dxa" w:w="60"/>
              <w:left w:type="dxa" w:w="80"/>
              <w:bottom w:type="dxa" w:w="60"/>
              <w:right w:type="dxa" w:w="80"/>
            </w:tcMar>
            <w:vAlign w:val="top"/>
          </w:tcPr>
          <w:p>
            <w:r>
              <w:rPr>
                <w:b/>
                <w:bCs/>
                <w:color w:val="FFFFFF"/>
                <w:sz w:val="16"/>
                <w:szCs w:val="16"/>
              </w:rPr>
              <w:t xml:space="preserve">ID</w:t>
            </w:r>
          </w:p>
        </w:tc>
        <w:tc>
          <w:tcPr>
            <w:tcW w:type="dxa" w:w="3072"/>
            <w:shd w:fill="1F3864" w:val="clear"/>
            <w:tcMar>
              <w:top w:type="dxa" w:w="60"/>
              <w:left w:type="dxa" w:w="80"/>
              <w:bottom w:type="dxa" w:w="60"/>
              <w:right w:type="dxa" w:w="80"/>
            </w:tcMar>
            <w:vAlign w:val="top"/>
          </w:tcPr>
          <w:p>
            <w:r>
              <w:rPr>
                <w:b/>
                <w:bCs/>
                <w:color w:val="FFFFFF"/>
                <w:sz w:val="16"/>
                <w:szCs w:val="16"/>
              </w:rPr>
              <w:t xml:space="preserve">Risk</w:t>
            </w:r>
          </w:p>
        </w:tc>
        <w:tc>
          <w:tcPr>
            <w:tcW w:type="dxa" w:w="1126"/>
            <w:shd w:fill="1F3864" w:val="clear"/>
            <w:tcMar>
              <w:top w:type="dxa" w:w="60"/>
              <w:left w:type="dxa" w:w="80"/>
              <w:bottom w:type="dxa" w:w="60"/>
              <w:right w:type="dxa" w:w="80"/>
            </w:tcMar>
            <w:vAlign w:val="top"/>
          </w:tcPr>
          <w:p>
            <w:r>
              <w:rPr>
                <w:b/>
                <w:bCs/>
                <w:color w:val="FFFFFF"/>
                <w:sz w:val="16"/>
                <w:szCs w:val="16"/>
              </w:rPr>
              <w:t xml:space="preserve">Likelihood</w:t>
            </w:r>
          </w:p>
        </w:tc>
        <w:tc>
          <w:tcPr>
            <w:tcW w:type="dxa" w:w="1126"/>
            <w:shd w:fill="1F3864" w:val="clear"/>
            <w:tcMar>
              <w:top w:type="dxa" w:w="60"/>
              <w:left w:type="dxa" w:w="80"/>
              <w:bottom w:type="dxa" w:w="60"/>
              <w:right w:type="dxa" w:w="80"/>
            </w:tcMar>
            <w:vAlign w:val="top"/>
          </w:tcPr>
          <w:p>
            <w:r>
              <w:rPr>
                <w:b/>
                <w:bCs/>
                <w:color w:val="FFFFFF"/>
                <w:sz w:val="16"/>
                <w:szCs w:val="16"/>
              </w:rPr>
              <w:t xml:space="preserve">Impact</w:t>
            </w:r>
          </w:p>
        </w:tc>
        <w:tc>
          <w:tcPr>
            <w:tcW w:type="dxa" w:w="3174"/>
            <w:shd w:fill="1F3864" w:val="clear"/>
            <w:tcMar>
              <w:top w:type="dxa" w:w="60"/>
              <w:left w:type="dxa" w:w="80"/>
              <w:bottom w:type="dxa" w:w="60"/>
              <w:right w:type="dxa" w:w="80"/>
            </w:tcMar>
            <w:vAlign w:val="top"/>
          </w:tcPr>
          <w:p>
            <w:r>
              <w:rPr>
                <w:b/>
                <w:bCs/>
                <w:color w:val="FFFFFF"/>
                <w:sz w:val="16"/>
                <w:szCs w:val="16"/>
              </w:rPr>
              <w:t xml:space="preserve">Mitigation</w:t>
            </w:r>
          </w:p>
        </w:tc>
        <w:tc>
          <w:tcPr>
            <w:tcW w:type="dxa" w:w="1024"/>
            <w:shd w:fill="1F3864" w:val="clear"/>
            <w:tcMar>
              <w:top w:type="dxa" w:w="60"/>
              <w:left w:type="dxa" w:w="80"/>
              <w:bottom w:type="dxa" w:w="60"/>
              <w:right w:type="dxa" w:w="80"/>
            </w:tcMar>
            <w:vAlign w:val="top"/>
          </w:tcPr>
          <w:p>
            <w:r>
              <w:rPr>
                <w:b/>
                <w:bCs/>
                <w:color w:val="FFFFFF"/>
                <w:sz w:val="16"/>
                <w:szCs w:val="16"/>
              </w:rPr>
              <w:t xml:space="preserve">Owner</w:t>
            </w:r>
          </w:p>
        </w:tc>
      </w:tr>
      <w:tr>
        <w:tc>
          <w:tcPr>
            <w:tcW w:type="dxa" w:w="717"/>
            <w:tcMar>
              <w:top w:type="dxa" w:w="60"/>
              <w:left w:type="dxa" w:w="80"/>
              <w:bottom w:type="dxa" w:w="60"/>
              <w:right w:type="dxa" w:w="80"/>
            </w:tcMar>
            <w:vAlign w:val="top"/>
          </w:tcPr>
          <w:p>
            <w:r>
              <w:rPr>
                <w:b/>
                <w:bCs/>
                <w:color w:val="000000"/>
                <w:sz w:val="16"/>
                <w:szCs w:val="16"/>
              </w:rPr>
              <w:t xml:space="preserve">R-01</w:t>
            </w:r>
          </w:p>
        </w:tc>
        <w:tc>
          <w:tcPr>
            <w:tcW w:type="dxa" w:w="3072"/>
            <w:tcMar>
              <w:top w:type="dxa" w:w="60"/>
              <w:left w:type="dxa" w:w="80"/>
              <w:bottom w:type="dxa" w:w="60"/>
              <w:right w:type="dxa" w:w="80"/>
            </w:tcMar>
            <w:vAlign w:val="top"/>
          </w:tcPr>
          <w:p>
            <w:r>
              <w:rPr>
                <w:b w:val="false"/>
                <w:bCs w:val="false"/>
                <w:color w:val="000000"/>
                <w:sz w:val="16"/>
                <w:szCs w:val="16"/>
              </w:rPr>
              <w:t xml:space="preserve">Scope creep beyond the Phase 1 Must Have baseline (Section 3.2) as stakeholders request additional features during the build.</w:t>
            </w:r>
          </w:p>
        </w:tc>
        <w:tc>
          <w:tcPr>
            <w:tcW w:type="dxa" w:w="1126"/>
            <w:tcMar>
              <w:top w:type="dxa" w:w="60"/>
              <w:left w:type="dxa" w:w="80"/>
              <w:bottom w:type="dxa" w:w="60"/>
              <w:right w:type="dxa" w:w="80"/>
            </w:tcMar>
            <w:vAlign w:val="top"/>
          </w:tcPr>
          <w:p>
            <w:r>
              <w:rPr>
                <w:b w:val="false"/>
                <w:bCs w:val="false"/>
                <w:color w:val="000000"/>
                <w:sz w:val="16"/>
                <w:szCs w:val="16"/>
              </w:rPr>
              <w:t xml:space="preserve">Medium</w:t>
            </w:r>
          </w:p>
        </w:tc>
        <w:tc>
          <w:tcPr>
            <w:tcW w:type="dxa" w:w="1126"/>
            <w:tcMar>
              <w:top w:type="dxa" w:w="60"/>
              <w:left w:type="dxa" w:w="80"/>
              <w:bottom w:type="dxa" w:w="60"/>
              <w:right w:type="dxa" w:w="80"/>
            </w:tcMar>
            <w:vAlign w:val="top"/>
          </w:tcPr>
          <w:p>
            <w:r>
              <w:rPr>
                <w:b w:val="false"/>
                <w:bCs w:val="false"/>
                <w:color w:val="000000"/>
                <w:sz w:val="16"/>
                <w:szCs w:val="16"/>
              </w:rPr>
              <w:t xml:space="preserve">Medium</w:t>
            </w:r>
          </w:p>
        </w:tc>
        <w:tc>
          <w:tcPr>
            <w:tcW w:type="dxa" w:w="3174"/>
            <w:tcMar>
              <w:top w:type="dxa" w:w="60"/>
              <w:left w:type="dxa" w:w="80"/>
              <w:bottom w:type="dxa" w:w="60"/>
              <w:right w:type="dxa" w:w="80"/>
            </w:tcMar>
            <w:vAlign w:val="top"/>
          </w:tcPr>
          <w:p>
            <w:r>
              <w:rPr>
                <w:b w:val="false"/>
                <w:bCs w:val="false"/>
                <w:color w:val="000000"/>
                <w:sz w:val="16"/>
                <w:szCs w:val="16"/>
              </w:rPr>
              <w:t xml:space="preserve">The MoSCoW prioritization (Section 3.2) and Phase Discipline principle (Section 1.7) are invoked explicitly at every scope discussion; new requests are logged as Phase 2 roadmap candidates (Section 11.7), not silently absorbed.</w:t>
            </w:r>
          </w:p>
        </w:tc>
        <w:tc>
          <w:tcPr>
            <w:tcW w:type="dxa" w:w="1024"/>
            <w:tcMar>
              <w:top w:type="dxa" w:w="60"/>
              <w:left w:type="dxa" w:w="80"/>
              <w:bottom w:type="dxa" w:w="60"/>
              <w:right w:type="dxa" w:w="80"/>
            </w:tcMar>
            <w:vAlign w:val="top"/>
          </w:tcPr>
          <w:p>
            <w:r>
              <w:rPr>
                <w:b w:val="false"/>
                <w:bCs w:val="false"/>
                <w:color w:val="000000"/>
                <w:sz w:val="16"/>
                <w:szCs w:val="16"/>
              </w:rPr>
              <w:t xml:space="preserve">National Programme Coordinator and KMC (jointly, per Section 2.9)</w:t>
            </w:r>
          </w:p>
        </w:tc>
      </w:tr>
      <w:tr>
        <w:tc>
          <w:tcPr>
            <w:tcW w:type="dxa" w:w="717"/>
            <w:tcMar>
              <w:top w:type="dxa" w:w="60"/>
              <w:left w:type="dxa" w:w="80"/>
              <w:bottom w:type="dxa" w:w="60"/>
              <w:right w:type="dxa" w:w="80"/>
            </w:tcMar>
            <w:vAlign w:val="top"/>
          </w:tcPr>
          <w:p>
            <w:r>
              <w:rPr>
                <w:b/>
                <w:bCs/>
                <w:color w:val="000000"/>
                <w:sz w:val="16"/>
                <w:szCs w:val="16"/>
              </w:rPr>
              <w:t xml:space="preserve">R-02</w:t>
            </w:r>
          </w:p>
        </w:tc>
        <w:tc>
          <w:tcPr>
            <w:tcW w:type="dxa" w:w="3072"/>
            <w:tcMar>
              <w:top w:type="dxa" w:w="60"/>
              <w:left w:type="dxa" w:w="80"/>
              <w:bottom w:type="dxa" w:w="60"/>
              <w:right w:type="dxa" w:w="80"/>
            </w:tcMar>
            <w:vAlign w:val="top"/>
          </w:tcPr>
          <w:p>
            <w:r>
              <w:rPr>
                <w:b w:val="false"/>
                <w:bCs w:val="false"/>
                <w:color w:val="000000"/>
                <w:sz w:val="16"/>
                <w:szCs w:val="16"/>
              </w:rPr>
              <w:t xml:space="preserve">A donor fiduciary or compliance gap (NDPR, IFAD AML/Anti-Fraud/PSEA) surfaces late in the engagement or during a post-go-live supervision mission.</w:t>
            </w:r>
          </w:p>
        </w:tc>
        <w:tc>
          <w:tcPr>
            <w:tcW w:type="dxa" w:w="1126"/>
            <w:tcMar>
              <w:top w:type="dxa" w:w="60"/>
              <w:left w:type="dxa" w:w="80"/>
              <w:bottom w:type="dxa" w:w="60"/>
              <w:right w:type="dxa" w:w="80"/>
            </w:tcMar>
            <w:vAlign w:val="top"/>
          </w:tcPr>
          <w:p>
            <w:r>
              <w:rPr>
                <w:b w:val="false"/>
                <w:bCs w:val="false"/>
                <w:color w:val="000000"/>
                <w:sz w:val="16"/>
                <w:szCs w:val="16"/>
              </w:rPr>
              <w:t xml:space="preserve">Low</w:t>
            </w:r>
          </w:p>
        </w:tc>
        <w:tc>
          <w:tcPr>
            <w:tcW w:type="dxa" w:w="1126"/>
            <w:tcMar>
              <w:top w:type="dxa" w:w="60"/>
              <w:left w:type="dxa" w:w="80"/>
              <w:bottom w:type="dxa" w:w="60"/>
              <w:right w:type="dxa" w:w="80"/>
            </w:tcMar>
            <w:vAlign w:val="top"/>
          </w:tcPr>
          <w:p>
            <w:r>
              <w:rPr>
                <w:b w:val="false"/>
                <w:bCs w:val="false"/>
                <w:color w:val="000000"/>
                <w:sz w:val="16"/>
                <w:szCs w:val="16"/>
              </w:rPr>
              <w:t xml:space="preserve">High</w:t>
            </w:r>
          </w:p>
        </w:tc>
        <w:tc>
          <w:tcPr>
            <w:tcW w:type="dxa" w:w="3174"/>
            <w:tcMar>
              <w:top w:type="dxa" w:w="60"/>
              <w:left w:type="dxa" w:w="80"/>
              <w:bottom w:type="dxa" w:w="60"/>
              <w:right w:type="dxa" w:w="80"/>
            </w:tcMar>
            <w:vAlign w:val="top"/>
          </w:tcPr>
          <w:p>
            <w:r>
              <w:rPr>
                <w:b w:val="false"/>
                <w:bCs w:val="false"/>
                <w:color w:val="000000"/>
                <w:sz w:val="16"/>
                <w:szCs w:val="16"/>
              </w:rPr>
              <w:t xml:space="preserve">The Standards and Policies Registry (Section 12.5) and NDPR compliance checklist (Section 4.4) are reviewed at each governance milestone (Section 12.8), not only at go-live.</w:t>
            </w:r>
          </w:p>
        </w:tc>
        <w:tc>
          <w:tcPr>
            <w:tcW w:type="dxa" w:w="1024"/>
            <w:tcMar>
              <w:top w:type="dxa" w:w="60"/>
              <w:left w:type="dxa" w:w="80"/>
              <w:bottom w:type="dxa" w:w="60"/>
              <w:right w:type="dxa" w:w="80"/>
            </w:tcMar>
            <w:vAlign w:val="top"/>
          </w:tcPr>
          <w:p>
            <w:r>
              <w:rPr>
                <w:b w:val="false"/>
                <w:bCs w:val="false"/>
                <w:color w:val="000000"/>
                <w:sz w:val="16"/>
                <w:szCs w:val="16"/>
              </w:rPr>
              <w:t xml:space="preserve">KMC</w:t>
            </w:r>
          </w:p>
        </w:tc>
      </w:tr>
    </w:tbl>
    <w:p>
      <w:pPr>
        <w:spacing w:after="160"/>
      </w:pPr>
    </w:p>
    <w:p>
      <w:pPr>
        <w:pStyle w:val="Heading1"/>
        <w:pBdr>
          <w:bottom w:val="single" w:color="1F3864" w:sz="6" w:space="4"/>
        </w:pBdr>
        <w:spacing w:after="130" w:before="320"/>
      </w:pPr>
      <w:r>
        <w:t xml:space="preserve">14.3 Architectural and Technical Risks</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717"/>
        <w:gridCol w:w="3072"/>
        <w:gridCol w:w="1126"/>
        <w:gridCol w:w="1126"/>
        <w:gridCol w:w="3174"/>
        <w:gridCol w:w="1024"/>
      </w:tblGrid>
      <w:tr>
        <w:trPr>
          <w:tblHeader/>
        </w:trPr>
        <w:tc>
          <w:tcPr>
            <w:tcW w:type="dxa" w:w="717"/>
            <w:shd w:fill="1F3864" w:val="clear"/>
            <w:tcMar>
              <w:top w:type="dxa" w:w="60"/>
              <w:left w:type="dxa" w:w="80"/>
              <w:bottom w:type="dxa" w:w="60"/>
              <w:right w:type="dxa" w:w="80"/>
            </w:tcMar>
            <w:vAlign w:val="top"/>
          </w:tcPr>
          <w:p>
            <w:r>
              <w:rPr>
                <w:b/>
                <w:bCs/>
                <w:color w:val="FFFFFF"/>
                <w:sz w:val="16"/>
                <w:szCs w:val="16"/>
              </w:rPr>
              <w:t xml:space="preserve">ID</w:t>
            </w:r>
          </w:p>
        </w:tc>
        <w:tc>
          <w:tcPr>
            <w:tcW w:type="dxa" w:w="3072"/>
            <w:shd w:fill="1F3864" w:val="clear"/>
            <w:tcMar>
              <w:top w:type="dxa" w:w="60"/>
              <w:left w:type="dxa" w:w="80"/>
              <w:bottom w:type="dxa" w:w="60"/>
              <w:right w:type="dxa" w:w="80"/>
            </w:tcMar>
            <w:vAlign w:val="top"/>
          </w:tcPr>
          <w:p>
            <w:r>
              <w:rPr>
                <w:b/>
                <w:bCs/>
                <w:color w:val="FFFFFF"/>
                <w:sz w:val="16"/>
                <w:szCs w:val="16"/>
              </w:rPr>
              <w:t xml:space="preserve">Risk</w:t>
            </w:r>
          </w:p>
        </w:tc>
        <w:tc>
          <w:tcPr>
            <w:tcW w:type="dxa" w:w="1126"/>
            <w:shd w:fill="1F3864" w:val="clear"/>
            <w:tcMar>
              <w:top w:type="dxa" w:w="60"/>
              <w:left w:type="dxa" w:w="80"/>
              <w:bottom w:type="dxa" w:w="60"/>
              <w:right w:type="dxa" w:w="80"/>
            </w:tcMar>
            <w:vAlign w:val="top"/>
          </w:tcPr>
          <w:p>
            <w:r>
              <w:rPr>
                <w:b/>
                <w:bCs/>
                <w:color w:val="FFFFFF"/>
                <w:sz w:val="16"/>
                <w:szCs w:val="16"/>
              </w:rPr>
              <w:t xml:space="preserve">Likelihood</w:t>
            </w:r>
          </w:p>
        </w:tc>
        <w:tc>
          <w:tcPr>
            <w:tcW w:type="dxa" w:w="1126"/>
            <w:shd w:fill="1F3864" w:val="clear"/>
            <w:tcMar>
              <w:top w:type="dxa" w:w="60"/>
              <w:left w:type="dxa" w:w="80"/>
              <w:bottom w:type="dxa" w:w="60"/>
              <w:right w:type="dxa" w:w="80"/>
            </w:tcMar>
            <w:vAlign w:val="top"/>
          </w:tcPr>
          <w:p>
            <w:r>
              <w:rPr>
                <w:b/>
                <w:bCs/>
                <w:color w:val="FFFFFF"/>
                <w:sz w:val="16"/>
                <w:szCs w:val="16"/>
              </w:rPr>
              <w:t xml:space="preserve">Impact</w:t>
            </w:r>
          </w:p>
        </w:tc>
        <w:tc>
          <w:tcPr>
            <w:tcW w:type="dxa" w:w="3174"/>
            <w:shd w:fill="1F3864" w:val="clear"/>
            <w:tcMar>
              <w:top w:type="dxa" w:w="60"/>
              <w:left w:type="dxa" w:w="80"/>
              <w:bottom w:type="dxa" w:w="60"/>
              <w:right w:type="dxa" w:w="80"/>
            </w:tcMar>
            <w:vAlign w:val="top"/>
          </w:tcPr>
          <w:p>
            <w:r>
              <w:rPr>
                <w:b/>
                <w:bCs/>
                <w:color w:val="FFFFFF"/>
                <w:sz w:val="16"/>
                <w:szCs w:val="16"/>
              </w:rPr>
              <w:t xml:space="preserve">Mitigation</w:t>
            </w:r>
          </w:p>
        </w:tc>
        <w:tc>
          <w:tcPr>
            <w:tcW w:type="dxa" w:w="1024"/>
            <w:shd w:fill="1F3864" w:val="clear"/>
            <w:tcMar>
              <w:top w:type="dxa" w:w="60"/>
              <w:left w:type="dxa" w:w="80"/>
              <w:bottom w:type="dxa" w:w="60"/>
              <w:right w:type="dxa" w:w="80"/>
            </w:tcMar>
            <w:vAlign w:val="top"/>
          </w:tcPr>
          <w:p>
            <w:r>
              <w:rPr>
                <w:b/>
                <w:bCs/>
                <w:color w:val="FFFFFF"/>
                <w:sz w:val="16"/>
                <w:szCs w:val="16"/>
              </w:rPr>
              <w:t xml:space="preserve">Owner</w:t>
            </w:r>
          </w:p>
        </w:tc>
      </w:tr>
      <w:tr>
        <w:tc>
          <w:tcPr>
            <w:tcW w:type="dxa" w:w="717"/>
            <w:tcMar>
              <w:top w:type="dxa" w:w="60"/>
              <w:left w:type="dxa" w:w="80"/>
              <w:bottom w:type="dxa" w:w="60"/>
              <w:right w:type="dxa" w:w="80"/>
            </w:tcMar>
            <w:vAlign w:val="top"/>
          </w:tcPr>
          <w:p>
            <w:r>
              <w:rPr>
                <w:b/>
                <w:bCs/>
                <w:color w:val="000000"/>
                <w:sz w:val="16"/>
                <w:szCs w:val="16"/>
              </w:rPr>
              <w:t xml:space="preserve">R-03</w:t>
            </w:r>
          </w:p>
        </w:tc>
        <w:tc>
          <w:tcPr>
            <w:tcW w:type="dxa" w:w="3072"/>
            <w:tcMar>
              <w:top w:type="dxa" w:w="60"/>
              <w:left w:type="dxa" w:w="80"/>
              <w:bottom w:type="dxa" w:w="60"/>
              <w:right w:type="dxa" w:w="80"/>
            </w:tcMar>
            <w:vAlign w:val="top"/>
          </w:tcPr>
          <w:p>
            <w:r>
              <w:rPr>
                <w:b w:val="false"/>
                <w:bCs w:val="false"/>
                <w:color w:val="000000"/>
                <w:sz w:val="16"/>
                <w:szCs w:val="16"/>
              </w:rPr>
              <w:t xml:space="preserve">Maintaining two backend frameworks (Laravel and Node.js, Section 10.2) increases long-term maintenance complexity for KM and ICT Units beyond what a single-framework stack would require.</w:t>
            </w:r>
          </w:p>
        </w:tc>
        <w:tc>
          <w:tcPr>
            <w:tcW w:type="dxa" w:w="1126"/>
            <w:tcMar>
              <w:top w:type="dxa" w:w="60"/>
              <w:left w:type="dxa" w:w="80"/>
              <w:bottom w:type="dxa" w:w="60"/>
              <w:right w:type="dxa" w:w="80"/>
            </w:tcMar>
            <w:vAlign w:val="top"/>
          </w:tcPr>
          <w:p>
            <w:r>
              <w:rPr>
                <w:b w:val="false"/>
                <w:bCs w:val="false"/>
                <w:color w:val="000000"/>
                <w:sz w:val="16"/>
                <w:szCs w:val="16"/>
              </w:rPr>
              <w:t xml:space="preserve">Medium</w:t>
            </w:r>
          </w:p>
        </w:tc>
        <w:tc>
          <w:tcPr>
            <w:tcW w:type="dxa" w:w="1126"/>
            <w:tcMar>
              <w:top w:type="dxa" w:w="60"/>
              <w:left w:type="dxa" w:w="80"/>
              <w:bottom w:type="dxa" w:w="60"/>
              <w:right w:type="dxa" w:w="80"/>
            </w:tcMar>
            <w:vAlign w:val="top"/>
          </w:tcPr>
          <w:p>
            <w:r>
              <w:rPr>
                <w:b w:val="false"/>
                <w:bCs w:val="false"/>
                <w:color w:val="000000"/>
                <w:sz w:val="16"/>
                <w:szCs w:val="16"/>
              </w:rPr>
              <w:t xml:space="preserve">Medium</w:t>
            </w:r>
          </w:p>
        </w:tc>
        <w:tc>
          <w:tcPr>
            <w:tcW w:type="dxa" w:w="3174"/>
            <w:tcMar>
              <w:top w:type="dxa" w:w="60"/>
              <w:left w:type="dxa" w:w="80"/>
              <w:bottom w:type="dxa" w:w="60"/>
              <w:right w:type="dxa" w:w="80"/>
            </w:tcMar>
            <w:vAlign w:val="top"/>
          </w:tcPr>
          <w:p>
            <w:r>
              <w:rPr>
                <w:b w:val="false"/>
                <w:bCs w:val="false"/>
                <w:color w:val="000000"/>
                <w:sz w:val="16"/>
                <w:szCs w:val="16"/>
              </w:rPr>
              <w:t xml:space="preserve">The trade-off was accepted deliberately (Section 10.14) because each framework fits its own system's TOR-mandated constraint; documentation and training (Section 11.11) explicitly cover both stacks rather than assuming one is primary.</w:t>
            </w:r>
          </w:p>
        </w:tc>
      </w:tr>
      <w:tr>
        <w:tc>
          <w:tcPr>
            <w:tcW w:type="dxa" w:w="717"/>
            <w:tcMar>
              <w:top w:type="dxa" w:w="60"/>
              <w:left w:type="dxa" w:w="80"/>
              <w:bottom w:type="dxa" w:w="60"/>
              <w:right w:type="dxa" w:w="80"/>
            </w:tcMar>
            <w:vAlign w:val="top"/>
          </w:tcPr>
          <w:p>
            <w:r>
              <w:rPr>
                <w:b/>
                <w:bCs/>
                <w:color w:val="000000"/>
                <w:sz w:val="16"/>
                <w:szCs w:val="16"/>
              </w:rPr>
              <w:t xml:space="preserve">R-04</w:t>
            </w:r>
          </w:p>
        </w:tc>
        <w:tc>
          <w:tcPr>
            <w:tcW w:type="dxa" w:w="3072"/>
            <w:tcMar>
              <w:top w:type="dxa" w:w="60"/>
              <w:left w:type="dxa" w:w="80"/>
              <w:bottom w:type="dxa" w:w="60"/>
              <w:right w:type="dxa" w:w="80"/>
            </w:tcMar>
            <w:vAlign w:val="top"/>
          </w:tcPr>
          <w:p>
            <w:r>
              <w:rPr>
                <w:b w:val="false"/>
                <w:bCs w:val="false"/>
                <w:color w:val="000000"/>
                <w:sz w:val="16"/>
                <w:szCs w:val="16"/>
              </w:rPr>
              <w:t xml:space="preserve">The managed container service (Section 10.6) proves insufficiently flexible if the programme's technical footprint grows faster than the Section 11 roadmap projects.</w:t>
            </w:r>
          </w:p>
        </w:tc>
        <w:tc>
          <w:tcPr>
            <w:tcW w:type="dxa" w:w="1126"/>
            <w:tcMar>
              <w:top w:type="dxa" w:w="60"/>
              <w:left w:type="dxa" w:w="80"/>
              <w:bottom w:type="dxa" w:w="60"/>
              <w:right w:type="dxa" w:w="80"/>
            </w:tcMar>
            <w:vAlign w:val="top"/>
          </w:tcPr>
          <w:p>
            <w:r>
              <w:rPr>
                <w:b w:val="false"/>
                <w:bCs w:val="false"/>
                <w:color w:val="000000"/>
                <w:sz w:val="16"/>
                <w:szCs w:val="16"/>
              </w:rPr>
              <w:t xml:space="preserve">Low</w:t>
            </w:r>
          </w:p>
        </w:tc>
        <w:tc>
          <w:tcPr>
            <w:tcW w:type="dxa" w:w="1126"/>
            <w:tcMar>
              <w:top w:type="dxa" w:w="60"/>
              <w:left w:type="dxa" w:w="80"/>
              <w:bottom w:type="dxa" w:w="60"/>
              <w:right w:type="dxa" w:w="80"/>
            </w:tcMar>
            <w:vAlign w:val="top"/>
          </w:tcPr>
          <w:p>
            <w:r>
              <w:rPr>
                <w:b w:val="false"/>
                <w:bCs w:val="false"/>
                <w:color w:val="000000"/>
                <w:sz w:val="16"/>
                <w:szCs w:val="16"/>
              </w:rPr>
              <w:t xml:space="preserve">Medium</w:t>
            </w:r>
          </w:p>
        </w:tc>
        <w:tc>
          <w:tcPr>
            <w:tcW w:type="dxa" w:w="3174"/>
            <w:tcMar>
              <w:top w:type="dxa" w:w="60"/>
              <w:left w:type="dxa" w:w="80"/>
              <w:bottom w:type="dxa" w:w="60"/>
              <w:right w:type="dxa" w:w="80"/>
            </w:tcMar>
            <w:vAlign w:val="top"/>
          </w:tcPr>
          <w:p>
            <w:r>
              <w:rPr>
                <w:b w:val="false"/>
                <w:bCs w:val="false"/>
                <w:color w:val="000000"/>
                <w:sz w:val="16"/>
                <w:szCs w:val="16"/>
              </w:rPr>
              <w:t xml:space="preserve">The Technology Stack Evaluation (Section 10.6) already names full Kubernetes as the fallback option, to be revisited against actual evidence of scale rather than adopted speculatively now.</w:t>
            </w:r>
          </w:p>
        </w:tc>
      </w:tr>
      <w:tr>
        <w:tc>
          <w:tcPr>
            <w:tcW w:type="dxa" w:w="717"/>
            <w:tcMar>
              <w:top w:type="dxa" w:w="60"/>
              <w:left w:type="dxa" w:w="80"/>
              <w:bottom w:type="dxa" w:w="60"/>
              <w:right w:type="dxa" w:w="80"/>
            </w:tcMar>
            <w:vAlign w:val="top"/>
          </w:tcPr>
          <w:p>
            <w:r>
              <w:rPr>
                <w:b/>
                <w:bCs/>
                <w:color w:val="000000"/>
                <w:sz w:val="16"/>
                <w:szCs w:val="16"/>
              </w:rPr>
              <w:t xml:space="preserve">R-05</w:t>
            </w:r>
          </w:p>
        </w:tc>
        <w:tc>
          <w:tcPr>
            <w:tcW w:type="dxa" w:w="3072"/>
            <w:tcMar>
              <w:top w:type="dxa" w:w="60"/>
              <w:left w:type="dxa" w:w="80"/>
              <w:bottom w:type="dxa" w:w="60"/>
              <w:right w:type="dxa" w:w="80"/>
            </w:tcMar>
            <w:vAlign w:val="top"/>
          </w:tcPr>
          <w:p>
            <w:r>
              <w:rPr>
                <w:b w:val="false"/>
                <w:bCs w:val="false"/>
                <w:color w:val="000000"/>
                <w:sz w:val="16"/>
                <w:szCs w:val="16"/>
              </w:rPr>
              <w:t xml:space="preserve">OpenSearch (Section 10.4) develops a meaningful feature gap against ElasticSearch for a future need not anticipated at evaluation time.</w:t>
            </w:r>
          </w:p>
        </w:tc>
        <w:tc>
          <w:tcPr>
            <w:tcW w:type="dxa" w:w="1126"/>
            <w:tcMar>
              <w:top w:type="dxa" w:w="60"/>
              <w:left w:type="dxa" w:w="80"/>
              <w:bottom w:type="dxa" w:w="60"/>
              <w:right w:type="dxa" w:w="80"/>
            </w:tcMar>
            <w:vAlign w:val="top"/>
          </w:tcPr>
          <w:p>
            <w:r>
              <w:rPr>
                <w:b w:val="false"/>
                <w:bCs w:val="false"/>
                <w:color w:val="000000"/>
                <w:sz w:val="16"/>
                <w:szCs w:val="16"/>
              </w:rPr>
              <w:t xml:space="preserve">Low</w:t>
            </w:r>
          </w:p>
        </w:tc>
        <w:tc>
          <w:tcPr>
            <w:tcW w:type="dxa" w:w="1126"/>
            <w:tcMar>
              <w:top w:type="dxa" w:w="60"/>
              <w:left w:type="dxa" w:w="80"/>
              <w:bottom w:type="dxa" w:w="60"/>
              <w:right w:type="dxa" w:w="80"/>
            </w:tcMar>
            <w:vAlign w:val="top"/>
          </w:tcPr>
          <w:p>
            <w:r>
              <w:rPr>
                <w:b w:val="false"/>
                <w:bCs w:val="false"/>
                <w:color w:val="000000"/>
                <w:sz w:val="16"/>
                <w:szCs w:val="16"/>
              </w:rPr>
              <w:t xml:space="preserve">Low</w:t>
            </w:r>
          </w:p>
        </w:tc>
        <w:tc>
          <w:tcPr>
            <w:tcW w:type="dxa" w:w="3174"/>
            <w:tcMar>
              <w:top w:type="dxa" w:w="60"/>
              <w:left w:type="dxa" w:w="80"/>
              <w:bottom w:type="dxa" w:w="60"/>
              <w:right w:type="dxa" w:w="80"/>
            </w:tcMar>
            <w:vAlign w:val="top"/>
          </w:tcPr>
          <w:p>
            <w:r>
              <w:rPr>
                <w:b w:val="false"/>
                <w:bCs w:val="false"/>
                <w:color w:val="000000"/>
                <w:sz w:val="16"/>
                <w:szCs w:val="16"/>
              </w:rPr>
              <w:t xml:space="preserve">The vendor lock-in mitigation principle (Section 3.1) was weighed against this risk explicitly at evaluation time and judged the better trade-off; OpenSearch's open-source trajectory is monitored as part of routine platform administration (Section 4.5).</w:t>
            </w:r>
          </w:p>
        </w:tc>
      </w:tr>
    </w:tbl>
    <w:p>
      <w:pPr>
        <w:spacing w:after="160"/>
      </w:pPr>
    </w:p>
    <w:p>
      <w:pPr>
        <w:pStyle w:val="Heading1"/>
        <w:pBdr>
          <w:bottom w:val="single" w:color="1F3864" w:sz="6" w:space="4"/>
        </w:pBdr>
        <w:spacing w:after="130" w:before="320"/>
      </w:pPr>
      <w:r>
        <w:t xml:space="preserve">14.4 Data and Information Risks</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717"/>
        <w:gridCol w:w="3072"/>
        <w:gridCol w:w="1126"/>
        <w:gridCol w:w="1126"/>
        <w:gridCol w:w="3174"/>
        <w:gridCol w:w="1024"/>
      </w:tblGrid>
      <w:tr>
        <w:trPr>
          <w:tblHeader/>
        </w:trPr>
        <w:tc>
          <w:tcPr>
            <w:tcW w:type="dxa" w:w="717"/>
            <w:shd w:fill="1F3864" w:val="clear"/>
            <w:tcMar>
              <w:top w:type="dxa" w:w="60"/>
              <w:left w:type="dxa" w:w="80"/>
              <w:bottom w:type="dxa" w:w="60"/>
              <w:right w:type="dxa" w:w="80"/>
            </w:tcMar>
            <w:vAlign w:val="top"/>
          </w:tcPr>
          <w:p>
            <w:r>
              <w:rPr>
                <w:b/>
                <w:bCs/>
                <w:color w:val="FFFFFF"/>
                <w:sz w:val="16"/>
                <w:szCs w:val="16"/>
              </w:rPr>
              <w:t xml:space="preserve">ID</w:t>
            </w:r>
          </w:p>
        </w:tc>
        <w:tc>
          <w:tcPr>
            <w:tcW w:type="dxa" w:w="3072"/>
            <w:shd w:fill="1F3864" w:val="clear"/>
            <w:tcMar>
              <w:top w:type="dxa" w:w="60"/>
              <w:left w:type="dxa" w:w="80"/>
              <w:bottom w:type="dxa" w:w="60"/>
              <w:right w:type="dxa" w:w="80"/>
            </w:tcMar>
            <w:vAlign w:val="top"/>
          </w:tcPr>
          <w:p>
            <w:r>
              <w:rPr>
                <w:b/>
                <w:bCs/>
                <w:color w:val="FFFFFF"/>
                <w:sz w:val="16"/>
                <w:szCs w:val="16"/>
              </w:rPr>
              <w:t xml:space="preserve">Risk</w:t>
            </w:r>
          </w:p>
        </w:tc>
        <w:tc>
          <w:tcPr>
            <w:tcW w:type="dxa" w:w="1126"/>
            <w:shd w:fill="1F3864" w:val="clear"/>
            <w:tcMar>
              <w:top w:type="dxa" w:w="60"/>
              <w:left w:type="dxa" w:w="80"/>
              <w:bottom w:type="dxa" w:w="60"/>
              <w:right w:type="dxa" w:w="80"/>
            </w:tcMar>
            <w:vAlign w:val="top"/>
          </w:tcPr>
          <w:p>
            <w:r>
              <w:rPr>
                <w:b/>
                <w:bCs/>
                <w:color w:val="FFFFFF"/>
                <w:sz w:val="16"/>
                <w:szCs w:val="16"/>
              </w:rPr>
              <w:t xml:space="preserve">Likelihood</w:t>
            </w:r>
          </w:p>
        </w:tc>
        <w:tc>
          <w:tcPr>
            <w:tcW w:type="dxa" w:w="1126"/>
            <w:shd w:fill="1F3864" w:val="clear"/>
            <w:tcMar>
              <w:top w:type="dxa" w:w="60"/>
              <w:left w:type="dxa" w:w="80"/>
              <w:bottom w:type="dxa" w:w="60"/>
              <w:right w:type="dxa" w:w="80"/>
            </w:tcMar>
            <w:vAlign w:val="top"/>
          </w:tcPr>
          <w:p>
            <w:r>
              <w:rPr>
                <w:b/>
                <w:bCs/>
                <w:color w:val="FFFFFF"/>
                <w:sz w:val="16"/>
                <w:szCs w:val="16"/>
              </w:rPr>
              <w:t xml:space="preserve">Impact</w:t>
            </w:r>
          </w:p>
        </w:tc>
        <w:tc>
          <w:tcPr>
            <w:tcW w:type="dxa" w:w="3174"/>
            <w:shd w:fill="1F3864" w:val="clear"/>
            <w:tcMar>
              <w:top w:type="dxa" w:w="60"/>
              <w:left w:type="dxa" w:w="80"/>
              <w:bottom w:type="dxa" w:w="60"/>
              <w:right w:type="dxa" w:w="80"/>
            </w:tcMar>
            <w:vAlign w:val="top"/>
          </w:tcPr>
          <w:p>
            <w:r>
              <w:rPr>
                <w:b/>
                <w:bCs/>
                <w:color w:val="FFFFFF"/>
                <w:sz w:val="16"/>
                <w:szCs w:val="16"/>
              </w:rPr>
              <w:t xml:space="preserve">Mitigation</w:t>
            </w:r>
          </w:p>
        </w:tc>
        <w:tc>
          <w:tcPr>
            <w:tcW w:type="dxa" w:w="1024"/>
            <w:shd w:fill="1F3864" w:val="clear"/>
            <w:tcMar>
              <w:top w:type="dxa" w:w="60"/>
              <w:left w:type="dxa" w:w="80"/>
              <w:bottom w:type="dxa" w:w="60"/>
              <w:right w:type="dxa" w:w="80"/>
            </w:tcMar>
            <w:vAlign w:val="top"/>
          </w:tcPr>
          <w:p>
            <w:r>
              <w:rPr>
                <w:b/>
                <w:bCs/>
                <w:color w:val="FFFFFF"/>
                <w:sz w:val="16"/>
                <w:szCs w:val="16"/>
              </w:rPr>
              <w:t xml:space="preserve">Owner</w:t>
            </w:r>
          </w:p>
        </w:tc>
      </w:tr>
      <w:tr>
        <w:tc>
          <w:tcPr>
            <w:tcW w:type="dxa" w:w="717"/>
            <w:tcMar>
              <w:top w:type="dxa" w:w="60"/>
              <w:left w:type="dxa" w:w="80"/>
              <w:bottom w:type="dxa" w:w="60"/>
              <w:right w:type="dxa" w:w="80"/>
            </w:tcMar>
            <w:vAlign w:val="top"/>
          </w:tcPr>
          <w:p>
            <w:r>
              <w:rPr>
                <w:b/>
                <w:bCs/>
                <w:color w:val="000000"/>
                <w:sz w:val="16"/>
                <w:szCs w:val="16"/>
              </w:rPr>
              <w:t xml:space="preserve">R-06</w:t>
            </w:r>
          </w:p>
        </w:tc>
        <w:tc>
          <w:tcPr>
            <w:tcW w:type="dxa" w:w="3072"/>
            <w:tcMar>
              <w:top w:type="dxa" w:w="60"/>
              <w:left w:type="dxa" w:w="80"/>
              <w:bottom w:type="dxa" w:w="60"/>
              <w:right w:type="dxa" w:w="80"/>
            </w:tcMar>
            <w:vAlign w:val="top"/>
          </w:tcPr>
          <w:p>
            <w:r>
              <w:rPr>
                <w:b w:val="false"/>
                <w:bCs w:val="false"/>
                <w:color w:val="000000"/>
                <w:sz w:val="16"/>
                <w:szCs w:val="16"/>
              </w:rPr>
              <w:t xml:space="preserve">Legacy content migration (Section 6.8) reveals data quality substantially worse than the Weeks 1–2 audit estimated, consistent with the Master Bid &amp; Delivery Strategy's own scenario planning.</w:t>
            </w:r>
          </w:p>
        </w:tc>
        <w:tc>
          <w:tcPr>
            <w:tcW w:type="dxa" w:w="1126"/>
            <w:tcMar>
              <w:top w:type="dxa" w:w="60"/>
              <w:left w:type="dxa" w:w="80"/>
              <w:bottom w:type="dxa" w:w="60"/>
              <w:right w:type="dxa" w:w="80"/>
            </w:tcMar>
            <w:vAlign w:val="top"/>
          </w:tcPr>
          <w:p>
            <w:r>
              <w:rPr>
                <w:b w:val="false"/>
                <w:bCs w:val="false"/>
                <w:color w:val="000000"/>
                <w:sz w:val="16"/>
                <w:szCs w:val="16"/>
              </w:rPr>
              <w:t xml:space="preserve">Medium-High</w:t>
            </w:r>
          </w:p>
        </w:tc>
        <w:tc>
          <w:tcPr>
            <w:tcW w:type="dxa" w:w="1126"/>
            <w:tcMar>
              <w:top w:type="dxa" w:w="60"/>
              <w:left w:type="dxa" w:w="80"/>
              <w:bottom w:type="dxa" w:w="60"/>
              <w:right w:type="dxa" w:w="80"/>
            </w:tcMar>
            <w:vAlign w:val="top"/>
          </w:tcPr>
          <w:p>
            <w:r>
              <w:rPr>
                <w:b w:val="false"/>
                <w:bCs w:val="false"/>
                <w:color w:val="000000"/>
                <w:sz w:val="16"/>
                <w:szCs w:val="16"/>
              </w:rPr>
              <w:t xml:space="preserve">High</w:t>
            </w:r>
          </w:p>
        </w:tc>
        <w:tc>
          <w:tcPr>
            <w:tcW w:type="dxa" w:w="3174"/>
            <w:tcMar>
              <w:top w:type="dxa" w:w="60"/>
              <w:left w:type="dxa" w:w="80"/>
              <w:bottom w:type="dxa" w:w="60"/>
              <w:right w:type="dxa" w:w="80"/>
            </w:tcMar>
            <w:vAlign w:val="top"/>
          </w:tcPr>
          <w:p>
            <w:r>
              <w:rPr>
                <w:b w:val="false"/>
                <w:bCs w:val="false"/>
                <w:color w:val="000000"/>
                <w:sz w:val="16"/>
                <w:szCs w:val="16"/>
              </w:rPr>
              <w:t xml:space="preserve">Prioritized-subset migration scope (Section 3.2 MoSCoW) absorbs quality variance without threatening the Must Have commitment; Migration Stage 4 validation (Section 6.8) catches quality issues before legacy retirement.</w:t>
            </w:r>
          </w:p>
        </w:tc>
      </w:tr>
      <w:tr>
        <w:tc>
          <w:tcPr>
            <w:tcW w:type="dxa" w:w="717"/>
            <w:tcMar>
              <w:top w:type="dxa" w:w="60"/>
              <w:left w:type="dxa" w:w="80"/>
              <w:bottom w:type="dxa" w:w="60"/>
              <w:right w:type="dxa" w:w="80"/>
            </w:tcMar>
            <w:vAlign w:val="top"/>
          </w:tcPr>
          <w:p>
            <w:r>
              <w:rPr>
                <w:b/>
                <w:bCs/>
                <w:color w:val="000000"/>
                <w:sz w:val="16"/>
                <w:szCs w:val="16"/>
              </w:rPr>
              <w:t xml:space="preserve">R-07</w:t>
            </w:r>
          </w:p>
        </w:tc>
        <w:tc>
          <w:tcPr>
            <w:tcW w:type="dxa" w:w="3072"/>
            <w:tcMar>
              <w:top w:type="dxa" w:w="60"/>
              <w:left w:type="dxa" w:w="80"/>
              <w:bottom w:type="dxa" w:w="60"/>
              <w:right w:type="dxa" w:w="80"/>
            </w:tcMar>
            <w:vAlign w:val="top"/>
          </w:tcPr>
          <w:p>
            <w:r>
              <w:rPr>
                <w:b w:val="false"/>
                <w:bCs w:val="false"/>
                <w:color w:val="000000"/>
                <w:sz w:val="16"/>
                <w:szCs w:val="16"/>
              </w:rPr>
              <w:t xml:space="preserve">The shared taxonomy (Section 5.5) is applied inconsistently across seven states and the FCT during early capture, before classification discipline matures.</w:t>
            </w:r>
          </w:p>
        </w:tc>
        <w:tc>
          <w:tcPr>
            <w:tcW w:type="dxa" w:w="1126"/>
            <w:tcMar>
              <w:top w:type="dxa" w:w="60"/>
              <w:left w:type="dxa" w:w="80"/>
              <w:bottom w:type="dxa" w:w="60"/>
              <w:right w:type="dxa" w:w="80"/>
            </w:tcMar>
            <w:vAlign w:val="top"/>
          </w:tcPr>
          <w:p>
            <w:r>
              <w:rPr>
                <w:b w:val="false"/>
                <w:bCs w:val="false"/>
                <w:color w:val="000000"/>
                <w:sz w:val="16"/>
                <w:szCs w:val="16"/>
              </w:rPr>
              <w:t xml:space="preserve">Medium</w:t>
            </w:r>
          </w:p>
        </w:tc>
        <w:tc>
          <w:tcPr>
            <w:tcW w:type="dxa" w:w="1126"/>
            <w:tcMar>
              <w:top w:type="dxa" w:w="60"/>
              <w:left w:type="dxa" w:w="80"/>
              <w:bottom w:type="dxa" w:w="60"/>
              <w:right w:type="dxa" w:w="80"/>
            </w:tcMar>
            <w:vAlign w:val="top"/>
          </w:tcPr>
          <w:p>
            <w:r>
              <w:rPr>
                <w:b w:val="false"/>
                <w:bCs w:val="false"/>
                <w:color w:val="000000"/>
                <w:sz w:val="16"/>
                <w:szCs w:val="16"/>
              </w:rPr>
              <w:t xml:space="preserve">Medium</w:t>
            </w:r>
          </w:p>
        </w:tc>
        <w:tc>
          <w:tcPr>
            <w:tcW w:type="dxa" w:w="3174"/>
            <w:tcMar>
              <w:top w:type="dxa" w:w="60"/>
              <w:left w:type="dxa" w:w="80"/>
              <w:bottom w:type="dxa" w:w="60"/>
              <w:right w:type="dxa" w:w="80"/>
            </w:tcMar>
            <w:vAlign w:val="top"/>
          </w:tcPr>
          <w:p>
            <w:r>
              <w:rPr>
                <w:b w:val="false"/>
                <w:bCs w:val="false"/>
                <w:color w:val="000000"/>
                <w:sz w:val="16"/>
                <w:szCs w:val="16"/>
              </w:rPr>
              <w:t xml:space="preserve">Mandatory metadata fields block submission until populated (Section 6.6); steward and editorial review validate classification before publication or approval (Section 5.7); periodic sampling audits classification accuracy.</w:t>
            </w:r>
          </w:p>
        </w:tc>
      </w:tr>
      <w:tr>
        <w:tc>
          <w:tcPr>
            <w:tcW w:type="dxa" w:w="717"/>
            <w:tcMar>
              <w:top w:type="dxa" w:w="60"/>
              <w:left w:type="dxa" w:w="80"/>
              <w:bottom w:type="dxa" w:w="60"/>
              <w:right w:type="dxa" w:w="80"/>
            </w:tcMar>
            <w:vAlign w:val="top"/>
          </w:tcPr>
          <w:p>
            <w:r>
              <w:rPr>
                <w:b/>
                <w:bCs/>
                <w:color w:val="000000"/>
                <w:sz w:val="16"/>
                <w:szCs w:val="16"/>
              </w:rPr>
              <w:t xml:space="preserve">R-08</w:t>
            </w:r>
          </w:p>
        </w:tc>
        <w:tc>
          <w:tcPr>
            <w:tcW w:type="dxa" w:w="3072"/>
            <w:tcMar>
              <w:top w:type="dxa" w:w="60"/>
              <w:left w:type="dxa" w:w="80"/>
              <w:bottom w:type="dxa" w:w="60"/>
              <w:right w:type="dxa" w:w="80"/>
            </w:tcMar>
            <w:vAlign w:val="top"/>
          </w:tcPr>
          <w:p>
            <w:r>
              <w:rPr>
                <w:b w:val="false"/>
                <w:bCs w:val="false"/>
                <w:color w:val="000000"/>
                <w:sz w:val="16"/>
                <w:szCs w:val="16"/>
              </w:rPr>
              <w:t xml:space="preserve">Personal data is inadvertently published to the public CKR before the redaction check (Section 6.11) is consistently applied by all editorial reviewers.</w:t>
            </w:r>
          </w:p>
        </w:tc>
        <w:tc>
          <w:tcPr>
            <w:tcW w:type="dxa" w:w="1126"/>
            <w:tcMar>
              <w:top w:type="dxa" w:w="60"/>
              <w:left w:type="dxa" w:w="80"/>
              <w:bottom w:type="dxa" w:w="60"/>
              <w:right w:type="dxa" w:w="80"/>
            </w:tcMar>
            <w:vAlign w:val="top"/>
          </w:tcPr>
          <w:p>
            <w:r>
              <w:rPr>
                <w:b w:val="false"/>
                <w:bCs w:val="false"/>
                <w:color w:val="000000"/>
                <w:sz w:val="16"/>
                <w:szCs w:val="16"/>
              </w:rPr>
              <w:t xml:space="preserve">Low</w:t>
            </w:r>
          </w:p>
        </w:tc>
        <w:tc>
          <w:tcPr>
            <w:tcW w:type="dxa" w:w="1126"/>
            <w:tcMar>
              <w:top w:type="dxa" w:w="60"/>
              <w:left w:type="dxa" w:w="80"/>
              <w:bottom w:type="dxa" w:w="60"/>
              <w:right w:type="dxa" w:w="80"/>
            </w:tcMar>
            <w:vAlign w:val="top"/>
          </w:tcPr>
          <w:p>
            <w:r>
              <w:rPr>
                <w:b w:val="false"/>
                <w:bCs w:val="false"/>
                <w:color w:val="000000"/>
                <w:sz w:val="16"/>
                <w:szCs w:val="16"/>
              </w:rPr>
              <w:t xml:space="preserve">High</w:t>
            </w:r>
          </w:p>
        </w:tc>
        <w:tc>
          <w:tcPr>
            <w:tcW w:type="dxa" w:w="3174"/>
            <w:tcMar>
              <w:top w:type="dxa" w:w="60"/>
              <w:left w:type="dxa" w:w="80"/>
              <w:bottom w:type="dxa" w:w="60"/>
              <w:right w:type="dxa" w:w="80"/>
            </w:tcMar>
            <w:vAlign w:val="top"/>
          </w:tcPr>
          <w:p>
            <w:r>
              <w:rPr>
                <w:b w:val="false"/>
                <w:bCs w:val="false"/>
                <w:color w:val="000000"/>
                <w:sz w:val="16"/>
                <w:szCs w:val="16"/>
              </w:rPr>
              <w:t xml:space="preserve">Editorial review explicitly includes the redaction check as a named workflow step (Section 5.7), not an optional judgment call; NDPR compliance training is part of the progressive Training module rollout (Section 4.6).</w:t>
            </w:r>
          </w:p>
        </w:tc>
      </w:tr>
    </w:tbl>
    <w:p>
      <w:pPr>
        <w:spacing w:after="160"/>
      </w:pPr>
    </w:p>
    <w:p>
      <w:pPr>
        <w:pStyle w:val="Heading1"/>
        <w:pBdr>
          <w:bottom w:val="single" w:color="1F3864" w:sz="6" w:space="4"/>
        </w:pBdr>
        <w:spacing w:after="130" w:before="320"/>
      </w:pPr>
      <w:r>
        <w:t xml:space="preserve">14.5 Security Risks</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717"/>
        <w:gridCol w:w="3072"/>
        <w:gridCol w:w="1126"/>
        <w:gridCol w:w="1126"/>
        <w:gridCol w:w="3174"/>
        <w:gridCol w:w="1024"/>
      </w:tblGrid>
      <w:tr>
        <w:trPr>
          <w:tblHeader/>
        </w:trPr>
        <w:tc>
          <w:tcPr>
            <w:tcW w:type="dxa" w:w="717"/>
            <w:shd w:fill="1F3864" w:val="clear"/>
            <w:tcMar>
              <w:top w:type="dxa" w:w="60"/>
              <w:left w:type="dxa" w:w="80"/>
              <w:bottom w:type="dxa" w:w="60"/>
              <w:right w:type="dxa" w:w="80"/>
            </w:tcMar>
            <w:vAlign w:val="top"/>
          </w:tcPr>
          <w:p>
            <w:r>
              <w:rPr>
                <w:b/>
                <w:bCs/>
                <w:color w:val="FFFFFF"/>
                <w:sz w:val="16"/>
                <w:szCs w:val="16"/>
              </w:rPr>
              <w:t xml:space="preserve">ID</w:t>
            </w:r>
          </w:p>
        </w:tc>
        <w:tc>
          <w:tcPr>
            <w:tcW w:type="dxa" w:w="3072"/>
            <w:shd w:fill="1F3864" w:val="clear"/>
            <w:tcMar>
              <w:top w:type="dxa" w:w="60"/>
              <w:left w:type="dxa" w:w="80"/>
              <w:bottom w:type="dxa" w:w="60"/>
              <w:right w:type="dxa" w:w="80"/>
            </w:tcMar>
            <w:vAlign w:val="top"/>
          </w:tcPr>
          <w:p>
            <w:r>
              <w:rPr>
                <w:b/>
                <w:bCs/>
                <w:color w:val="FFFFFF"/>
                <w:sz w:val="16"/>
                <w:szCs w:val="16"/>
              </w:rPr>
              <w:t xml:space="preserve">Risk</w:t>
            </w:r>
          </w:p>
        </w:tc>
        <w:tc>
          <w:tcPr>
            <w:tcW w:type="dxa" w:w="1126"/>
            <w:shd w:fill="1F3864" w:val="clear"/>
            <w:tcMar>
              <w:top w:type="dxa" w:w="60"/>
              <w:left w:type="dxa" w:w="80"/>
              <w:bottom w:type="dxa" w:w="60"/>
              <w:right w:type="dxa" w:w="80"/>
            </w:tcMar>
            <w:vAlign w:val="top"/>
          </w:tcPr>
          <w:p>
            <w:r>
              <w:rPr>
                <w:b/>
                <w:bCs/>
                <w:color w:val="FFFFFF"/>
                <w:sz w:val="16"/>
                <w:szCs w:val="16"/>
              </w:rPr>
              <w:t xml:space="preserve">Likelihood</w:t>
            </w:r>
          </w:p>
        </w:tc>
        <w:tc>
          <w:tcPr>
            <w:tcW w:type="dxa" w:w="1126"/>
            <w:shd w:fill="1F3864" w:val="clear"/>
            <w:tcMar>
              <w:top w:type="dxa" w:w="60"/>
              <w:left w:type="dxa" w:w="80"/>
              <w:bottom w:type="dxa" w:w="60"/>
              <w:right w:type="dxa" w:w="80"/>
            </w:tcMar>
            <w:vAlign w:val="top"/>
          </w:tcPr>
          <w:p>
            <w:r>
              <w:rPr>
                <w:b/>
                <w:bCs/>
                <w:color w:val="FFFFFF"/>
                <w:sz w:val="16"/>
                <w:szCs w:val="16"/>
              </w:rPr>
              <w:t xml:space="preserve">Impact</w:t>
            </w:r>
          </w:p>
        </w:tc>
        <w:tc>
          <w:tcPr>
            <w:tcW w:type="dxa" w:w="3174"/>
            <w:shd w:fill="1F3864" w:val="clear"/>
            <w:tcMar>
              <w:top w:type="dxa" w:w="60"/>
              <w:left w:type="dxa" w:w="80"/>
              <w:bottom w:type="dxa" w:w="60"/>
              <w:right w:type="dxa" w:w="80"/>
            </w:tcMar>
            <w:vAlign w:val="top"/>
          </w:tcPr>
          <w:p>
            <w:r>
              <w:rPr>
                <w:b/>
                <w:bCs/>
                <w:color w:val="FFFFFF"/>
                <w:sz w:val="16"/>
                <w:szCs w:val="16"/>
              </w:rPr>
              <w:t xml:space="preserve">Mitigation</w:t>
            </w:r>
          </w:p>
        </w:tc>
        <w:tc>
          <w:tcPr>
            <w:tcW w:type="dxa" w:w="1024"/>
            <w:shd w:fill="1F3864" w:val="clear"/>
            <w:tcMar>
              <w:top w:type="dxa" w:w="60"/>
              <w:left w:type="dxa" w:w="80"/>
              <w:bottom w:type="dxa" w:w="60"/>
              <w:right w:type="dxa" w:w="80"/>
            </w:tcMar>
            <w:vAlign w:val="top"/>
          </w:tcPr>
          <w:p>
            <w:r>
              <w:rPr>
                <w:b/>
                <w:bCs/>
                <w:color w:val="FFFFFF"/>
                <w:sz w:val="16"/>
                <w:szCs w:val="16"/>
              </w:rPr>
              <w:t xml:space="preserve">Owner</w:t>
            </w:r>
          </w:p>
        </w:tc>
      </w:tr>
      <w:tr>
        <w:tc>
          <w:tcPr>
            <w:tcW w:type="dxa" w:w="717"/>
            <w:tcMar>
              <w:top w:type="dxa" w:w="60"/>
              <w:left w:type="dxa" w:w="80"/>
              <w:bottom w:type="dxa" w:w="60"/>
              <w:right w:type="dxa" w:w="80"/>
            </w:tcMar>
            <w:vAlign w:val="top"/>
          </w:tcPr>
          <w:p>
            <w:r>
              <w:rPr>
                <w:b/>
                <w:bCs/>
                <w:color w:val="000000"/>
                <w:sz w:val="16"/>
                <w:szCs w:val="16"/>
              </w:rPr>
              <w:t xml:space="preserve">R-09</w:t>
            </w:r>
          </w:p>
        </w:tc>
        <w:tc>
          <w:tcPr>
            <w:tcW w:type="dxa" w:w="3072"/>
            <w:tcMar>
              <w:top w:type="dxa" w:w="60"/>
              <w:left w:type="dxa" w:w="80"/>
              <w:bottom w:type="dxa" w:w="60"/>
              <w:right w:type="dxa" w:w="80"/>
            </w:tcMar>
            <w:vAlign w:val="top"/>
          </w:tcPr>
          <w:p>
            <w:r>
              <w:rPr>
                <w:b w:val="false"/>
                <w:bCs w:val="false"/>
                <w:color w:val="000000"/>
                <w:sz w:val="16"/>
                <w:szCs w:val="16"/>
              </w:rPr>
              <w:t xml:space="preserve">Credential compromise via phishing targeting state-level users with lower digital-security exposure, per the threat model (Section 8.6).</w:t>
            </w:r>
          </w:p>
        </w:tc>
        <w:tc>
          <w:tcPr>
            <w:tcW w:type="dxa" w:w="1126"/>
            <w:tcMar>
              <w:top w:type="dxa" w:w="60"/>
              <w:left w:type="dxa" w:w="80"/>
              <w:bottom w:type="dxa" w:w="60"/>
              <w:right w:type="dxa" w:w="80"/>
            </w:tcMar>
            <w:vAlign w:val="top"/>
          </w:tcPr>
          <w:p>
            <w:r>
              <w:rPr>
                <w:b w:val="false"/>
                <w:bCs w:val="false"/>
                <w:color w:val="000000"/>
                <w:sz w:val="16"/>
                <w:szCs w:val="16"/>
              </w:rPr>
              <w:t xml:space="preserve">Medium</w:t>
            </w:r>
          </w:p>
        </w:tc>
        <w:tc>
          <w:tcPr>
            <w:tcW w:type="dxa" w:w="1126"/>
            <w:tcMar>
              <w:top w:type="dxa" w:w="60"/>
              <w:left w:type="dxa" w:w="80"/>
              <w:bottom w:type="dxa" w:w="60"/>
              <w:right w:type="dxa" w:w="80"/>
            </w:tcMar>
            <w:vAlign w:val="top"/>
          </w:tcPr>
          <w:p>
            <w:r>
              <w:rPr>
                <w:b w:val="false"/>
                <w:bCs w:val="false"/>
                <w:color w:val="000000"/>
                <w:sz w:val="16"/>
                <w:szCs w:val="16"/>
              </w:rPr>
              <w:t xml:space="preserve">High</w:t>
            </w:r>
          </w:p>
        </w:tc>
        <w:tc>
          <w:tcPr>
            <w:tcW w:type="dxa" w:w="3174"/>
            <w:tcMar>
              <w:top w:type="dxa" w:w="60"/>
              <w:left w:type="dxa" w:w="80"/>
              <w:bottom w:type="dxa" w:w="60"/>
              <w:right w:type="dxa" w:w="80"/>
            </w:tcMar>
            <w:vAlign w:val="top"/>
          </w:tcPr>
          <w:p>
            <w:r>
              <w:rPr>
                <w:b w:val="false"/>
                <w:bCs w:val="false"/>
                <w:color w:val="000000"/>
                <w:sz w:val="16"/>
                <w:szCs w:val="16"/>
              </w:rPr>
              <w:t xml:space="preserve">Mandatory MFA for privileged roles (Section 8.3); progressive security-awareness training (Section 8.13) delivered alongside each build phase, not compressed into Week 12.</w:t>
            </w:r>
          </w:p>
        </w:tc>
      </w:tr>
      <w:tr>
        <w:tc>
          <w:tcPr>
            <w:tcW w:type="dxa" w:w="717"/>
            <w:tcMar>
              <w:top w:type="dxa" w:w="60"/>
              <w:left w:type="dxa" w:w="80"/>
              <w:bottom w:type="dxa" w:w="60"/>
              <w:right w:type="dxa" w:w="80"/>
            </w:tcMar>
            <w:vAlign w:val="top"/>
          </w:tcPr>
          <w:p>
            <w:r>
              <w:rPr>
                <w:b/>
                <w:bCs/>
                <w:color w:val="000000"/>
                <w:sz w:val="16"/>
                <w:szCs w:val="16"/>
              </w:rPr>
              <w:t xml:space="preserve">R-10</w:t>
            </w:r>
          </w:p>
        </w:tc>
        <w:tc>
          <w:tcPr>
            <w:tcW w:type="dxa" w:w="3072"/>
            <w:tcMar>
              <w:top w:type="dxa" w:w="60"/>
              <w:left w:type="dxa" w:w="80"/>
              <w:bottom w:type="dxa" w:w="60"/>
              <w:right w:type="dxa" w:w="80"/>
            </w:tcMar>
            <w:vAlign w:val="top"/>
          </w:tcPr>
          <w:p>
            <w:r>
              <w:rPr>
                <w:b w:val="false"/>
                <w:bCs w:val="false"/>
                <w:color w:val="000000"/>
                <w:sz w:val="16"/>
                <w:szCs w:val="16"/>
              </w:rPr>
              <w:t xml:space="preserve">An over-privileged account goes undetected between quarterly access reviews (Section 8.13), enabling an insider threat.</w:t>
            </w:r>
          </w:p>
        </w:tc>
        <w:tc>
          <w:tcPr>
            <w:tcW w:type="dxa" w:w="1126"/>
            <w:tcMar>
              <w:top w:type="dxa" w:w="60"/>
              <w:left w:type="dxa" w:w="80"/>
              <w:bottom w:type="dxa" w:w="60"/>
              <w:right w:type="dxa" w:w="80"/>
            </w:tcMar>
            <w:vAlign w:val="top"/>
          </w:tcPr>
          <w:p>
            <w:r>
              <w:rPr>
                <w:b w:val="false"/>
                <w:bCs w:val="false"/>
                <w:color w:val="000000"/>
                <w:sz w:val="16"/>
                <w:szCs w:val="16"/>
              </w:rPr>
              <w:t xml:space="preserve">Low</w:t>
            </w:r>
          </w:p>
        </w:tc>
        <w:tc>
          <w:tcPr>
            <w:tcW w:type="dxa" w:w="1126"/>
            <w:tcMar>
              <w:top w:type="dxa" w:w="60"/>
              <w:left w:type="dxa" w:w="80"/>
              <w:bottom w:type="dxa" w:w="60"/>
              <w:right w:type="dxa" w:w="80"/>
            </w:tcMar>
            <w:vAlign w:val="top"/>
          </w:tcPr>
          <w:p>
            <w:r>
              <w:rPr>
                <w:b w:val="false"/>
                <w:bCs w:val="false"/>
                <w:color w:val="000000"/>
                <w:sz w:val="16"/>
                <w:szCs w:val="16"/>
              </w:rPr>
              <w:t xml:space="preserve">High</w:t>
            </w:r>
          </w:p>
        </w:tc>
        <w:tc>
          <w:tcPr>
            <w:tcW w:type="dxa" w:w="3174"/>
            <w:tcMar>
              <w:top w:type="dxa" w:w="60"/>
              <w:left w:type="dxa" w:w="80"/>
              <w:bottom w:type="dxa" w:w="60"/>
              <w:right w:type="dxa" w:w="80"/>
            </w:tcMar>
            <w:vAlign w:val="top"/>
          </w:tcPr>
          <w:p>
            <w:r>
              <w:rPr>
                <w:b w:val="false"/>
                <w:bCs w:val="false"/>
                <w:color w:val="000000"/>
                <w:sz w:val="16"/>
                <w:szCs w:val="16"/>
              </w:rPr>
              <w:t xml:space="preserve">Least Privilege principle applied at role design (Section 8.1); Audit module logs every access event (Section 8.8), enabling detection between formal review cycles.</w:t>
            </w:r>
          </w:p>
        </w:tc>
      </w:tr>
      <w:tr>
        <w:tc>
          <w:tcPr>
            <w:tcW w:type="dxa" w:w="717"/>
            <w:tcMar>
              <w:top w:type="dxa" w:w="60"/>
              <w:left w:type="dxa" w:w="80"/>
              <w:bottom w:type="dxa" w:w="60"/>
              <w:right w:type="dxa" w:w="80"/>
            </w:tcMar>
            <w:vAlign w:val="top"/>
          </w:tcPr>
          <w:p>
            <w:r>
              <w:rPr>
                <w:b/>
                <w:bCs/>
                <w:color w:val="000000"/>
                <w:sz w:val="16"/>
                <w:szCs w:val="16"/>
              </w:rPr>
              <w:t xml:space="preserve">R-11</w:t>
            </w:r>
          </w:p>
        </w:tc>
        <w:tc>
          <w:tcPr>
            <w:tcW w:type="dxa" w:w="3072"/>
            <w:tcMar>
              <w:top w:type="dxa" w:w="60"/>
              <w:left w:type="dxa" w:w="80"/>
              <w:bottom w:type="dxa" w:w="60"/>
              <w:right w:type="dxa" w:w="80"/>
            </w:tcMar>
            <w:vAlign w:val="top"/>
          </w:tcPr>
          <w:p>
            <w:r>
              <w:rPr>
                <w:b w:val="false"/>
                <w:bCs w:val="false"/>
                <w:color w:val="000000"/>
                <w:sz w:val="16"/>
                <w:szCs w:val="16"/>
              </w:rPr>
              <w:t xml:space="preserve">The public CKR experiences a denial-of-service event during a high-visibility programme milestone or donor supervision mission.</w:t>
            </w:r>
          </w:p>
        </w:tc>
        <w:tc>
          <w:tcPr>
            <w:tcW w:type="dxa" w:w="1126"/>
            <w:tcMar>
              <w:top w:type="dxa" w:w="60"/>
              <w:left w:type="dxa" w:w="80"/>
              <w:bottom w:type="dxa" w:w="60"/>
              <w:right w:type="dxa" w:w="80"/>
            </w:tcMar>
            <w:vAlign w:val="top"/>
          </w:tcPr>
          <w:p>
            <w:r>
              <w:rPr>
                <w:b w:val="false"/>
                <w:bCs w:val="false"/>
                <w:color w:val="000000"/>
                <w:sz w:val="16"/>
                <w:szCs w:val="16"/>
              </w:rPr>
              <w:t xml:space="preserve">Low</w:t>
            </w:r>
          </w:p>
        </w:tc>
        <w:tc>
          <w:tcPr>
            <w:tcW w:type="dxa" w:w="1126"/>
            <w:tcMar>
              <w:top w:type="dxa" w:w="60"/>
              <w:left w:type="dxa" w:w="80"/>
              <w:bottom w:type="dxa" w:w="60"/>
              <w:right w:type="dxa" w:w="80"/>
            </w:tcMar>
            <w:vAlign w:val="top"/>
          </w:tcPr>
          <w:p>
            <w:r>
              <w:rPr>
                <w:b w:val="false"/>
                <w:bCs w:val="false"/>
                <w:color w:val="000000"/>
                <w:sz w:val="16"/>
                <w:szCs w:val="16"/>
              </w:rPr>
              <w:t xml:space="preserve">Medium</w:t>
            </w:r>
          </w:p>
        </w:tc>
        <w:tc>
          <w:tcPr>
            <w:tcW w:type="dxa" w:w="3174"/>
            <w:tcMar>
              <w:top w:type="dxa" w:w="60"/>
              <w:left w:type="dxa" w:w="80"/>
              <w:bottom w:type="dxa" w:w="60"/>
              <w:right w:type="dxa" w:w="80"/>
            </w:tcMar>
            <w:vAlign w:val="top"/>
          </w:tcPr>
          <w:p>
            <w:r>
              <w:rPr>
                <w:b w:val="false"/>
                <w:bCs w:val="false"/>
                <w:color w:val="000000"/>
                <w:sz w:val="16"/>
                <w:szCs w:val="16"/>
              </w:rPr>
              <w:t xml:space="preserve">Rate limiting at the Integration &amp; API Gateway (Section 7.5); cloud-first managed infrastructure (Section 1.7) with elastic capacity absorbs volumetric spikes.</w:t>
            </w:r>
          </w:p>
        </w:tc>
      </w:tr>
    </w:tbl>
    <w:p>
      <w:pPr>
        <w:spacing w:after="160"/>
      </w:pPr>
    </w:p>
    <w:p>
      <w:pPr>
        <w:pStyle w:val="Heading1"/>
        <w:pBdr>
          <w:bottom w:val="single" w:color="1F3864" w:sz="6" w:space="4"/>
        </w:pBdr>
        <w:spacing w:after="130" w:before="320"/>
      </w:pPr>
      <w:r>
        <w:t xml:space="preserve">14.6 Integration Risks</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717"/>
        <w:gridCol w:w="3072"/>
        <w:gridCol w:w="1126"/>
        <w:gridCol w:w="1126"/>
        <w:gridCol w:w="3174"/>
        <w:gridCol w:w="1024"/>
      </w:tblGrid>
      <w:tr>
        <w:trPr>
          <w:tblHeader/>
        </w:trPr>
        <w:tc>
          <w:tcPr>
            <w:tcW w:type="dxa" w:w="717"/>
            <w:shd w:fill="1F3864" w:val="clear"/>
            <w:tcMar>
              <w:top w:type="dxa" w:w="60"/>
              <w:left w:type="dxa" w:w="80"/>
              <w:bottom w:type="dxa" w:w="60"/>
              <w:right w:type="dxa" w:w="80"/>
            </w:tcMar>
            <w:vAlign w:val="top"/>
          </w:tcPr>
          <w:p>
            <w:r>
              <w:rPr>
                <w:b/>
                <w:bCs/>
                <w:color w:val="FFFFFF"/>
                <w:sz w:val="16"/>
                <w:szCs w:val="16"/>
              </w:rPr>
              <w:t xml:space="preserve">ID</w:t>
            </w:r>
          </w:p>
        </w:tc>
        <w:tc>
          <w:tcPr>
            <w:tcW w:type="dxa" w:w="3072"/>
            <w:shd w:fill="1F3864" w:val="clear"/>
            <w:tcMar>
              <w:top w:type="dxa" w:w="60"/>
              <w:left w:type="dxa" w:w="80"/>
              <w:bottom w:type="dxa" w:w="60"/>
              <w:right w:type="dxa" w:w="80"/>
            </w:tcMar>
            <w:vAlign w:val="top"/>
          </w:tcPr>
          <w:p>
            <w:r>
              <w:rPr>
                <w:b/>
                <w:bCs/>
                <w:color w:val="FFFFFF"/>
                <w:sz w:val="16"/>
                <w:szCs w:val="16"/>
              </w:rPr>
              <w:t xml:space="preserve">Risk</w:t>
            </w:r>
          </w:p>
        </w:tc>
        <w:tc>
          <w:tcPr>
            <w:tcW w:type="dxa" w:w="1126"/>
            <w:shd w:fill="1F3864" w:val="clear"/>
            <w:tcMar>
              <w:top w:type="dxa" w:w="60"/>
              <w:left w:type="dxa" w:w="80"/>
              <w:bottom w:type="dxa" w:w="60"/>
              <w:right w:type="dxa" w:w="80"/>
            </w:tcMar>
            <w:vAlign w:val="top"/>
          </w:tcPr>
          <w:p>
            <w:r>
              <w:rPr>
                <w:b/>
                <w:bCs/>
                <w:color w:val="FFFFFF"/>
                <w:sz w:val="16"/>
                <w:szCs w:val="16"/>
              </w:rPr>
              <w:t xml:space="preserve">Likelihood</w:t>
            </w:r>
          </w:p>
        </w:tc>
        <w:tc>
          <w:tcPr>
            <w:tcW w:type="dxa" w:w="1126"/>
            <w:shd w:fill="1F3864" w:val="clear"/>
            <w:tcMar>
              <w:top w:type="dxa" w:w="60"/>
              <w:left w:type="dxa" w:w="80"/>
              <w:bottom w:type="dxa" w:w="60"/>
              <w:right w:type="dxa" w:w="80"/>
            </w:tcMar>
            <w:vAlign w:val="top"/>
          </w:tcPr>
          <w:p>
            <w:r>
              <w:rPr>
                <w:b/>
                <w:bCs/>
                <w:color w:val="FFFFFF"/>
                <w:sz w:val="16"/>
                <w:szCs w:val="16"/>
              </w:rPr>
              <w:t xml:space="preserve">Impact</w:t>
            </w:r>
          </w:p>
        </w:tc>
        <w:tc>
          <w:tcPr>
            <w:tcW w:type="dxa" w:w="3174"/>
            <w:shd w:fill="1F3864" w:val="clear"/>
            <w:tcMar>
              <w:top w:type="dxa" w:w="60"/>
              <w:left w:type="dxa" w:w="80"/>
              <w:bottom w:type="dxa" w:w="60"/>
              <w:right w:type="dxa" w:w="80"/>
            </w:tcMar>
            <w:vAlign w:val="top"/>
          </w:tcPr>
          <w:p>
            <w:r>
              <w:rPr>
                <w:b/>
                <w:bCs/>
                <w:color w:val="FFFFFF"/>
                <w:sz w:val="16"/>
                <w:szCs w:val="16"/>
              </w:rPr>
              <w:t xml:space="preserve">Mitigation</w:t>
            </w:r>
          </w:p>
        </w:tc>
        <w:tc>
          <w:tcPr>
            <w:tcW w:type="dxa" w:w="1024"/>
            <w:shd w:fill="1F3864" w:val="clear"/>
            <w:tcMar>
              <w:top w:type="dxa" w:w="60"/>
              <w:left w:type="dxa" w:w="80"/>
              <w:bottom w:type="dxa" w:w="60"/>
              <w:right w:type="dxa" w:w="80"/>
            </w:tcMar>
            <w:vAlign w:val="top"/>
          </w:tcPr>
          <w:p>
            <w:r>
              <w:rPr>
                <w:b/>
                <w:bCs/>
                <w:color w:val="FFFFFF"/>
                <w:sz w:val="16"/>
                <w:szCs w:val="16"/>
              </w:rPr>
              <w:t xml:space="preserve">Owner</w:t>
            </w:r>
          </w:p>
        </w:tc>
      </w:tr>
      <w:tr>
        <w:tc>
          <w:tcPr>
            <w:tcW w:type="dxa" w:w="717"/>
            <w:tcMar>
              <w:top w:type="dxa" w:w="60"/>
              <w:left w:type="dxa" w:w="80"/>
              <w:bottom w:type="dxa" w:w="60"/>
              <w:right w:type="dxa" w:w="80"/>
            </w:tcMar>
            <w:vAlign w:val="top"/>
          </w:tcPr>
          <w:p>
            <w:r>
              <w:rPr>
                <w:b/>
                <w:bCs/>
                <w:color w:val="000000"/>
                <w:sz w:val="16"/>
                <w:szCs w:val="16"/>
              </w:rPr>
              <w:t xml:space="preserve">R-12</w:t>
            </w:r>
          </w:p>
        </w:tc>
        <w:tc>
          <w:tcPr>
            <w:tcW w:type="dxa" w:w="3072"/>
            <w:tcMar>
              <w:top w:type="dxa" w:w="60"/>
              <w:left w:type="dxa" w:w="80"/>
              <w:bottom w:type="dxa" w:w="60"/>
              <w:right w:type="dxa" w:w="80"/>
            </w:tcMar>
            <w:vAlign w:val="top"/>
          </w:tcPr>
          <w:p>
            <w:r>
              <w:rPr>
                <w:b w:val="false"/>
                <w:bCs w:val="false"/>
                <w:color w:val="000000"/>
                <w:sz w:val="16"/>
                <w:szCs w:val="16"/>
              </w:rPr>
              <w:t xml:space="preserve">The SAPZ Public Website integration (Section 7.3, profile #1) breaks due to an undocumented, website-side change outside this engagement's control.</w:t>
            </w:r>
          </w:p>
        </w:tc>
        <w:tc>
          <w:tcPr>
            <w:tcW w:type="dxa" w:w="1126"/>
            <w:tcMar>
              <w:top w:type="dxa" w:w="60"/>
              <w:left w:type="dxa" w:w="80"/>
              <w:bottom w:type="dxa" w:w="60"/>
              <w:right w:type="dxa" w:w="80"/>
            </w:tcMar>
            <w:vAlign w:val="top"/>
          </w:tcPr>
          <w:p>
            <w:r>
              <w:rPr>
                <w:b w:val="false"/>
                <w:bCs w:val="false"/>
                <w:color w:val="000000"/>
                <w:sz w:val="16"/>
                <w:szCs w:val="16"/>
              </w:rPr>
              <w:t xml:space="preserve">Medium</w:t>
            </w:r>
          </w:p>
        </w:tc>
        <w:tc>
          <w:tcPr>
            <w:tcW w:type="dxa" w:w="1126"/>
            <w:tcMar>
              <w:top w:type="dxa" w:w="60"/>
              <w:left w:type="dxa" w:w="80"/>
              <w:bottom w:type="dxa" w:w="60"/>
              <w:right w:type="dxa" w:w="80"/>
            </w:tcMar>
            <w:vAlign w:val="top"/>
          </w:tcPr>
          <w:p>
            <w:r>
              <w:rPr>
                <w:b w:val="false"/>
                <w:bCs w:val="false"/>
                <w:color w:val="000000"/>
                <w:sz w:val="16"/>
                <w:szCs w:val="16"/>
              </w:rPr>
              <w:t xml:space="preserve">Medium</w:t>
            </w:r>
          </w:p>
        </w:tc>
        <w:tc>
          <w:tcPr>
            <w:tcW w:type="dxa" w:w="3174"/>
            <w:tcMar>
              <w:top w:type="dxa" w:w="60"/>
              <w:left w:type="dxa" w:w="80"/>
              <w:bottom w:type="dxa" w:w="60"/>
              <w:right w:type="dxa" w:w="80"/>
            </w:tcMar>
            <w:vAlign w:val="top"/>
          </w:tcPr>
          <w:p>
            <w:r>
              <w:rPr>
                <w:b w:val="false"/>
                <w:bCs w:val="false"/>
                <w:color w:val="000000"/>
                <w:sz w:val="16"/>
                <w:szCs w:val="16"/>
              </w:rPr>
              <w:t xml:space="preserve">The interface contract (Section 7.6) is versioned and documented; the integration degrades gracefully (Section 3.4) rather than failing CKR's own operation if the website side is unavailable.</w:t>
            </w:r>
          </w:p>
        </w:tc>
      </w:tr>
      <w:tr>
        <w:tc>
          <w:tcPr>
            <w:tcW w:type="dxa" w:w="717"/>
            <w:tcMar>
              <w:top w:type="dxa" w:w="60"/>
              <w:left w:type="dxa" w:w="80"/>
              <w:bottom w:type="dxa" w:w="60"/>
              <w:right w:type="dxa" w:w="80"/>
            </w:tcMar>
            <w:vAlign w:val="top"/>
          </w:tcPr>
          <w:p>
            <w:r>
              <w:rPr>
                <w:b/>
                <w:bCs/>
                <w:color w:val="000000"/>
                <w:sz w:val="16"/>
                <w:szCs w:val="16"/>
              </w:rPr>
              <w:t xml:space="preserve">R-13</w:t>
            </w:r>
          </w:p>
        </w:tc>
        <w:tc>
          <w:tcPr>
            <w:tcW w:type="dxa" w:w="3072"/>
            <w:tcMar>
              <w:top w:type="dxa" w:w="60"/>
              <w:left w:type="dxa" w:w="80"/>
              <w:bottom w:type="dxa" w:w="60"/>
              <w:right w:type="dxa" w:w="80"/>
            </w:tcMar>
            <w:vAlign w:val="top"/>
          </w:tcPr>
          <w:p>
            <w:r>
              <w:rPr>
                <w:b w:val="false"/>
                <w:bCs w:val="false"/>
                <w:color w:val="000000"/>
                <w:sz w:val="16"/>
                <w:szCs w:val="16"/>
              </w:rPr>
              <w:t xml:space="preserve">Future ERP, MIS, or M&amp;E system integration assumptions (Section 7.4, profile #11) prove incorrect once a specific system is actually identified.</w:t>
            </w:r>
          </w:p>
        </w:tc>
        <w:tc>
          <w:tcPr>
            <w:tcW w:type="dxa" w:w="1126"/>
            <w:tcMar>
              <w:top w:type="dxa" w:w="60"/>
              <w:left w:type="dxa" w:w="80"/>
              <w:bottom w:type="dxa" w:w="60"/>
              <w:right w:type="dxa" w:w="80"/>
            </w:tcMar>
            <w:vAlign w:val="top"/>
          </w:tcPr>
          <w:p>
            <w:r>
              <w:rPr>
                <w:b w:val="false"/>
                <w:bCs w:val="false"/>
                <w:color w:val="000000"/>
                <w:sz w:val="16"/>
                <w:szCs w:val="16"/>
              </w:rPr>
              <w:t xml:space="preserve">Medium</w:t>
            </w:r>
          </w:p>
        </w:tc>
        <w:tc>
          <w:tcPr>
            <w:tcW w:type="dxa" w:w="1126"/>
            <w:tcMar>
              <w:top w:type="dxa" w:w="60"/>
              <w:left w:type="dxa" w:w="80"/>
              <w:bottom w:type="dxa" w:w="60"/>
              <w:right w:type="dxa" w:w="80"/>
            </w:tcMar>
            <w:vAlign w:val="top"/>
          </w:tcPr>
          <w:p>
            <w:r>
              <w:rPr>
                <w:b w:val="false"/>
                <w:bCs w:val="false"/>
                <w:color w:val="000000"/>
                <w:sz w:val="16"/>
                <w:szCs w:val="16"/>
              </w:rPr>
              <w:t xml:space="preserve">Low</w:t>
            </w:r>
          </w:p>
        </w:tc>
        <w:tc>
          <w:tcPr>
            <w:tcW w:type="dxa" w:w="3174"/>
            <w:tcMar>
              <w:top w:type="dxa" w:w="60"/>
              <w:left w:type="dxa" w:w="80"/>
              <w:bottom w:type="dxa" w:w="60"/>
              <w:right w:type="dxa" w:w="80"/>
            </w:tcMar>
            <w:vAlign w:val="top"/>
          </w:tcPr>
          <w:p>
            <w:r>
              <w:rPr>
                <w:b w:val="false"/>
                <w:bCs w:val="false"/>
                <w:color w:val="000000"/>
                <w:sz w:val="16"/>
                <w:szCs w:val="16"/>
              </w:rPr>
              <w:t xml:space="preserve">No integration design work is performed speculatively ahead of a named system; the placeholder is explicitly scoped as Could Have / Phase 2 (Section 3.2), avoiding wasted design effort against an unknown target.</w:t>
            </w:r>
          </w:p>
        </w:tc>
      </w:tr>
    </w:tbl>
    <w:p>
      <w:pPr>
        <w:spacing w:after="160"/>
      </w:pPr>
    </w:p>
    <w:p>
      <w:pPr>
        <w:pStyle w:val="Heading1"/>
        <w:pBdr>
          <w:bottom w:val="single" w:color="1F3864" w:sz="6" w:space="4"/>
        </w:pBdr>
        <w:spacing w:after="130" w:before="320"/>
      </w:pPr>
      <w:r>
        <w:t xml:space="preserve">14.7 Operational and Sustainability Risks</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717"/>
        <w:gridCol w:w="3072"/>
        <w:gridCol w:w="1126"/>
        <w:gridCol w:w="1126"/>
        <w:gridCol w:w="3174"/>
        <w:gridCol w:w="1024"/>
      </w:tblGrid>
      <w:tr>
        <w:trPr>
          <w:tblHeader/>
        </w:trPr>
        <w:tc>
          <w:tcPr>
            <w:tcW w:type="dxa" w:w="717"/>
            <w:shd w:fill="1F3864" w:val="clear"/>
            <w:tcMar>
              <w:top w:type="dxa" w:w="60"/>
              <w:left w:type="dxa" w:w="80"/>
              <w:bottom w:type="dxa" w:w="60"/>
              <w:right w:type="dxa" w:w="80"/>
            </w:tcMar>
            <w:vAlign w:val="top"/>
          </w:tcPr>
          <w:p>
            <w:r>
              <w:rPr>
                <w:b/>
                <w:bCs/>
                <w:color w:val="FFFFFF"/>
                <w:sz w:val="16"/>
                <w:szCs w:val="16"/>
              </w:rPr>
              <w:t xml:space="preserve">ID</w:t>
            </w:r>
          </w:p>
        </w:tc>
        <w:tc>
          <w:tcPr>
            <w:tcW w:type="dxa" w:w="3072"/>
            <w:shd w:fill="1F3864" w:val="clear"/>
            <w:tcMar>
              <w:top w:type="dxa" w:w="60"/>
              <w:left w:type="dxa" w:w="80"/>
              <w:bottom w:type="dxa" w:w="60"/>
              <w:right w:type="dxa" w:w="80"/>
            </w:tcMar>
            <w:vAlign w:val="top"/>
          </w:tcPr>
          <w:p>
            <w:r>
              <w:rPr>
                <w:b/>
                <w:bCs/>
                <w:color w:val="FFFFFF"/>
                <w:sz w:val="16"/>
                <w:szCs w:val="16"/>
              </w:rPr>
              <w:t xml:space="preserve">Risk</w:t>
            </w:r>
          </w:p>
        </w:tc>
        <w:tc>
          <w:tcPr>
            <w:tcW w:type="dxa" w:w="1126"/>
            <w:shd w:fill="1F3864" w:val="clear"/>
            <w:tcMar>
              <w:top w:type="dxa" w:w="60"/>
              <w:left w:type="dxa" w:w="80"/>
              <w:bottom w:type="dxa" w:w="60"/>
              <w:right w:type="dxa" w:w="80"/>
            </w:tcMar>
            <w:vAlign w:val="top"/>
          </w:tcPr>
          <w:p>
            <w:r>
              <w:rPr>
                <w:b/>
                <w:bCs/>
                <w:color w:val="FFFFFF"/>
                <w:sz w:val="16"/>
                <w:szCs w:val="16"/>
              </w:rPr>
              <w:t xml:space="preserve">Likelihood</w:t>
            </w:r>
          </w:p>
        </w:tc>
        <w:tc>
          <w:tcPr>
            <w:tcW w:type="dxa" w:w="1126"/>
            <w:shd w:fill="1F3864" w:val="clear"/>
            <w:tcMar>
              <w:top w:type="dxa" w:w="60"/>
              <w:left w:type="dxa" w:w="80"/>
              <w:bottom w:type="dxa" w:w="60"/>
              <w:right w:type="dxa" w:w="80"/>
            </w:tcMar>
            <w:vAlign w:val="top"/>
          </w:tcPr>
          <w:p>
            <w:r>
              <w:rPr>
                <w:b/>
                <w:bCs/>
                <w:color w:val="FFFFFF"/>
                <w:sz w:val="16"/>
                <w:szCs w:val="16"/>
              </w:rPr>
              <w:t xml:space="preserve">Impact</w:t>
            </w:r>
          </w:p>
        </w:tc>
        <w:tc>
          <w:tcPr>
            <w:tcW w:type="dxa" w:w="3174"/>
            <w:shd w:fill="1F3864" w:val="clear"/>
            <w:tcMar>
              <w:top w:type="dxa" w:w="60"/>
              <w:left w:type="dxa" w:w="80"/>
              <w:bottom w:type="dxa" w:w="60"/>
              <w:right w:type="dxa" w:w="80"/>
            </w:tcMar>
            <w:vAlign w:val="top"/>
          </w:tcPr>
          <w:p>
            <w:r>
              <w:rPr>
                <w:b/>
                <w:bCs/>
                <w:color w:val="FFFFFF"/>
                <w:sz w:val="16"/>
                <w:szCs w:val="16"/>
              </w:rPr>
              <w:t xml:space="preserve">Mitigation</w:t>
            </w:r>
          </w:p>
        </w:tc>
        <w:tc>
          <w:tcPr>
            <w:tcW w:type="dxa" w:w="1024"/>
            <w:shd w:fill="1F3864" w:val="clear"/>
            <w:tcMar>
              <w:top w:type="dxa" w:w="60"/>
              <w:left w:type="dxa" w:w="80"/>
              <w:bottom w:type="dxa" w:w="60"/>
              <w:right w:type="dxa" w:w="80"/>
            </w:tcMar>
            <w:vAlign w:val="top"/>
          </w:tcPr>
          <w:p>
            <w:r>
              <w:rPr>
                <w:b/>
                <w:bCs/>
                <w:color w:val="FFFFFF"/>
                <w:sz w:val="16"/>
                <w:szCs w:val="16"/>
              </w:rPr>
              <w:t xml:space="preserve">Owner</w:t>
            </w:r>
          </w:p>
        </w:tc>
      </w:tr>
      <w:tr>
        <w:tc>
          <w:tcPr>
            <w:tcW w:type="dxa" w:w="717"/>
            <w:tcMar>
              <w:top w:type="dxa" w:w="60"/>
              <w:left w:type="dxa" w:w="80"/>
              <w:bottom w:type="dxa" w:w="60"/>
              <w:right w:type="dxa" w:w="80"/>
            </w:tcMar>
            <w:vAlign w:val="top"/>
          </w:tcPr>
          <w:p>
            <w:r>
              <w:rPr>
                <w:b/>
                <w:bCs/>
                <w:color w:val="000000"/>
                <w:sz w:val="16"/>
                <w:szCs w:val="16"/>
              </w:rPr>
              <w:t xml:space="preserve">R-14</w:t>
            </w:r>
          </w:p>
        </w:tc>
        <w:tc>
          <w:tcPr>
            <w:tcW w:type="dxa" w:w="3072"/>
            <w:tcMar>
              <w:top w:type="dxa" w:w="60"/>
              <w:left w:type="dxa" w:w="80"/>
              <w:bottom w:type="dxa" w:w="60"/>
              <w:right w:type="dxa" w:w="80"/>
            </w:tcMar>
            <w:vAlign w:val="top"/>
          </w:tcPr>
          <w:p>
            <w:r>
              <w:rPr>
                <w:b w:val="false"/>
                <w:bCs w:val="false"/>
                <w:color w:val="000000"/>
                <w:sz w:val="16"/>
                <w:szCs w:val="16"/>
              </w:rPr>
              <w:t xml:space="preserve">KM and ICT Units do not reach Level 3 maturity within the 12-month target (Section 11.10), prolonging informal dependency on the consultant beyond the documented handover boundary.</w:t>
            </w:r>
          </w:p>
        </w:tc>
        <w:tc>
          <w:tcPr>
            <w:tcW w:type="dxa" w:w="1126"/>
            <w:tcMar>
              <w:top w:type="dxa" w:w="60"/>
              <w:left w:type="dxa" w:w="80"/>
              <w:bottom w:type="dxa" w:w="60"/>
              <w:right w:type="dxa" w:w="80"/>
            </w:tcMar>
            <w:vAlign w:val="top"/>
          </w:tcPr>
          <w:p>
            <w:r>
              <w:rPr>
                <w:b w:val="false"/>
                <w:bCs w:val="false"/>
                <w:color w:val="000000"/>
                <w:sz w:val="16"/>
                <w:szCs w:val="16"/>
              </w:rPr>
              <w:t xml:space="preserve">Medium</w:t>
            </w:r>
          </w:p>
        </w:tc>
        <w:tc>
          <w:tcPr>
            <w:tcW w:type="dxa" w:w="1126"/>
            <w:tcMar>
              <w:top w:type="dxa" w:w="60"/>
              <w:left w:type="dxa" w:w="80"/>
              <w:bottom w:type="dxa" w:w="60"/>
              <w:right w:type="dxa" w:w="80"/>
            </w:tcMar>
            <w:vAlign w:val="top"/>
          </w:tcPr>
          <w:p>
            <w:r>
              <w:rPr>
                <w:b w:val="false"/>
                <w:bCs w:val="false"/>
                <w:color w:val="000000"/>
                <w:sz w:val="16"/>
                <w:szCs w:val="16"/>
              </w:rPr>
              <w:t xml:space="preserve">Medium</w:t>
            </w:r>
          </w:p>
        </w:tc>
        <w:tc>
          <w:tcPr>
            <w:tcW w:type="dxa" w:w="3174"/>
            <w:tcMar>
              <w:top w:type="dxa" w:w="60"/>
              <w:left w:type="dxa" w:w="80"/>
              <w:bottom w:type="dxa" w:w="60"/>
              <w:right w:type="dxa" w:w="80"/>
            </w:tcMar>
            <w:vAlign w:val="top"/>
          </w:tcPr>
          <w:p>
            <w:r>
              <w:rPr>
                <w:b w:val="false"/>
                <w:bCs w:val="false"/>
                <w:color w:val="000000"/>
                <w:sz w:val="16"/>
                <w:szCs w:val="16"/>
              </w:rPr>
              <w:t xml:space="preserve">Three-checkpoint capacity-building tracking (Section 11.10); training-of-trainers model transfers capability progressively rather than at a single Week 12 event; the Won't Have boundary (Section 3.2) is stated explicitly to both parties from the outset.</w:t>
            </w:r>
          </w:p>
        </w:tc>
      </w:tr>
      <w:tr>
        <w:tc>
          <w:tcPr>
            <w:tcW w:type="dxa" w:w="717"/>
            <w:tcMar>
              <w:top w:type="dxa" w:w="60"/>
              <w:left w:type="dxa" w:w="80"/>
              <w:bottom w:type="dxa" w:w="60"/>
              <w:right w:type="dxa" w:w="80"/>
            </w:tcMar>
            <w:vAlign w:val="top"/>
          </w:tcPr>
          <w:p>
            <w:r>
              <w:rPr>
                <w:b/>
                <w:bCs/>
                <w:color w:val="000000"/>
                <w:sz w:val="16"/>
                <w:szCs w:val="16"/>
              </w:rPr>
              <w:t xml:space="preserve">R-15</w:t>
            </w:r>
          </w:p>
        </w:tc>
        <w:tc>
          <w:tcPr>
            <w:tcW w:type="dxa" w:w="3072"/>
            <w:tcMar>
              <w:top w:type="dxa" w:w="60"/>
              <w:left w:type="dxa" w:w="80"/>
              <w:bottom w:type="dxa" w:w="60"/>
              <w:right w:type="dxa" w:w="80"/>
            </w:tcMar>
            <w:vAlign w:val="top"/>
          </w:tcPr>
          <w:p>
            <w:r>
              <w:rPr>
                <w:b w:val="false"/>
                <w:bCs w:val="false"/>
                <w:color w:val="000000"/>
                <w:sz w:val="16"/>
                <w:szCs w:val="16"/>
              </w:rPr>
              <w:t xml:space="preserve">Key-person risk: the named consultant becomes unavailable (illness, competing commitment) mid-engagement, with no subcontracted specialist covering the affected work.</w:t>
            </w:r>
          </w:p>
        </w:tc>
        <w:tc>
          <w:tcPr>
            <w:tcW w:type="dxa" w:w="1126"/>
            <w:tcMar>
              <w:top w:type="dxa" w:w="60"/>
              <w:left w:type="dxa" w:w="80"/>
              <w:bottom w:type="dxa" w:w="60"/>
              <w:right w:type="dxa" w:w="80"/>
            </w:tcMar>
            <w:vAlign w:val="top"/>
          </w:tcPr>
          <w:p>
            <w:r>
              <w:rPr>
                <w:b w:val="false"/>
                <w:bCs w:val="false"/>
                <w:color w:val="000000"/>
                <w:sz w:val="16"/>
                <w:szCs w:val="16"/>
              </w:rPr>
              <w:t xml:space="preserve">Low</w:t>
            </w:r>
          </w:p>
        </w:tc>
        <w:tc>
          <w:tcPr>
            <w:tcW w:type="dxa" w:w="1126"/>
            <w:tcMar>
              <w:top w:type="dxa" w:w="60"/>
              <w:left w:type="dxa" w:w="80"/>
              <w:bottom w:type="dxa" w:w="60"/>
              <w:right w:type="dxa" w:w="80"/>
            </w:tcMar>
            <w:vAlign w:val="top"/>
          </w:tcPr>
          <w:p>
            <w:r>
              <w:rPr>
                <w:b w:val="false"/>
                <w:bCs w:val="false"/>
                <w:color w:val="000000"/>
                <w:sz w:val="16"/>
                <w:szCs w:val="16"/>
              </w:rPr>
              <w:t xml:space="preserve">High</w:t>
            </w:r>
          </w:p>
        </w:tc>
        <w:tc>
          <w:tcPr>
            <w:tcW w:type="dxa" w:w="3174"/>
            <w:tcMar>
              <w:top w:type="dxa" w:w="60"/>
              <w:left w:type="dxa" w:w="80"/>
              <w:bottom w:type="dxa" w:w="60"/>
              <w:right w:type="dxa" w:w="80"/>
            </w:tcMar>
            <w:vAlign w:val="top"/>
          </w:tcPr>
          <w:p>
            <w:r>
              <w:rPr>
                <w:b w:val="false"/>
                <w:bCs w:val="false"/>
                <w:color w:val="000000"/>
                <w:sz w:val="16"/>
                <w:szCs w:val="16"/>
              </w:rPr>
              <w:t xml:space="preserve">Bounded, named specialist support for specific work packages (Section 13.6); comprehensive architecture and configuration documentation (Section 11.12) reduces reliance on undocumented individual knowledge.</w:t>
            </w:r>
          </w:p>
        </w:tc>
      </w:tr>
    </w:tbl>
    <w:p>
      <w:pPr>
        <w:spacing w:after="160"/>
      </w:pPr>
    </w:p>
    <w:p>
      <w:pPr>
        <w:pStyle w:val="Heading1"/>
        <w:pBdr>
          <w:bottom w:val="single" w:color="1F3864" w:sz="6" w:space="4"/>
        </w:pBdr>
        <w:spacing w:after="130" w:before="320"/>
      </w:pPr>
      <w:r>
        <w:t xml:space="preserve">14.8 Governance Risks</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717"/>
        <w:gridCol w:w="3072"/>
        <w:gridCol w:w="1126"/>
        <w:gridCol w:w="1126"/>
        <w:gridCol w:w="3174"/>
        <w:gridCol w:w="1024"/>
      </w:tblGrid>
      <w:tr>
        <w:trPr>
          <w:tblHeader/>
        </w:trPr>
        <w:tc>
          <w:tcPr>
            <w:tcW w:type="dxa" w:w="717"/>
            <w:shd w:fill="1F3864" w:val="clear"/>
            <w:tcMar>
              <w:top w:type="dxa" w:w="60"/>
              <w:left w:type="dxa" w:w="80"/>
              <w:bottom w:type="dxa" w:w="60"/>
              <w:right w:type="dxa" w:w="80"/>
            </w:tcMar>
            <w:vAlign w:val="top"/>
          </w:tcPr>
          <w:p>
            <w:r>
              <w:rPr>
                <w:b/>
                <w:bCs/>
                <w:color w:val="FFFFFF"/>
                <w:sz w:val="16"/>
                <w:szCs w:val="16"/>
              </w:rPr>
              <w:t xml:space="preserve">ID</w:t>
            </w:r>
          </w:p>
        </w:tc>
        <w:tc>
          <w:tcPr>
            <w:tcW w:type="dxa" w:w="3072"/>
            <w:shd w:fill="1F3864" w:val="clear"/>
            <w:tcMar>
              <w:top w:type="dxa" w:w="60"/>
              <w:left w:type="dxa" w:w="80"/>
              <w:bottom w:type="dxa" w:w="60"/>
              <w:right w:type="dxa" w:w="80"/>
            </w:tcMar>
            <w:vAlign w:val="top"/>
          </w:tcPr>
          <w:p>
            <w:r>
              <w:rPr>
                <w:b/>
                <w:bCs/>
                <w:color w:val="FFFFFF"/>
                <w:sz w:val="16"/>
                <w:szCs w:val="16"/>
              </w:rPr>
              <w:t xml:space="preserve">Risk</w:t>
            </w:r>
          </w:p>
        </w:tc>
        <w:tc>
          <w:tcPr>
            <w:tcW w:type="dxa" w:w="1126"/>
            <w:shd w:fill="1F3864" w:val="clear"/>
            <w:tcMar>
              <w:top w:type="dxa" w:w="60"/>
              <w:left w:type="dxa" w:w="80"/>
              <w:bottom w:type="dxa" w:w="60"/>
              <w:right w:type="dxa" w:w="80"/>
            </w:tcMar>
            <w:vAlign w:val="top"/>
          </w:tcPr>
          <w:p>
            <w:r>
              <w:rPr>
                <w:b/>
                <w:bCs/>
                <w:color w:val="FFFFFF"/>
                <w:sz w:val="16"/>
                <w:szCs w:val="16"/>
              </w:rPr>
              <w:t xml:space="preserve">Likelihood</w:t>
            </w:r>
          </w:p>
        </w:tc>
        <w:tc>
          <w:tcPr>
            <w:tcW w:type="dxa" w:w="1126"/>
            <w:shd w:fill="1F3864" w:val="clear"/>
            <w:tcMar>
              <w:top w:type="dxa" w:w="60"/>
              <w:left w:type="dxa" w:w="80"/>
              <w:bottom w:type="dxa" w:w="60"/>
              <w:right w:type="dxa" w:w="80"/>
            </w:tcMar>
            <w:vAlign w:val="top"/>
          </w:tcPr>
          <w:p>
            <w:r>
              <w:rPr>
                <w:b/>
                <w:bCs/>
                <w:color w:val="FFFFFF"/>
                <w:sz w:val="16"/>
                <w:szCs w:val="16"/>
              </w:rPr>
              <w:t xml:space="preserve">Impact</w:t>
            </w:r>
          </w:p>
        </w:tc>
        <w:tc>
          <w:tcPr>
            <w:tcW w:type="dxa" w:w="3174"/>
            <w:shd w:fill="1F3864" w:val="clear"/>
            <w:tcMar>
              <w:top w:type="dxa" w:w="60"/>
              <w:left w:type="dxa" w:w="80"/>
              <w:bottom w:type="dxa" w:w="60"/>
              <w:right w:type="dxa" w:w="80"/>
            </w:tcMar>
            <w:vAlign w:val="top"/>
          </w:tcPr>
          <w:p>
            <w:r>
              <w:rPr>
                <w:b/>
                <w:bCs/>
                <w:color w:val="FFFFFF"/>
                <w:sz w:val="16"/>
                <w:szCs w:val="16"/>
              </w:rPr>
              <w:t xml:space="preserve">Mitigation</w:t>
            </w:r>
          </w:p>
        </w:tc>
        <w:tc>
          <w:tcPr>
            <w:tcW w:type="dxa" w:w="1024"/>
            <w:shd w:fill="1F3864" w:val="clear"/>
            <w:tcMar>
              <w:top w:type="dxa" w:w="60"/>
              <w:left w:type="dxa" w:w="80"/>
              <w:bottom w:type="dxa" w:w="60"/>
              <w:right w:type="dxa" w:w="80"/>
            </w:tcMar>
            <w:vAlign w:val="top"/>
          </w:tcPr>
          <w:p>
            <w:r>
              <w:rPr>
                <w:b/>
                <w:bCs/>
                <w:color w:val="FFFFFF"/>
                <w:sz w:val="16"/>
                <w:szCs w:val="16"/>
              </w:rPr>
              <w:t xml:space="preserve">Owner</w:t>
            </w:r>
          </w:p>
        </w:tc>
      </w:tr>
      <w:tr>
        <w:tc>
          <w:tcPr>
            <w:tcW w:type="dxa" w:w="717"/>
            <w:tcMar>
              <w:top w:type="dxa" w:w="60"/>
              <w:left w:type="dxa" w:w="80"/>
              <w:bottom w:type="dxa" w:w="60"/>
              <w:right w:type="dxa" w:w="80"/>
            </w:tcMar>
            <w:vAlign w:val="top"/>
          </w:tcPr>
          <w:p>
            <w:r>
              <w:rPr>
                <w:b/>
                <w:bCs/>
                <w:color w:val="000000"/>
                <w:sz w:val="16"/>
                <w:szCs w:val="16"/>
              </w:rPr>
              <w:t xml:space="preserve">R-16</w:t>
            </w:r>
          </w:p>
        </w:tc>
        <w:tc>
          <w:tcPr>
            <w:tcW w:type="dxa" w:w="3072"/>
            <w:tcMar>
              <w:top w:type="dxa" w:w="60"/>
              <w:left w:type="dxa" w:w="80"/>
              <w:bottom w:type="dxa" w:w="60"/>
              <w:right w:type="dxa" w:w="80"/>
            </w:tcMar>
            <w:vAlign w:val="top"/>
          </w:tcPr>
          <w:p>
            <w:r>
              <w:rPr>
                <w:b w:val="false"/>
                <w:bCs w:val="false"/>
                <w:color w:val="000000"/>
                <w:sz w:val="16"/>
                <w:szCs w:val="16"/>
              </w:rPr>
              <w:t xml:space="preserve">The Governance Charter (Section 2.10) is signed at Inception but not actively enforced once post-handover attention moves elsewhere, allowing fragmentation to quietly re-emerge.</w:t>
            </w:r>
          </w:p>
        </w:tc>
        <w:tc>
          <w:tcPr>
            <w:tcW w:type="dxa" w:w="1126"/>
            <w:tcMar>
              <w:top w:type="dxa" w:w="60"/>
              <w:left w:type="dxa" w:w="80"/>
              <w:bottom w:type="dxa" w:w="60"/>
              <w:right w:type="dxa" w:w="80"/>
            </w:tcMar>
            <w:vAlign w:val="top"/>
          </w:tcPr>
          <w:p>
            <w:r>
              <w:rPr>
                <w:b w:val="false"/>
                <w:bCs w:val="false"/>
                <w:color w:val="000000"/>
                <w:sz w:val="16"/>
                <w:szCs w:val="16"/>
              </w:rPr>
              <w:t xml:space="preserve">Medium</w:t>
            </w:r>
          </w:p>
        </w:tc>
        <w:tc>
          <w:tcPr>
            <w:tcW w:type="dxa" w:w="1126"/>
            <w:tcMar>
              <w:top w:type="dxa" w:w="60"/>
              <w:left w:type="dxa" w:w="80"/>
              <w:bottom w:type="dxa" w:w="60"/>
              <w:right w:type="dxa" w:w="80"/>
            </w:tcMar>
            <w:vAlign w:val="top"/>
          </w:tcPr>
          <w:p>
            <w:r>
              <w:rPr>
                <w:b w:val="false"/>
                <w:bCs w:val="false"/>
                <w:color w:val="000000"/>
                <w:sz w:val="16"/>
                <w:szCs w:val="16"/>
              </w:rPr>
              <w:t xml:space="preserve">High</w:t>
            </w:r>
          </w:p>
        </w:tc>
        <w:tc>
          <w:tcPr>
            <w:tcW w:type="dxa" w:w="3174"/>
            <w:tcMar>
              <w:top w:type="dxa" w:w="60"/>
              <w:left w:type="dxa" w:w="80"/>
              <w:bottom w:type="dxa" w:w="60"/>
              <w:right w:type="dxa" w:w="80"/>
            </w:tcMar>
            <w:vAlign w:val="top"/>
          </w:tcPr>
          <w:p>
            <w:r>
              <w:rPr>
                <w:b w:val="false"/>
                <w:bCs w:val="false"/>
                <w:color w:val="000000"/>
                <w:sz w:val="16"/>
                <w:szCs w:val="16"/>
              </w:rPr>
              <w:t xml:space="preserve">Annual Governance Charter renewal review (Section 12.8) and the Enterprise Architecture Review Board's ongoing mandate (Section 12.6) give the Charter a recurring enforcement checkpoint, not a one-time signature.</w:t>
            </w:r>
          </w:p>
        </w:tc>
      </w:tr>
      <w:tr>
        <w:tc>
          <w:tcPr>
            <w:tcW w:type="dxa" w:w="717"/>
            <w:tcMar>
              <w:top w:type="dxa" w:w="60"/>
              <w:left w:type="dxa" w:w="80"/>
              <w:bottom w:type="dxa" w:w="60"/>
              <w:right w:type="dxa" w:w="80"/>
            </w:tcMar>
            <w:vAlign w:val="top"/>
          </w:tcPr>
          <w:p>
            <w:r>
              <w:rPr>
                <w:b/>
                <w:bCs/>
                <w:color w:val="000000"/>
                <w:sz w:val="16"/>
                <w:szCs w:val="16"/>
              </w:rPr>
              <w:t xml:space="preserve">R-17</w:t>
            </w:r>
          </w:p>
        </w:tc>
        <w:tc>
          <w:tcPr>
            <w:tcW w:type="dxa" w:w="3072"/>
            <w:tcMar>
              <w:top w:type="dxa" w:w="60"/>
              <w:left w:type="dxa" w:w="80"/>
              <w:bottom w:type="dxa" w:w="60"/>
              <w:right w:type="dxa" w:w="80"/>
            </w:tcMar>
            <w:vAlign w:val="top"/>
          </w:tcPr>
          <w:p>
            <w:r>
              <w:rPr>
                <w:b w:val="false"/>
                <w:bCs w:val="false"/>
                <w:color w:val="000000"/>
                <w:sz w:val="16"/>
                <w:szCs w:val="16"/>
              </w:rPr>
              <w:t xml:space="preserve">The Enterprise Architecture Review Board meets irregularly after handover, undermining the Architecture Review Process (Section 12.7) it exists to run.</w:t>
            </w:r>
          </w:p>
        </w:tc>
        <w:tc>
          <w:tcPr>
            <w:tcW w:type="dxa" w:w="1126"/>
            <w:tcMar>
              <w:top w:type="dxa" w:w="60"/>
              <w:left w:type="dxa" w:w="80"/>
              <w:bottom w:type="dxa" w:w="60"/>
              <w:right w:type="dxa" w:w="80"/>
            </w:tcMar>
            <w:vAlign w:val="top"/>
          </w:tcPr>
          <w:p>
            <w:r>
              <w:rPr>
                <w:b w:val="false"/>
                <w:bCs w:val="false"/>
                <w:color w:val="000000"/>
                <w:sz w:val="16"/>
                <w:szCs w:val="16"/>
              </w:rPr>
              <w:t xml:space="preserve">Medium</w:t>
            </w:r>
          </w:p>
        </w:tc>
        <w:tc>
          <w:tcPr>
            <w:tcW w:type="dxa" w:w="1126"/>
            <w:tcMar>
              <w:top w:type="dxa" w:w="60"/>
              <w:left w:type="dxa" w:w="80"/>
              <w:bottom w:type="dxa" w:w="60"/>
              <w:right w:type="dxa" w:w="80"/>
            </w:tcMar>
            <w:vAlign w:val="top"/>
          </w:tcPr>
          <w:p>
            <w:r>
              <w:rPr>
                <w:b w:val="false"/>
                <w:bCs w:val="false"/>
                <w:color w:val="000000"/>
                <w:sz w:val="16"/>
                <w:szCs w:val="16"/>
              </w:rPr>
              <w:t xml:space="preserve">Medium</w:t>
            </w:r>
          </w:p>
        </w:tc>
        <w:tc>
          <w:tcPr>
            <w:tcW w:type="dxa" w:w="3174"/>
            <w:tcMar>
              <w:top w:type="dxa" w:w="60"/>
              <w:left w:type="dxa" w:w="80"/>
              <w:bottom w:type="dxa" w:w="60"/>
              <w:right w:type="dxa" w:w="80"/>
            </w:tcMar>
            <w:vAlign w:val="top"/>
          </w:tcPr>
          <w:p>
            <w:r>
              <w:rPr>
                <w:b w:val="false"/>
                <w:bCs w:val="false"/>
                <w:color w:val="000000"/>
                <w:sz w:val="16"/>
                <w:szCs w:val="16"/>
              </w:rPr>
              <w:t xml:space="preserve">Board review is tied to fixed calendar triggers (Section 12.8) — milestones during Phase 1, and the 12-month Phase 2 activation decision post-handover — rather than left to ad hoc scheduling.</w:t>
            </w:r>
          </w:p>
        </w:tc>
      </w:tr>
    </w:tbl>
    <w:p>
      <w:pPr>
        <w:spacing w:after="160"/>
      </w:pPr>
    </w:p>
    <w:p>
      <w:pPr>
        <w:pStyle w:val="Heading1"/>
        <w:pBdr>
          <w:bottom w:val="single" w:color="1F3864" w:sz="6" w:space="4"/>
        </w:pBdr>
        <w:spacing w:after="130" w:before="320"/>
      </w:pPr>
      <w:r>
        <w:t xml:space="preserve">14.9 Schedule and Delivery Risks</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717"/>
        <w:gridCol w:w="3072"/>
        <w:gridCol w:w="1126"/>
        <w:gridCol w:w="1126"/>
        <w:gridCol w:w="3174"/>
        <w:gridCol w:w="1024"/>
      </w:tblGrid>
      <w:tr>
        <w:trPr>
          <w:tblHeader/>
        </w:trPr>
        <w:tc>
          <w:tcPr>
            <w:tcW w:type="dxa" w:w="717"/>
            <w:shd w:fill="1F3864" w:val="clear"/>
            <w:tcMar>
              <w:top w:type="dxa" w:w="60"/>
              <w:left w:type="dxa" w:w="80"/>
              <w:bottom w:type="dxa" w:w="60"/>
              <w:right w:type="dxa" w:w="80"/>
            </w:tcMar>
            <w:vAlign w:val="top"/>
          </w:tcPr>
          <w:p>
            <w:r>
              <w:rPr>
                <w:b/>
                <w:bCs/>
                <w:color w:val="FFFFFF"/>
                <w:sz w:val="16"/>
                <w:szCs w:val="16"/>
              </w:rPr>
              <w:t xml:space="preserve">ID</w:t>
            </w:r>
          </w:p>
        </w:tc>
        <w:tc>
          <w:tcPr>
            <w:tcW w:type="dxa" w:w="3072"/>
            <w:shd w:fill="1F3864" w:val="clear"/>
            <w:tcMar>
              <w:top w:type="dxa" w:w="60"/>
              <w:left w:type="dxa" w:w="80"/>
              <w:bottom w:type="dxa" w:w="60"/>
              <w:right w:type="dxa" w:w="80"/>
            </w:tcMar>
            <w:vAlign w:val="top"/>
          </w:tcPr>
          <w:p>
            <w:r>
              <w:rPr>
                <w:b/>
                <w:bCs/>
                <w:color w:val="FFFFFF"/>
                <w:sz w:val="16"/>
                <w:szCs w:val="16"/>
              </w:rPr>
              <w:t xml:space="preserve">Risk</w:t>
            </w:r>
          </w:p>
        </w:tc>
        <w:tc>
          <w:tcPr>
            <w:tcW w:type="dxa" w:w="1126"/>
            <w:shd w:fill="1F3864" w:val="clear"/>
            <w:tcMar>
              <w:top w:type="dxa" w:w="60"/>
              <w:left w:type="dxa" w:w="80"/>
              <w:bottom w:type="dxa" w:w="60"/>
              <w:right w:type="dxa" w:w="80"/>
            </w:tcMar>
            <w:vAlign w:val="top"/>
          </w:tcPr>
          <w:p>
            <w:r>
              <w:rPr>
                <w:b/>
                <w:bCs/>
                <w:color w:val="FFFFFF"/>
                <w:sz w:val="16"/>
                <w:szCs w:val="16"/>
              </w:rPr>
              <w:t xml:space="preserve">Likelihood</w:t>
            </w:r>
          </w:p>
        </w:tc>
        <w:tc>
          <w:tcPr>
            <w:tcW w:type="dxa" w:w="1126"/>
            <w:shd w:fill="1F3864" w:val="clear"/>
            <w:tcMar>
              <w:top w:type="dxa" w:w="60"/>
              <w:left w:type="dxa" w:w="80"/>
              <w:bottom w:type="dxa" w:w="60"/>
              <w:right w:type="dxa" w:w="80"/>
            </w:tcMar>
            <w:vAlign w:val="top"/>
          </w:tcPr>
          <w:p>
            <w:r>
              <w:rPr>
                <w:b/>
                <w:bCs/>
                <w:color w:val="FFFFFF"/>
                <w:sz w:val="16"/>
                <w:szCs w:val="16"/>
              </w:rPr>
              <w:t xml:space="preserve">Impact</w:t>
            </w:r>
          </w:p>
        </w:tc>
        <w:tc>
          <w:tcPr>
            <w:tcW w:type="dxa" w:w="3174"/>
            <w:shd w:fill="1F3864" w:val="clear"/>
            <w:tcMar>
              <w:top w:type="dxa" w:w="60"/>
              <w:left w:type="dxa" w:w="80"/>
              <w:bottom w:type="dxa" w:w="60"/>
              <w:right w:type="dxa" w:w="80"/>
            </w:tcMar>
            <w:vAlign w:val="top"/>
          </w:tcPr>
          <w:p>
            <w:r>
              <w:rPr>
                <w:b/>
                <w:bCs/>
                <w:color w:val="FFFFFF"/>
                <w:sz w:val="16"/>
                <w:szCs w:val="16"/>
              </w:rPr>
              <w:t xml:space="preserve">Mitigation</w:t>
            </w:r>
          </w:p>
        </w:tc>
        <w:tc>
          <w:tcPr>
            <w:tcW w:type="dxa" w:w="1024"/>
            <w:shd w:fill="1F3864" w:val="clear"/>
            <w:tcMar>
              <w:top w:type="dxa" w:w="60"/>
              <w:left w:type="dxa" w:w="80"/>
              <w:bottom w:type="dxa" w:w="60"/>
              <w:right w:type="dxa" w:w="80"/>
            </w:tcMar>
            <w:vAlign w:val="top"/>
          </w:tcPr>
          <w:p>
            <w:r>
              <w:rPr>
                <w:b/>
                <w:bCs/>
                <w:color w:val="FFFFFF"/>
                <w:sz w:val="16"/>
                <w:szCs w:val="16"/>
              </w:rPr>
              <w:t xml:space="preserve">Owner</w:t>
            </w:r>
          </w:p>
        </w:tc>
      </w:tr>
      <w:tr>
        <w:tc>
          <w:tcPr>
            <w:tcW w:type="dxa" w:w="717"/>
            <w:tcMar>
              <w:top w:type="dxa" w:w="60"/>
              <w:left w:type="dxa" w:w="80"/>
              <w:bottom w:type="dxa" w:w="60"/>
              <w:right w:type="dxa" w:w="80"/>
            </w:tcMar>
            <w:vAlign w:val="top"/>
          </w:tcPr>
          <w:p>
            <w:r>
              <w:rPr>
                <w:b/>
                <w:bCs/>
                <w:color w:val="000000"/>
                <w:sz w:val="16"/>
                <w:szCs w:val="16"/>
              </w:rPr>
              <w:t xml:space="preserve">R-18</w:t>
            </w:r>
          </w:p>
        </w:tc>
        <w:tc>
          <w:tcPr>
            <w:tcW w:type="dxa" w:w="3072"/>
            <w:tcMar>
              <w:top w:type="dxa" w:w="60"/>
              <w:left w:type="dxa" w:w="80"/>
              <w:bottom w:type="dxa" w:w="60"/>
              <w:right w:type="dxa" w:w="80"/>
            </w:tcMar>
            <w:vAlign w:val="top"/>
          </w:tcPr>
          <w:p>
            <w:r>
              <w:rPr>
                <w:b w:val="false"/>
                <w:bCs w:val="false"/>
                <w:color w:val="000000"/>
                <w:sz w:val="16"/>
                <w:szCs w:val="16"/>
              </w:rPr>
              <w:t xml:space="preserve">Stakeholder consultation across seven states and the FCT (WP1, Section 13.3) overruns the two weeks nominally allotted, delaying every downstream critical-path work package (Section 13.5).</w:t>
            </w:r>
          </w:p>
        </w:tc>
        <w:tc>
          <w:tcPr>
            <w:tcW w:type="dxa" w:w="1126"/>
            <w:tcMar>
              <w:top w:type="dxa" w:w="60"/>
              <w:left w:type="dxa" w:w="80"/>
              <w:bottom w:type="dxa" w:w="60"/>
              <w:right w:type="dxa" w:w="80"/>
            </w:tcMar>
            <w:vAlign w:val="top"/>
          </w:tcPr>
          <w:p>
            <w:r>
              <w:rPr>
                <w:b w:val="false"/>
                <w:bCs w:val="false"/>
                <w:color w:val="000000"/>
                <w:sz w:val="16"/>
                <w:szCs w:val="16"/>
              </w:rPr>
              <w:t xml:space="preserve">Medium</w:t>
            </w:r>
          </w:p>
        </w:tc>
        <w:tc>
          <w:tcPr>
            <w:tcW w:type="dxa" w:w="1126"/>
            <w:tcMar>
              <w:top w:type="dxa" w:w="60"/>
              <w:left w:type="dxa" w:w="80"/>
              <w:bottom w:type="dxa" w:w="60"/>
              <w:right w:type="dxa" w:w="80"/>
            </w:tcMar>
            <w:vAlign w:val="top"/>
          </w:tcPr>
          <w:p>
            <w:r>
              <w:rPr>
                <w:b w:val="false"/>
                <w:bCs w:val="false"/>
                <w:color w:val="000000"/>
                <w:sz w:val="16"/>
                <w:szCs w:val="16"/>
              </w:rPr>
              <w:t xml:space="preserve">High</w:t>
            </w:r>
          </w:p>
        </w:tc>
        <w:tc>
          <w:tcPr>
            <w:tcW w:type="dxa" w:w="3174"/>
            <w:tcMar>
              <w:top w:type="dxa" w:w="60"/>
              <w:left w:type="dxa" w:w="80"/>
              <w:bottom w:type="dxa" w:w="60"/>
              <w:right w:type="dxa" w:w="80"/>
            </w:tcMar>
            <w:vAlign w:val="top"/>
          </w:tcPr>
          <w:p>
            <w:r>
              <w:rPr>
                <w:b w:val="false"/>
                <w:bCs w:val="false"/>
                <w:color w:val="000000"/>
                <w:sz w:val="16"/>
                <w:szCs w:val="16"/>
              </w:rPr>
              <w:t xml:space="preserve">WP1 begins immediately in Week 1 with no lead-in delay — the single highest-leverage schedule protection identified in Section 13.5; consultation logistics are planned before contract signature where possible.</w:t>
            </w:r>
          </w:p>
        </w:tc>
      </w:tr>
    </w:tbl>
    <w:p>
      <w:pPr>
        <w:spacing w:after="160"/>
      </w:pPr>
    </w:p>
    <w:p>
      <w:pPr>
        <w:pStyle w:val="Heading1"/>
        <w:pBdr>
          <w:bottom w:val="single" w:color="1F3864" w:sz="6" w:space="4"/>
        </w:pBdr>
        <w:spacing w:after="130" w:before="320"/>
      </w:pPr>
      <w:r>
        <w:t xml:space="preserve">14.10 AI and Phase 2 Risks</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717"/>
        <w:gridCol w:w="3072"/>
        <w:gridCol w:w="1126"/>
        <w:gridCol w:w="1126"/>
        <w:gridCol w:w="3174"/>
        <w:gridCol w:w="1024"/>
      </w:tblGrid>
      <w:tr>
        <w:trPr>
          <w:tblHeader/>
        </w:trPr>
        <w:tc>
          <w:tcPr>
            <w:tcW w:type="dxa" w:w="717"/>
            <w:shd w:fill="1F3864" w:val="clear"/>
            <w:tcMar>
              <w:top w:type="dxa" w:w="60"/>
              <w:left w:type="dxa" w:w="80"/>
              <w:bottom w:type="dxa" w:w="60"/>
              <w:right w:type="dxa" w:w="80"/>
            </w:tcMar>
            <w:vAlign w:val="top"/>
          </w:tcPr>
          <w:p>
            <w:r>
              <w:rPr>
                <w:b/>
                <w:bCs/>
                <w:color w:val="FFFFFF"/>
                <w:sz w:val="16"/>
                <w:szCs w:val="16"/>
              </w:rPr>
              <w:t xml:space="preserve">ID</w:t>
            </w:r>
          </w:p>
        </w:tc>
        <w:tc>
          <w:tcPr>
            <w:tcW w:type="dxa" w:w="3072"/>
            <w:shd w:fill="1F3864" w:val="clear"/>
            <w:tcMar>
              <w:top w:type="dxa" w:w="60"/>
              <w:left w:type="dxa" w:w="80"/>
              <w:bottom w:type="dxa" w:w="60"/>
              <w:right w:type="dxa" w:w="80"/>
            </w:tcMar>
            <w:vAlign w:val="top"/>
          </w:tcPr>
          <w:p>
            <w:r>
              <w:rPr>
                <w:b/>
                <w:bCs/>
                <w:color w:val="FFFFFF"/>
                <w:sz w:val="16"/>
                <w:szCs w:val="16"/>
              </w:rPr>
              <w:t xml:space="preserve">Risk</w:t>
            </w:r>
          </w:p>
        </w:tc>
        <w:tc>
          <w:tcPr>
            <w:tcW w:type="dxa" w:w="1126"/>
            <w:shd w:fill="1F3864" w:val="clear"/>
            <w:tcMar>
              <w:top w:type="dxa" w:w="60"/>
              <w:left w:type="dxa" w:w="80"/>
              <w:bottom w:type="dxa" w:w="60"/>
              <w:right w:type="dxa" w:w="80"/>
            </w:tcMar>
            <w:vAlign w:val="top"/>
          </w:tcPr>
          <w:p>
            <w:r>
              <w:rPr>
                <w:b/>
                <w:bCs/>
                <w:color w:val="FFFFFF"/>
                <w:sz w:val="16"/>
                <w:szCs w:val="16"/>
              </w:rPr>
              <w:t xml:space="preserve">Likelihood</w:t>
            </w:r>
          </w:p>
        </w:tc>
        <w:tc>
          <w:tcPr>
            <w:tcW w:type="dxa" w:w="1126"/>
            <w:shd w:fill="1F3864" w:val="clear"/>
            <w:tcMar>
              <w:top w:type="dxa" w:w="60"/>
              <w:left w:type="dxa" w:w="80"/>
              <w:bottom w:type="dxa" w:w="60"/>
              <w:right w:type="dxa" w:w="80"/>
            </w:tcMar>
            <w:vAlign w:val="top"/>
          </w:tcPr>
          <w:p>
            <w:r>
              <w:rPr>
                <w:b/>
                <w:bCs/>
                <w:color w:val="FFFFFF"/>
                <w:sz w:val="16"/>
                <w:szCs w:val="16"/>
              </w:rPr>
              <w:t xml:space="preserve">Impact</w:t>
            </w:r>
          </w:p>
        </w:tc>
        <w:tc>
          <w:tcPr>
            <w:tcW w:type="dxa" w:w="3174"/>
            <w:shd w:fill="1F3864" w:val="clear"/>
            <w:tcMar>
              <w:top w:type="dxa" w:w="60"/>
              <w:left w:type="dxa" w:w="80"/>
              <w:bottom w:type="dxa" w:w="60"/>
              <w:right w:type="dxa" w:w="80"/>
            </w:tcMar>
            <w:vAlign w:val="top"/>
          </w:tcPr>
          <w:p>
            <w:r>
              <w:rPr>
                <w:b/>
                <w:bCs/>
                <w:color w:val="FFFFFF"/>
                <w:sz w:val="16"/>
                <w:szCs w:val="16"/>
              </w:rPr>
              <w:t xml:space="preserve">Mitigation</w:t>
            </w:r>
          </w:p>
        </w:tc>
        <w:tc>
          <w:tcPr>
            <w:tcW w:type="dxa" w:w="1024"/>
            <w:shd w:fill="1F3864" w:val="clear"/>
            <w:tcMar>
              <w:top w:type="dxa" w:w="60"/>
              <w:left w:type="dxa" w:w="80"/>
              <w:bottom w:type="dxa" w:w="60"/>
              <w:right w:type="dxa" w:w="80"/>
            </w:tcMar>
            <w:vAlign w:val="top"/>
          </w:tcPr>
          <w:p>
            <w:r>
              <w:rPr>
                <w:b/>
                <w:bCs/>
                <w:color w:val="FFFFFF"/>
                <w:sz w:val="16"/>
                <w:szCs w:val="16"/>
              </w:rPr>
              <w:t xml:space="preserve">Owner</w:t>
            </w:r>
          </w:p>
        </w:tc>
      </w:tr>
      <w:tr>
        <w:tc>
          <w:tcPr>
            <w:tcW w:type="dxa" w:w="717"/>
            <w:tcMar>
              <w:top w:type="dxa" w:w="60"/>
              <w:left w:type="dxa" w:w="80"/>
              <w:bottom w:type="dxa" w:w="60"/>
              <w:right w:type="dxa" w:w="80"/>
            </w:tcMar>
            <w:vAlign w:val="top"/>
          </w:tcPr>
          <w:p>
            <w:r>
              <w:rPr>
                <w:b/>
                <w:bCs/>
                <w:color w:val="000000"/>
                <w:sz w:val="16"/>
                <w:szCs w:val="16"/>
              </w:rPr>
              <w:t xml:space="preserve">R-19</w:t>
            </w:r>
          </w:p>
        </w:tc>
        <w:tc>
          <w:tcPr>
            <w:tcW w:type="dxa" w:w="3072"/>
            <w:tcMar>
              <w:top w:type="dxa" w:w="60"/>
              <w:left w:type="dxa" w:w="80"/>
              <w:bottom w:type="dxa" w:w="60"/>
              <w:right w:type="dxa" w:w="80"/>
            </w:tcMar>
            <w:vAlign w:val="top"/>
          </w:tcPr>
          <w:p>
            <w:r>
              <w:rPr>
                <w:b w:val="false"/>
                <w:bCs w:val="false"/>
                <w:color w:val="000000"/>
                <w:sz w:val="16"/>
                <w:szCs w:val="16"/>
              </w:rPr>
              <w:t xml:space="preserve">A Phase 2 AI capability (Section 9) is deployed before the Phase 1 information architecture foundation it depends on (taxonomy consistency, classification quality) is actually mature enough to support it.</w:t>
            </w:r>
          </w:p>
        </w:tc>
        <w:tc>
          <w:tcPr>
            <w:tcW w:type="dxa" w:w="1126"/>
            <w:tcMar>
              <w:top w:type="dxa" w:w="60"/>
              <w:left w:type="dxa" w:w="80"/>
              <w:bottom w:type="dxa" w:w="60"/>
              <w:right w:type="dxa" w:w="80"/>
            </w:tcMar>
            <w:vAlign w:val="top"/>
          </w:tcPr>
          <w:p>
            <w:r>
              <w:rPr>
                <w:b w:val="false"/>
                <w:bCs w:val="false"/>
                <w:color w:val="000000"/>
                <w:sz w:val="16"/>
                <w:szCs w:val="16"/>
              </w:rPr>
              <w:t xml:space="preserve">Low</w:t>
            </w:r>
          </w:p>
        </w:tc>
        <w:tc>
          <w:tcPr>
            <w:tcW w:type="dxa" w:w="1126"/>
            <w:tcMar>
              <w:top w:type="dxa" w:w="60"/>
              <w:left w:type="dxa" w:w="80"/>
              <w:bottom w:type="dxa" w:w="60"/>
              <w:right w:type="dxa" w:w="80"/>
            </w:tcMar>
            <w:vAlign w:val="top"/>
          </w:tcPr>
          <w:p>
            <w:r>
              <w:rPr>
                <w:b w:val="false"/>
                <w:bCs w:val="false"/>
                <w:color w:val="000000"/>
                <w:sz w:val="16"/>
                <w:szCs w:val="16"/>
              </w:rPr>
              <w:t xml:space="preserve">Medium</w:t>
            </w:r>
          </w:p>
        </w:tc>
        <w:tc>
          <w:tcPr>
            <w:tcW w:type="dxa" w:w="3174"/>
            <w:tcMar>
              <w:top w:type="dxa" w:w="60"/>
              <w:left w:type="dxa" w:w="80"/>
              <w:bottom w:type="dxa" w:w="60"/>
              <w:right w:type="dxa" w:w="80"/>
            </w:tcMar>
            <w:vAlign w:val="top"/>
          </w:tcPr>
          <w:p>
            <w:r>
              <w:rPr>
                <w:b w:val="false"/>
                <w:bCs w:val="false"/>
                <w:color w:val="000000"/>
                <w:sz w:val="16"/>
                <w:szCs w:val="16"/>
              </w:rPr>
              <w:t xml:space="preserve">Each AI capability's Phase 1 foundation is named explicitly in its own profile (Section 9.3); Knowledge Discovery and Predictive Analytics are specifically sequenced for introduction only after sufficient operating history and classification quality are confirmed (Sections 9.4, 9.6).</w:t>
            </w:r>
          </w:p>
        </w:tc>
      </w:tr>
    </w:tbl>
    <w:p>
      <w:pPr>
        <w:spacing w:after="160"/>
      </w:pPr>
    </w:p>
    <w:p>
      <w:pPr>
        <w:pStyle w:val="Heading1"/>
        <w:pBdr>
          <w:bottom w:val="single" w:color="1F3864" w:sz="6" w:space="4"/>
        </w:pBdr>
        <w:spacing w:after="130" w:before="320"/>
      </w:pPr>
      <w:r>
        <w:t xml:space="preserve">14.11 Top Risks — Deep-Dive</w:t>
      </w:r>
    </w:p>
    <w:p>
      <w:pPr>
        <w:spacing w:after="150" w:line="276"/>
        <w:jc w:val="both"/>
      </w:pPr>
      <w:r>
        <w:t xml:space="preserve">Three risks carry the combination of likelihood and impact that warrants deeper treatment beyond the register entry above.</w:t>
      </w:r>
    </w:p>
    <w:p>
      <w:pPr>
        <w:pStyle w:val="Heading2"/>
        <w:spacing w:after="70" w:before="220"/>
      </w:pPr>
      <w:r>
        <w:t xml:space="preserve">R-06 — Legacy Content Migration Quality</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843"/>
        <w:gridCol w:w="8397"/>
      </w:tblGrid>
      <w:tr>
        <w:tc>
          <w:tcPr>
            <w:tcW w:type="dxa" w:w="1843"/>
            <w:shd w:fill="EDEFF4" w:val="clear"/>
            <w:tcMar>
              <w:top w:type="dxa" w:w="60"/>
              <w:left w:type="dxa" w:w="80"/>
              <w:bottom w:type="dxa" w:w="60"/>
              <w:right w:type="dxa" w:w="80"/>
            </w:tcMar>
            <w:vAlign w:val="top"/>
          </w:tcPr>
          <w:p>
            <w:r>
              <w:rPr>
                <w:b/>
                <w:bCs/>
                <w:color w:val="000000"/>
                <w:sz w:val="17"/>
                <w:szCs w:val="17"/>
              </w:rPr>
              <w:t xml:space="preserve">Situation</w:t>
            </w:r>
          </w:p>
        </w:tc>
        <w:tc>
          <w:tcPr>
            <w:tcW w:type="dxa" w:w="8397"/>
            <w:tcMar>
              <w:top w:type="dxa" w:w="60"/>
              <w:left w:type="dxa" w:w="80"/>
              <w:bottom w:type="dxa" w:w="60"/>
              <w:right w:type="dxa" w:w="80"/>
            </w:tcMar>
            <w:vAlign w:val="top"/>
          </w:tcPr>
          <w:p>
            <w:r>
              <w:rPr>
                <w:b w:val="false"/>
                <w:bCs w:val="false"/>
                <w:color w:val="000000"/>
                <w:sz w:val="17"/>
                <w:szCs w:val="17"/>
              </w:rPr>
              <w:t xml:space="preserve">The Master Bid &amp; Delivery Strategy's own base-case scenario planning explicitly expects the legacy document base across seven states and the FCT to be 'messier than ideal but not unmanageable' — this is not a hypothetical risk but an anticipated condition.</w:t>
            </w:r>
          </w:p>
        </w:tc>
      </w:tr>
      <w:tr>
        <w:tc>
          <w:tcPr>
            <w:tcW w:type="dxa" w:w="1843"/>
            <w:shd w:fill="EDEFF4" w:val="clear"/>
            <w:tcMar>
              <w:top w:type="dxa" w:w="60"/>
              <w:left w:type="dxa" w:w="80"/>
              <w:bottom w:type="dxa" w:w="60"/>
              <w:right w:type="dxa" w:w="80"/>
            </w:tcMar>
            <w:vAlign w:val="top"/>
          </w:tcPr>
          <w:p>
            <w:r>
              <w:rPr>
                <w:b/>
                <w:bCs/>
                <w:color w:val="000000"/>
                <w:sz w:val="17"/>
                <w:szCs w:val="17"/>
              </w:rPr>
              <w:t xml:space="preserve">Potential Impact</w:t>
            </w:r>
          </w:p>
        </w:tc>
        <w:tc>
          <w:tcPr>
            <w:tcW w:type="dxa" w:w="8397"/>
            <w:tcMar>
              <w:top w:type="dxa" w:w="60"/>
              <w:left w:type="dxa" w:w="80"/>
              <w:bottom w:type="dxa" w:w="60"/>
              <w:right w:type="dxa" w:w="80"/>
            </w:tcMar>
            <w:vAlign w:val="top"/>
          </w:tcPr>
          <w:p>
            <w:r>
              <w:rPr>
                <w:b w:val="false"/>
                <w:bCs w:val="false"/>
                <w:color w:val="000000"/>
                <w:sz w:val="17"/>
                <w:szCs w:val="17"/>
              </w:rPr>
              <w:t xml:space="preserve">Poor-quality legacy content, if migrated without adequate validation, would populate the new centralized repository with the same disorganization it was built to replace, undermining the programme's core value proposition.</w:t>
            </w:r>
          </w:p>
        </w:tc>
      </w:tr>
      <w:tr>
        <w:tc>
          <w:tcPr>
            <w:tcW w:type="dxa" w:w="1843"/>
            <w:shd w:fill="EDEFF4" w:val="clear"/>
            <w:tcMar>
              <w:top w:type="dxa" w:w="60"/>
              <w:left w:type="dxa" w:w="80"/>
              <w:bottom w:type="dxa" w:w="60"/>
              <w:right w:type="dxa" w:w="80"/>
            </w:tcMar>
            <w:vAlign w:val="top"/>
          </w:tcPr>
          <w:p>
            <w:r>
              <w:rPr>
                <w:b/>
                <w:bCs/>
                <w:color w:val="000000"/>
                <w:sz w:val="17"/>
                <w:szCs w:val="17"/>
              </w:rPr>
              <w:t xml:space="preserve">Mitigation</w:t>
            </w:r>
          </w:p>
        </w:tc>
        <w:tc>
          <w:tcPr>
            <w:tcW w:type="dxa" w:w="8397"/>
            <w:tcMar>
              <w:top w:type="dxa" w:w="60"/>
              <w:left w:type="dxa" w:w="80"/>
              <w:bottom w:type="dxa" w:w="60"/>
              <w:right w:type="dxa" w:w="80"/>
            </w:tcMar>
            <w:vAlign w:val="top"/>
          </w:tcPr>
          <w:p>
            <w:r>
              <w:rPr>
                <w:b w:val="false"/>
                <w:bCs w:val="false"/>
                <w:color w:val="000000"/>
                <w:sz w:val="17"/>
                <w:szCs w:val="17"/>
              </w:rPr>
              <w:t xml:space="preserve">The five-stage migration process (Section 6.8) exists specifically to manage this risk: Audit and Classify stages surface quality issues before migration itself; Validate (Stage 4) reconciles record counts and samples accuracy; the Must Have priority-subset scope (Section 3.2) ensures the highest-value content receives the most careful handling first.</w:t>
            </w:r>
          </w:p>
        </w:tc>
      </w:tr>
      <w:tr>
        <w:tc>
          <w:tcPr>
            <w:tcW w:type="dxa" w:w="1843"/>
            <w:shd w:fill="EDEFF4" w:val="clear"/>
            <w:tcMar>
              <w:top w:type="dxa" w:w="60"/>
              <w:left w:type="dxa" w:w="80"/>
              <w:bottom w:type="dxa" w:w="60"/>
              <w:right w:type="dxa" w:w="80"/>
            </w:tcMar>
            <w:vAlign w:val="top"/>
          </w:tcPr>
          <w:p>
            <w:r>
              <w:rPr>
                <w:b/>
                <w:bCs/>
                <w:color w:val="000000"/>
                <w:sz w:val="17"/>
                <w:szCs w:val="17"/>
              </w:rPr>
              <w:t xml:space="preserve">Residual Risk</w:t>
            </w:r>
          </w:p>
        </w:tc>
        <w:tc>
          <w:tcPr>
            <w:tcW w:type="dxa" w:w="8397"/>
            <w:tcMar>
              <w:top w:type="dxa" w:w="60"/>
              <w:left w:type="dxa" w:w="80"/>
              <w:bottom w:type="dxa" w:w="60"/>
              <w:right w:type="dxa" w:w="80"/>
            </w:tcMar>
            <w:vAlign w:val="top"/>
          </w:tcPr>
          <w:p>
            <w:r>
              <w:rPr>
                <w:b w:val="false"/>
                <w:bCs w:val="false"/>
                <w:color w:val="000000"/>
                <w:sz w:val="17"/>
                <w:szCs w:val="17"/>
              </w:rPr>
              <w:t xml:space="preserve">Accepted as Medium: full legacy coverage remains a medium-term improvement (Section 11.6) precisely because some quality issues will likely require more remediation time than the twelve-week schedule allows for the complete corpus.</w:t>
            </w:r>
          </w:p>
        </w:tc>
      </w:tr>
    </w:tbl>
    <w:p>
      <w:pPr>
        <w:spacing w:after="140"/>
      </w:pPr>
    </w:p>
    <w:p>
      <w:pPr>
        <w:pStyle w:val="Heading2"/>
        <w:spacing w:after="70" w:before="220"/>
      </w:pPr>
      <w:r>
        <w:t xml:space="preserve">R-16 — Governance Charter Enforcement Erosion</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843"/>
        <w:gridCol w:w="8397"/>
      </w:tblGrid>
      <w:tr>
        <w:tc>
          <w:tcPr>
            <w:tcW w:type="dxa" w:w="1843"/>
            <w:shd w:fill="EDEFF4" w:val="clear"/>
            <w:tcMar>
              <w:top w:type="dxa" w:w="60"/>
              <w:left w:type="dxa" w:w="80"/>
              <w:bottom w:type="dxa" w:w="60"/>
              <w:right w:type="dxa" w:w="80"/>
            </w:tcMar>
            <w:vAlign w:val="top"/>
          </w:tcPr>
          <w:p>
            <w:r>
              <w:rPr>
                <w:b/>
                <w:bCs/>
                <w:color w:val="000000"/>
                <w:sz w:val="17"/>
                <w:szCs w:val="17"/>
              </w:rPr>
              <w:t xml:space="preserve">Situation</w:t>
            </w:r>
          </w:p>
        </w:tc>
        <w:tc>
          <w:tcPr>
            <w:tcW w:type="dxa" w:w="8397"/>
            <w:tcMar>
              <w:top w:type="dxa" w:w="60"/>
              <w:left w:type="dxa" w:w="80"/>
              <w:bottom w:type="dxa" w:w="60"/>
              <w:right w:type="dxa" w:w="80"/>
            </w:tcMar>
            <w:vAlign w:val="top"/>
          </w:tcPr>
          <w:p>
            <w:r>
              <w:rPr>
                <w:b w:val="false"/>
                <w:bCs w:val="false"/>
                <w:color w:val="000000"/>
                <w:sz w:val="17"/>
                <w:szCs w:val="17"/>
              </w:rPr>
              <w:t xml:space="preserve">A signed governance instrument that is not actively used loses its practical authority over time, particularly once the consultant's direct engagement ends and institutional attention naturally shifts to new priorities.</w:t>
            </w:r>
          </w:p>
        </w:tc>
      </w:tr>
      <w:tr>
        <w:tc>
          <w:tcPr>
            <w:tcW w:type="dxa" w:w="1843"/>
            <w:shd w:fill="EDEFF4" w:val="clear"/>
            <w:tcMar>
              <w:top w:type="dxa" w:w="60"/>
              <w:left w:type="dxa" w:w="80"/>
              <w:bottom w:type="dxa" w:w="60"/>
              <w:right w:type="dxa" w:w="80"/>
            </w:tcMar>
            <w:vAlign w:val="top"/>
          </w:tcPr>
          <w:p>
            <w:r>
              <w:rPr>
                <w:b/>
                <w:bCs/>
                <w:color w:val="000000"/>
                <w:sz w:val="17"/>
                <w:szCs w:val="17"/>
              </w:rPr>
              <w:t xml:space="preserve">Potential Impact</w:t>
            </w:r>
          </w:p>
        </w:tc>
        <w:tc>
          <w:tcPr>
            <w:tcW w:type="dxa" w:w="8397"/>
            <w:tcMar>
              <w:top w:type="dxa" w:w="60"/>
              <w:left w:type="dxa" w:w="80"/>
              <w:bottom w:type="dxa" w:w="60"/>
              <w:right w:type="dxa" w:w="80"/>
            </w:tcMar>
            <w:vAlign w:val="top"/>
          </w:tcPr>
          <w:p>
            <w:r>
              <w:rPr>
                <w:b w:val="false"/>
                <w:bCs w:val="false"/>
                <w:color w:val="000000"/>
                <w:sz w:val="17"/>
                <w:szCs w:val="17"/>
              </w:rPr>
              <w:t xml:space="preserve">This is the single risk that, if realized, would undo the central thesis of this entire Blueprint: that the programme's coordination failures are governance failures, and that a signed Charter is what prevents fragmentation from quietly reappearing in digital form.</w:t>
            </w:r>
          </w:p>
        </w:tc>
      </w:tr>
      <w:tr>
        <w:tc>
          <w:tcPr>
            <w:tcW w:type="dxa" w:w="1843"/>
            <w:shd w:fill="EDEFF4" w:val="clear"/>
            <w:tcMar>
              <w:top w:type="dxa" w:w="60"/>
              <w:left w:type="dxa" w:w="80"/>
              <w:bottom w:type="dxa" w:w="60"/>
              <w:right w:type="dxa" w:w="80"/>
            </w:tcMar>
            <w:vAlign w:val="top"/>
          </w:tcPr>
          <w:p>
            <w:r>
              <w:rPr>
                <w:b/>
                <w:bCs/>
                <w:color w:val="000000"/>
                <w:sz w:val="17"/>
                <w:szCs w:val="17"/>
              </w:rPr>
              <w:t xml:space="preserve">Mitigation</w:t>
            </w:r>
          </w:p>
        </w:tc>
        <w:tc>
          <w:tcPr>
            <w:tcW w:type="dxa" w:w="8397"/>
            <w:tcMar>
              <w:top w:type="dxa" w:w="60"/>
              <w:left w:type="dxa" w:w="80"/>
              <w:bottom w:type="dxa" w:w="60"/>
              <w:right w:type="dxa" w:w="80"/>
            </w:tcMar>
            <w:vAlign w:val="top"/>
          </w:tcPr>
          <w:p>
            <w:r>
              <w:rPr>
                <w:b w:val="false"/>
                <w:bCs w:val="false"/>
                <w:color w:val="000000"/>
                <w:sz w:val="17"/>
                <w:szCs w:val="17"/>
              </w:rPr>
              <w:t xml:space="preserve">The Charter is embedded in recurring, calendared governance activity (Section 12.8) — annual renewal review, quarterly donor-alignment touchpoints, milestone-triggered Board reviews — rather than treated as a one-time deliverable; the Enterprise Architecture Review Board's ongoing mandate gives it an active body to answer to, not just a document to reference.</w:t>
            </w:r>
          </w:p>
        </w:tc>
      </w:tr>
      <w:tr>
        <w:tc>
          <w:tcPr>
            <w:tcW w:type="dxa" w:w="1843"/>
            <w:shd w:fill="EDEFF4" w:val="clear"/>
            <w:tcMar>
              <w:top w:type="dxa" w:w="60"/>
              <w:left w:type="dxa" w:w="80"/>
              <w:bottom w:type="dxa" w:w="60"/>
              <w:right w:type="dxa" w:w="80"/>
            </w:tcMar>
            <w:vAlign w:val="top"/>
          </w:tcPr>
          <w:p>
            <w:r>
              <w:rPr>
                <w:b/>
                <w:bCs/>
                <w:color w:val="000000"/>
                <w:sz w:val="17"/>
                <w:szCs w:val="17"/>
              </w:rPr>
              <w:t xml:space="preserve">Residual Risk</w:t>
            </w:r>
          </w:p>
        </w:tc>
        <w:tc>
          <w:tcPr>
            <w:tcW w:type="dxa" w:w="8397"/>
            <w:tcMar>
              <w:top w:type="dxa" w:w="60"/>
              <w:left w:type="dxa" w:w="80"/>
              <w:bottom w:type="dxa" w:w="60"/>
              <w:right w:type="dxa" w:w="80"/>
            </w:tcMar>
            <w:vAlign w:val="top"/>
          </w:tcPr>
          <w:p>
            <w:r>
              <w:rPr>
                <w:b w:val="false"/>
                <w:bCs w:val="false"/>
                <w:color w:val="000000"/>
                <w:sz w:val="17"/>
                <w:szCs w:val="17"/>
              </w:rPr>
              <w:t xml:space="preserve">Accepted as Medium: no architecture document can fully guarantee an institution's own follow-through after a twelve-week engagement ends; this is a genuine limit of what any consultant-delivered Blueprint can control, honestly stated rather than glossed over.</w:t>
            </w:r>
          </w:p>
        </w:tc>
      </w:tr>
    </w:tbl>
    <w:p>
      <w:pPr>
        <w:spacing w:after="140"/>
      </w:pPr>
    </w:p>
    <w:p>
      <w:pPr>
        <w:pStyle w:val="Heading2"/>
        <w:spacing w:after="70" w:before="220"/>
      </w:pPr>
      <w:r>
        <w:t xml:space="preserve">R-18 — Stakeholder Consultation Schedule Overrun</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843"/>
        <w:gridCol w:w="8397"/>
      </w:tblGrid>
      <w:tr>
        <w:tc>
          <w:tcPr>
            <w:tcW w:type="dxa" w:w="1843"/>
            <w:shd w:fill="EDEFF4" w:val="clear"/>
            <w:tcMar>
              <w:top w:type="dxa" w:w="60"/>
              <w:left w:type="dxa" w:w="80"/>
              <w:bottom w:type="dxa" w:w="60"/>
              <w:right w:type="dxa" w:w="80"/>
            </w:tcMar>
            <w:vAlign w:val="top"/>
          </w:tcPr>
          <w:p>
            <w:r>
              <w:rPr>
                <w:b/>
                <w:bCs/>
                <w:color w:val="000000"/>
                <w:sz w:val="17"/>
                <w:szCs w:val="17"/>
              </w:rPr>
              <w:t xml:space="preserve">Situation</w:t>
            </w:r>
          </w:p>
        </w:tc>
        <w:tc>
          <w:tcPr>
            <w:tcW w:type="dxa" w:w="8397"/>
            <w:tcMar>
              <w:top w:type="dxa" w:w="60"/>
              <w:left w:type="dxa" w:w="80"/>
              <w:bottom w:type="dxa" w:w="60"/>
              <w:right w:type="dxa" w:w="80"/>
            </w:tcMar>
            <w:vAlign w:val="top"/>
          </w:tcPr>
          <w:p>
            <w:r>
              <w:rPr>
                <w:b w:val="false"/>
                <w:bCs w:val="false"/>
                <w:color w:val="000000"/>
                <w:sz w:val="17"/>
                <w:szCs w:val="17"/>
              </w:rPr>
              <w:t xml:space="preserve">Consultation across seven geographically distinct states and the FCT, within a nominal two-week window, is the single most schedule-compressed activity in the entire twelve-week engagement.</w:t>
            </w:r>
          </w:p>
        </w:tc>
      </w:tr>
      <w:tr>
        <w:tc>
          <w:tcPr>
            <w:tcW w:type="dxa" w:w="1843"/>
            <w:shd w:fill="EDEFF4" w:val="clear"/>
            <w:tcMar>
              <w:top w:type="dxa" w:w="60"/>
              <w:left w:type="dxa" w:w="80"/>
              <w:bottom w:type="dxa" w:w="60"/>
              <w:right w:type="dxa" w:w="80"/>
            </w:tcMar>
            <w:vAlign w:val="top"/>
          </w:tcPr>
          <w:p>
            <w:r>
              <w:rPr>
                <w:b/>
                <w:bCs/>
                <w:color w:val="000000"/>
                <w:sz w:val="17"/>
                <w:szCs w:val="17"/>
              </w:rPr>
              <w:t xml:space="preserve">Potential Impact</w:t>
            </w:r>
          </w:p>
        </w:tc>
        <w:tc>
          <w:tcPr>
            <w:tcW w:type="dxa" w:w="8397"/>
            <w:tcMar>
              <w:top w:type="dxa" w:w="60"/>
              <w:left w:type="dxa" w:w="80"/>
              <w:bottom w:type="dxa" w:w="60"/>
              <w:right w:type="dxa" w:w="80"/>
            </w:tcMar>
            <w:vAlign w:val="top"/>
          </w:tcPr>
          <w:p>
            <w:r>
              <w:rPr>
                <w:b w:val="false"/>
                <w:bCs w:val="false"/>
                <w:color w:val="000000"/>
                <w:sz w:val="17"/>
                <w:szCs w:val="17"/>
              </w:rPr>
              <w:t xml:space="preserve">Because WP1 sits at the head of the critical path (Section 13.5), any overrun here does not stay contained — it propagates through Governance Charter adoption, platform configuration, migration, and every subsequent work package.</w:t>
            </w:r>
          </w:p>
        </w:tc>
      </w:tr>
      <w:tr>
        <w:tc>
          <w:tcPr>
            <w:tcW w:type="dxa" w:w="1843"/>
            <w:shd w:fill="EDEFF4" w:val="clear"/>
            <w:tcMar>
              <w:top w:type="dxa" w:w="60"/>
              <w:left w:type="dxa" w:w="80"/>
              <w:bottom w:type="dxa" w:w="60"/>
              <w:right w:type="dxa" w:w="80"/>
            </w:tcMar>
            <w:vAlign w:val="top"/>
          </w:tcPr>
          <w:p>
            <w:r>
              <w:rPr>
                <w:b/>
                <w:bCs/>
                <w:color w:val="000000"/>
                <w:sz w:val="17"/>
                <w:szCs w:val="17"/>
              </w:rPr>
              <w:t xml:space="preserve">Mitigation</w:t>
            </w:r>
          </w:p>
        </w:tc>
        <w:tc>
          <w:tcPr>
            <w:tcW w:type="dxa" w:w="8397"/>
            <w:tcMar>
              <w:top w:type="dxa" w:w="60"/>
              <w:left w:type="dxa" w:w="80"/>
              <w:bottom w:type="dxa" w:w="60"/>
              <w:right w:type="dxa" w:w="80"/>
            </w:tcMar>
            <w:vAlign w:val="top"/>
          </w:tcPr>
          <w:p>
            <w:r>
              <w:rPr>
                <w:b w:val="false"/>
                <w:bCs w:val="false"/>
                <w:color w:val="000000"/>
                <w:sz w:val="17"/>
                <w:szCs w:val="17"/>
              </w:rPr>
              <w:t xml:space="preserve">WP1 begins on day one without a lead-in delay; consultation logistics (travel, scheduling with seven distinct state administrations) are planned ahead of contract signature wherever the procurement process allows; the Executive Advice Briefing's own recommendation to present a realistic, not idealized, account of this specific schedule risk is followed rather than understated.</w:t>
            </w:r>
          </w:p>
        </w:tc>
      </w:tr>
      <w:tr>
        <w:tc>
          <w:tcPr>
            <w:tcW w:type="dxa" w:w="1843"/>
            <w:shd w:fill="EDEFF4" w:val="clear"/>
            <w:tcMar>
              <w:top w:type="dxa" w:w="60"/>
              <w:left w:type="dxa" w:w="80"/>
              <w:bottom w:type="dxa" w:w="60"/>
              <w:right w:type="dxa" w:w="80"/>
            </w:tcMar>
            <w:vAlign w:val="top"/>
          </w:tcPr>
          <w:p>
            <w:r>
              <w:rPr>
                <w:b/>
                <w:bCs/>
                <w:color w:val="000000"/>
                <w:sz w:val="17"/>
                <w:szCs w:val="17"/>
              </w:rPr>
              <w:t xml:space="preserve">Residual Risk</w:t>
            </w:r>
          </w:p>
        </w:tc>
        <w:tc>
          <w:tcPr>
            <w:tcW w:type="dxa" w:w="8397"/>
            <w:tcMar>
              <w:top w:type="dxa" w:w="60"/>
              <w:left w:type="dxa" w:w="80"/>
              <w:bottom w:type="dxa" w:w="60"/>
              <w:right w:type="dxa" w:w="80"/>
            </w:tcMar>
            <w:vAlign w:val="top"/>
          </w:tcPr>
          <w:p>
            <w:r>
              <w:rPr>
                <w:b w:val="false"/>
                <w:bCs w:val="false"/>
                <w:color w:val="000000"/>
                <w:sz w:val="17"/>
                <w:szCs w:val="17"/>
              </w:rPr>
              <w:t xml:space="preserve">Accepted as Medium-High: this is the one risk in the entire register most directly outside the consultant's unilateral control, since it depends on seven separate state administrations' own availability and responsiveness.</w:t>
            </w:r>
          </w:p>
        </w:tc>
      </w:tr>
    </w:tbl>
    <w:p>
      <w:pPr>
        <w:spacing w:after="140"/>
      </w:pPr>
    </w:p>
    <w:p>
      <w:pPr>
        <w:pStyle w:val="Heading1"/>
        <w:pBdr>
          <w:bottom w:val="single" w:color="1F3864" w:sz="6" w:space="4"/>
        </w:pBdr>
        <w:spacing w:after="130" w:before="320"/>
      </w:pPr>
      <w:r>
        <w:t xml:space="preserve">14.12 Risk Monitoring and Review</w:t>
      </w:r>
    </w:p>
    <w:p>
      <w:pPr>
        <w:spacing w:after="150" w:line="276"/>
        <w:jc w:val="both"/>
      </w:pPr>
      <w:r>
        <w:t xml:space="preserve">Every risk in this register is entered into the Risk Register functional module (Section 4.4) at engagement start and tracked through the same lifecycle used for all programme risks (Section 2.5): Identify → Assess → Mitigate → Monitor → Close. Risk review is not a separate governance activity — it is folded into the existing governance cadence (Section 12.8): Critical and High impact risks are reviewed at every Enterprise Architecture Review Board milestone meeting; the full register is reviewed at the annual Governance Charter renewal review; and any risk that materializes into an actual incident is handled through the Incident Response process (Section 8.9), with the register updated to reflect lessons learned.</w:t>
      </w:r>
    </w:p>
    <w:p>
      <w:pPr>
        <w:pStyle w:val="Heading1"/>
        <w:pBdr>
          <w:bottom w:val="single" w:color="1F3864" w:sz="6" w:space="4"/>
        </w:pBdr>
        <w:spacing w:after="130" w:before="320"/>
      </w:pPr>
      <w:r>
        <w:t xml:space="preserve">14.13 Transition to Section 15</w:t>
      </w:r>
    </w:p>
    <w:p>
      <w:pPr>
        <w:spacing w:after="150" w:line="276"/>
        <w:jc w:val="both"/>
      </w:pPr>
      <w:r>
        <w:t xml:space="preserve">Section 15 (Architecture Review Report) performs the quality-assurance pass the governing prompt itself requires before this Blueprint is finalized — reviewing the entire architecture, challenging assumptions, identifying weaknesses and missing components, and confirming that every risk in this register has a proportionate, honestly stated mitigation rather than an overstated one.</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10" w:before="260"/>
    </w:pPr>
    <w:rPr>
      <w:rFonts w:ascii="Arial" w:cs="Arial" w:eastAsia="Arial" w:hAnsi="Arial"/>
      <w:b/>
      <w:bCs/>
      <w:color w:val="1F3864"/>
      <w:sz w:val="24"/>
      <w:szCs w:val="24"/>
    </w:rPr>
  </w:style>
  <w:style w:type="paragraph" w:styleId="Heading2">
    <w:name w:val="Heading 2"/>
    <w:basedOn w:val="Normal"/>
    <w:next w:val="Normal"/>
    <w:qFormat/>
    <w:pPr>
      <w:spacing w:after="60" w:before="200"/>
    </w:pPr>
    <w:rPr>
      <w:rFonts w:ascii="Arial" w:cs="Arial" w:eastAsia="Arial" w:hAnsi="Arial"/>
      <w:b/>
      <w:bCs/>
      <w:color w:val="2E5395"/>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2026-07-18T09:18:32.690Z</dcterms:created>
  <dcterms:modified xsi:type="dcterms:W3CDTF">2026-07-18T09:18:32.691Z</dcterms:modified>
</cp:coreProperties>
</file>

<file path=docProps/custom.xml><?xml version="1.0" encoding="utf-8"?>
<Properties xmlns="http://schemas.openxmlformats.org/officeDocument/2006/custom-properties" xmlns:vt="http://schemas.openxmlformats.org/officeDocument/2006/docPropsVTypes"/>
</file>