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15 of 16 — Architecture Review Report</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15.1 Review Methodology and Scope</w:t>
      </w:r>
    </w:p>
    <w:p>
      <w:pPr>
        <w:spacing w:after="150" w:line="276"/>
        <w:jc w:val="both"/>
      </w:pPr>
      <w:r>
        <w:t xml:space="preserve">This section performs the quality-assurance pass the governing brief for this Blueprint requires explicitly: review the entire architecture, challenge every assumption, identify weaknesses, identify missing components, identify risks, explain alternatives, and justify every recommendation. It is written as the Enterprise Architecture Review Board (Section 12.6) would conduct its own first formal review of this Blueprint — the same body that will govern every future change to this architecture, applying the same scrutiny to the founding document it will later apply to amendments.</w:t>
      </w:r>
    </w:p>
    <w:p>
      <w:pPr>
        <w:spacing w:after="150" w:line="276"/>
        <w:jc w:val="both"/>
      </w:pPr>
      <w:r>
        <w:t xml:space="preserve">The review covers Sections 1 through 14 in full. Each finding below is scored Sound, Needs Refinement, or Gap, in the same disciplined style already applied to the consultant's Evidence Library in an earlier phase of this engagement: a finding is not softened into a false Pass merely because restating it as a strength would read better. Where this review identifies a genuine gap, it says so plainly and assigns a remediation action (Section 15.6), rather than treating the review itself as a formality to be passed.</w:t>
      </w:r>
    </w:p>
    <w:p>
      <w:pPr>
        <w:pStyle w:val="Heading1"/>
        <w:pBdr>
          <w:bottom w:val="single" w:color="1F3864" w:sz="6" w:space="4"/>
        </w:pBdr>
        <w:spacing w:after="130" w:before="320"/>
      </w:pPr>
      <w:r>
        <w:t xml:space="preserve">15.2 Architecture Strengths</w:t>
      </w:r>
    </w:p>
    <w:p>
      <w:pPr>
        <w:spacing w:after="150" w:line="276"/>
        <w:jc w:val="both"/>
      </w:pPr>
      <w:r>
        <w:t xml:space="preserve">Six structural strengths run consistently across all fourteen prior sections, each verified by tracing it through multiple sections rather than asserted once and assumed to hold.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77"/>
        <w:gridCol w:w="6963"/>
      </w:tblGrid>
      <w:tr>
        <w:trPr>
          <w:tblHeader/>
        </w:trPr>
        <w:tc>
          <w:tcPr>
            <w:tcW w:type="dxa" w:w="3277"/>
            <w:shd w:fill="1F3864" w:val="clear"/>
            <w:tcMar>
              <w:top w:type="dxa" w:w="70"/>
              <w:left w:type="dxa" w:w="90"/>
              <w:bottom w:type="dxa" w:w="70"/>
              <w:right w:type="dxa" w:w="90"/>
            </w:tcMar>
            <w:vAlign w:val="top"/>
          </w:tcPr>
          <w:p>
            <w:r>
              <w:rPr>
                <w:b/>
                <w:bCs/>
                <w:color w:val="FFFFFF"/>
                <w:sz w:val="17"/>
                <w:szCs w:val="17"/>
              </w:rPr>
              <w:t xml:space="preserve">Strength</w:t>
            </w:r>
          </w:p>
        </w:tc>
        <w:tc>
          <w:tcPr>
            <w:tcW w:type="dxa" w:w="6963"/>
            <w:shd w:fill="1F3864" w:val="clear"/>
            <w:tcMar>
              <w:top w:type="dxa" w:w="70"/>
              <w:left w:type="dxa" w:w="90"/>
              <w:bottom w:type="dxa" w:w="70"/>
              <w:right w:type="dxa" w:w="90"/>
            </w:tcMar>
            <w:vAlign w:val="top"/>
          </w:tcPr>
          <w:p>
            <w:r>
              <w:rPr>
                <w:b/>
                <w:bCs/>
                <w:color w:val="FFFFFF"/>
                <w:sz w:val="17"/>
                <w:szCs w:val="17"/>
              </w:rPr>
              <w:t xml:space="preserve">Evidence</w:t>
            </w:r>
          </w:p>
        </w:tc>
      </w:tr>
      <w:tr>
        <w:tc>
          <w:tcPr>
            <w:tcW w:type="dxa" w:w="3277"/>
            <w:tcMar>
              <w:top w:type="dxa" w:w="70"/>
              <w:left w:type="dxa" w:w="90"/>
              <w:bottom w:type="dxa" w:w="70"/>
              <w:right w:type="dxa" w:w="90"/>
            </w:tcMar>
            <w:vAlign w:val="top"/>
          </w:tcPr>
          <w:p>
            <w:r>
              <w:rPr>
                <w:b/>
                <w:bCs/>
                <w:color w:val="000000"/>
                <w:sz w:val="17"/>
                <w:szCs w:val="17"/>
              </w:rPr>
              <w:t xml:space="preserve">Single-Charter, single-Board governance discipline</w:t>
            </w:r>
          </w:p>
        </w:tc>
        <w:tc>
          <w:tcPr>
            <w:tcW w:type="dxa" w:w="6963"/>
            <w:tcMar>
              <w:top w:type="dxa" w:w="70"/>
              <w:left w:type="dxa" w:w="90"/>
              <w:bottom w:type="dxa" w:w="70"/>
              <w:right w:type="dxa" w:w="90"/>
            </w:tcMar>
            <w:vAlign w:val="top"/>
          </w:tcPr>
          <w:p>
            <w:r>
              <w:rPr>
                <w:b w:val="false"/>
                <w:bCs w:val="false"/>
                <w:color w:val="000000"/>
                <w:sz w:val="17"/>
                <w:szCs w:val="17"/>
              </w:rPr>
              <w:t xml:space="preserve">No section introduces a parallel governance structure; Sections 2.10, 8.12, and 12.1 each independently restate and honour the same 'no parallel governance track' design choice.</w:t>
            </w:r>
          </w:p>
        </w:tc>
      </w:tr>
      <w:tr>
        <w:tc>
          <w:tcPr>
            <w:tcW w:type="dxa" w:w="3277"/>
            <w:tcMar>
              <w:top w:type="dxa" w:w="70"/>
              <w:left w:type="dxa" w:w="90"/>
              <w:bottom w:type="dxa" w:w="70"/>
              <w:right w:type="dxa" w:w="90"/>
            </w:tcMar>
            <w:vAlign w:val="top"/>
          </w:tcPr>
          <w:p>
            <w:r>
              <w:rPr>
                <w:b/>
                <w:bCs/>
                <w:color w:val="000000"/>
                <w:sz w:val="17"/>
                <w:szCs w:val="17"/>
              </w:rPr>
              <w:t xml:space="preserve">Phase 1 / Phase 2 boundary held without exception</w:t>
            </w:r>
          </w:p>
        </w:tc>
        <w:tc>
          <w:tcPr>
            <w:tcW w:type="dxa" w:w="6963"/>
            <w:tcMar>
              <w:top w:type="dxa" w:w="70"/>
              <w:left w:type="dxa" w:w="90"/>
              <w:bottom w:type="dxa" w:w="70"/>
              <w:right w:type="dxa" w:w="90"/>
            </w:tcMar>
            <w:vAlign w:val="top"/>
          </w:tcPr>
          <w:p>
            <w:r>
              <w:rPr>
                <w:b w:val="false"/>
                <w:bCs w:val="false"/>
                <w:color w:val="000000"/>
                <w:sz w:val="17"/>
                <w:szCs w:val="17"/>
              </w:rPr>
              <w:t xml:space="preserve">Every AI capability (Section 9), every BI extension (Section 4.4), and the Knowledge Graph (Section 5.15) are consistently marked as Phase 2, never silently folded into the Phase 1 baseline — verified across Sections 3, 9, 10, and 11.</w:t>
            </w:r>
          </w:p>
        </w:tc>
      </w:tr>
      <w:tr>
        <w:tc>
          <w:tcPr>
            <w:tcW w:type="dxa" w:w="3277"/>
            <w:tcMar>
              <w:top w:type="dxa" w:w="70"/>
              <w:left w:type="dxa" w:w="90"/>
              <w:bottom w:type="dxa" w:w="70"/>
              <w:right w:type="dxa" w:w="90"/>
            </w:tcMar>
            <w:vAlign w:val="top"/>
          </w:tcPr>
          <w:p>
            <w:r>
              <w:rPr>
                <w:b/>
                <w:bCs/>
                <w:color w:val="000000"/>
                <w:sz w:val="17"/>
                <w:szCs w:val="17"/>
              </w:rPr>
              <w:t xml:space="preserve">End-to-end MoSCoW traceability</w:t>
            </w:r>
          </w:p>
        </w:tc>
        <w:tc>
          <w:tcPr>
            <w:tcW w:type="dxa" w:w="6963"/>
            <w:tcMar>
              <w:top w:type="dxa" w:w="70"/>
              <w:left w:type="dxa" w:w="90"/>
              <w:bottom w:type="dxa" w:w="70"/>
              <w:right w:type="dxa" w:w="90"/>
            </w:tcMar>
            <w:vAlign w:val="top"/>
          </w:tcPr>
          <w:p>
            <w:r>
              <w:rPr>
                <w:b w:val="false"/>
                <w:bCs w:val="false"/>
                <w:color w:val="000000"/>
                <w:sz w:val="17"/>
                <w:szCs w:val="17"/>
              </w:rPr>
              <w:t xml:space="preserve">The MoSCoW prioritization fixed once in Section 3.2 is the same prioritization referenced in the Module Inventory (Section 4.1), the Technology Evaluation methodology (Section 10.1), and the Roadmap's Quick Wins (Section 11.5) — a single source of truth, not four independent judgments.</w:t>
            </w:r>
          </w:p>
        </w:tc>
      </w:tr>
      <w:tr>
        <w:tc>
          <w:tcPr>
            <w:tcW w:type="dxa" w:w="3277"/>
            <w:tcMar>
              <w:top w:type="dxa" w:w="70"/>
              <w:left w:type="dxa" w:w="90"/>
              <w:bottom w:type="dxa" w:w="70"/>
              <w:right w:type="dxa" w:w="90"/>
            </w:tcMar>
            <w:vAlign w:val="top"/>
          </w:tcPr>
          <w:p>
            <w:r>
              <w:rPr>
                <w:b/>
                <w:bCs/>
                <w:color w:val="000000"/>
                <w:sz w:val="17"/>
                <w:szCs w:val="17"/>
              </w:rPr>
              <w:t xml:space="preserve">Decision Rights and RACI consistency</w:t>
            </w:r>
          </w:p>
        </w:tc>
        <w:tc>
          <w:tcPr>
            <w:tcW w:type="dxa" w:w="6963"/>
            <w:tcMar>
              <w:top w:type="dxa" w:w="70"/>
              <w:left w:type="dxa" w:w="90"/>
              <w:bottom w:type="dxa" w:w="70"/>
              <w:right w:type="dxa" w:w="90"/>
            </w:tcMar>
            <w:vAlign w:val="top"/>
          </w:tcPr>
          <w:p>
            <w:r>
              <w:rPr>
                <w:b w:val="false"/>
                <w:bCs w:val="false"/>
                <w:color w:val="000000"/>
                <w:sz w:val="17"/>
                <w:szCs w:val="17"/>
              </w:rPr>
              <w:t xml:space="preserve">The Decision Model fixed in Section 2.9 is restated, not re-derived, in Sections 8.12 and 12.3; the delivery RACI (Section 2.13) and the new Operational Governance RACI (Section 12.4) share the same role vocabulary throughout.</w:t>
            </w:r>
          </w:p>
        </w:tc>
      </w:tr>
      <w:tr>
        <w:tc>
          <w:tcPr>
            <w:tcW w:type="dxa" w:w="3277"/>
            <w:tcMar>
              <w:top w:type="dxa" w:w="70"/>
              <w:left w:type="dxa" w:w="90"/>
              <w:bottom w:type="dxa" w:w="70"/>
              <w:right w:type="dxa" w:w="90"/>
            </w:tcMar>
            <w:vAlign w:val="top"/>
          </w:tcPr>
          <w:p>
            <w:r>
              <w:rPr>
                <w:b/>
                <w:bCs/>
                <w:color w:val="000000"/>
                <w:sz w:val="17"/>
                <w:szCs w:val="17"/>
              </w:rPr>
              <w:t xml:space="preserve">Anti-lock-in discipline applied consistently, not selectively</w:t>
            </w:r>
          </w:p>
        </w:tc>
        <w:tc>
          <w:tcPr>
            <w:tcW w:type="dxa" w:w="6963"/>
            <w:tcMar>
              <w:top w:type="dxa" w:w="70"/>
              <w:left w:type="dxa" w:w="90"/>
              <w:bottom w:type="dxa" w:w="70"/>
              <w:right w:type="dxa" w:w="90"/>
            </w:tcMar>
            <w:vAlign w:val="top"/>
          </w:tcPr>
          <w:p>
            <w:r>
              <w:rPr>
                <w:b w:val="false"/>
                <w:bCs w:val="false"/>
                <w:color w:val="000000"/>
                <w:sz w:val="17"/>
                <w:szCs w:val="17"/>
              </w:rPr>
              <w:t xml:space="preserve">The vendor lock-in mitigation principle first stated in Section 3.1 is the explicit deciding factor in the OpenSearch (Section 10.4) and Keycloak (Section 10.9) recommendations specifically — evidence the principle was actually applied, not merely stated as an aspiration.</w:t>
            </w:r>
          </w:p>
        </w:tc>
      </w:tr>
      <w:tr>
        <w:tc>
          <w:tcPr>
            <w:tcW w:type="dxa" w:w="3277"/>
            <w:tcMar>
              <w:top w:type="dxa" w:w="70"/>
              <w:left w:type="dxa" w:w="90"/>
              <w:bottom w:type="dxa" w:w="70"/>
              <w:right w:type="dxa" w:w="90"/>
            </w:tcMar>
            <w:vAlign w:val="top"/>
          </w:tcPr>
          <w:p>
            <w:r>
              <w:rPr>
                <w:b/>
                <w:bCs/>
                <w:color w:val="000000"/>
                <w:sz w:val="17"/>
                <w:szCs w:val="17"/>
              </w:rPr>
              <w:t xml:space="preserve">Risk ownership without exception</w:t>
            </w:r>
          </w:p>
        </w:tc>
        <w:tc>
          <w:tcPr>
            <w:tcW w:type="dxa" w:w="6963"/>
            <w:tcMar>
              <w:top w:type="dxa" w:w="70"/>
              <w:left w:type="dxa" w:w="90"/>
              <w:bottom w:type="dxa" w:w="70"/>
              <w:right w:type="dxa" w:w="90"/>
            </w:tcMar>
            <w:vAlign w:val="top"/>
          </w:tcPr>
          <w:p>
            <w:r>
              <w:rPr>
                <w:b w:val="false"/>
                <w:bCs w:val="false"/>
                <w:color w:val="000000"/>
                <w:sz w:val="17"/>
                <w:szCs w:val="17"/>
              </w:rPr>
              <w:t xml:space="preserve">Every one of the nineteen risks in the Section 14 register carries a named owner drawn from the Organisation Model (Section 2.7); no risk is left unassigned.</w:t>
            </w:r>
          </w:p>
        </w:tc>
      </w:tr>
    </w:tbl>
    <w:p>
      <w:pPr>
        <w:spacing w:after="160"/>
      </w:pPr>
    </w:p>
    <w:p>
      <w:pPr>
        <w:pStyle w:val="Heading1"/>
        <w:pBdr>
          <w:bottom w:val="single" w:color="1F3864" w:sz="6" w:space="4"/>
        </w:pBdr>
        <w:spacing w:after="130" w:before="320"/>
      </w:pPr>
      <w:r>
        <w:t xml:space="preserve">15.3 Assumptions Challenged</w:t>
      </w:r>
    </w:p>
    <w:p>
      <w:pPr>
        <w:spacing w:after="150" w:line="276"/>
        <w:jc w:val="both"/>
      </w:pPr>
      <w:r>
        <w:t xml:space="preserve">Six assumptions made earlier in this Blueprint are tested here explicitly, rather than left standing unexamined simply because they were reasonable at the point each was made.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1229"/>
        <w:gridCol w:w="3482"/>
        <w:gridCol w:w="3072"/>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Assumption</w:t>
            </w:r>
          </w:p>
        </w:tc>
        <w:tc>
          <w:tcPr>
            <w:tcW w:type="dxa" w:w="1229"/>
            <w:shd w:fill="1F3864" w:val="clear"/>
            <w:tcMar>
              <w:top w:type="dxa" w:w="70"/>
              <w:left w:type="dxa" w:w="90"/>
              <w:bottom w:type="dxa" w:w="70"/>
              <w:right w:type="dxa" w:w="90"/>
            </w:tcMar>
            <w:vAlign w:val="top"/>
          </w:tcPr>
          <w:p>
            <w:r>
              <w:rPr>
                <w:b/>
                <w:bCs/>
                <w:color w:val="FFFFFF"/>
                <w:sz w:val="17"/>
                <w:szCs w:val="17"/>
              </w:rPr>
              <w:t xml:space="preserve">Where Made</w:t>
            </w:r>
          </w:p>
        </w:tc>
        <w:tc>
          <w:tcPr>
            <w:tcW w:type="dxa" w:w="3482"/>
            <w:shd w:fill="1F3864" w:val="clear"/>
            <w:tcMar>
              <w:top w:type="dxa" w:w="70"/>
              <w:left w:type="dxa" w:w="90"/>
              <w:bottom w:type="dxa" w:w="70"/>
              <w:right w:type="dxa" w:w="90"/>
            </w:tcMar>
            <w:vAlign w:val="top"/>
          </w:tcPr>
          <w:p>
            <w:r>
              <w:rPr>
                <w:b/>
                <w:bCs/>
                <w:color w:val="FFFFFF"/>
                <w:sz w:val="17"/>
                <w:szCs w:val="17"/>
              </w:rPr>
              <w:t xml:space="preserve">Challenge</w:t>
            </w:r>
          </w:p>
        </w:tc>
        <w:tc>
          <w:tcPr>
            <w:tcW w:type="dxa" w:w="3072"/>
            <w:shd w:fill="1F3864" w:val="clear"/>
            <w:tcMar>
              <w:top w:type="dxa" w:w="70"/>
              <w:left w:type="dxa" w:w="90"/>
              <w:bottom w:type="dxa" w:w="70"/>
              <w:right w:type="dxa" w:w="90"/>
            </w:tcMar>
            <w:vAlign w:val="top"/>
          </w:tcPr>
          <w:p>
            <w:r>
              <w:rPr>
                <w:b/>
                <w:bCs/>
                <w:color w:val="FFFFFF"/>
                <w:sz w:val="17"/>
                <w:szCs w:val="17"/>
              </w:rPr>
              <w:t xml:space="preserve">Verdict</w:t>
            </w:r>
          </w:p>
        </w:tc>
      </w:tr>
      <w:tr>
        <w:tc>
          <w:tcPr>
            <w:tcW w:type="dxa" w:w="2458"/>
            <w:tcMar>
              <w:top w:type="dxa" w:w="70"/>
              <w:left w:type="dxa" w:w="90"/>
              <w:bottom w:type="dxa" w:w="70"/>
              <w:right w:type="dxa" w:w="90"/>
            </w:tcMar>
            <w:vAlign w:val="top"/>
          </w:tcPr>
          <w:p>
            <w:r>
              <w:rPr>
                <w:b/>
                <w:bCs/>
                <w:color w:val="000000"/>
                <w:sz w:val="16"/>
                <w:szCs w:val="16"/>
              </w:rPr>
              <w:t xml:space="preserve">All nine business capabilities begin at Level 1 (Ad hoc), uniformly.</w:t>
            </w:r>
          </w:p>
        </w:tc>
        <w:tc>
          <w:tcPr>
            <w:tcW w:type="dxa" w:w="1229"/>
            <w:tcMar>
              <w:top w:type="dxa" w:w="70"/>
              <w:left w:type="dxa" w:w="90"/>
              <w:bottom w:type="dxa" w:w="70"/>
              <w:right w:type="dxa" w:w="90"/>
            </w:tcMar>
            <w:vAlign w:val="top"/>
          </w:tcPr>
          <w:p>
            <w:r>
              <w:rPr>
                <w:b w:val="false"/>
                <w:bCs w:val="false"/>
                <w:color w:val="000000"/>
                <w:sz w:val="16"/>
                <w:szCs w:val="16"/>
              </w:rPr>
              <w:t xml:space="preserve">Section 2.4</w:t>
            </w:r>
          </w:p>
        </w:tc>
        <w:tc>
          <w:tcPr>
            <w:tcW w:type="dxa" w:w="3482"/>
            <w:tcMar>
              <w:top w:type="dxa" w:w="70"/>
              <w:left w:type="dxa" w:w="90"/>
              <w:bottom w:type="dxa" w:w="70"/>
              <w:right w:type="dxa" w:w="90"/>
            </w:tcMar>
            <w:vAlign w:val="top"/>
          </w:tcPr>
          <w:p>
            <w:r>
              <w:rPr>
                <w:b w:val="false"/>
                <w:bCs w:val="false"/>
                <w:color w:val="000000"/>
                <w:sz w:val="16"/>
                <w:szCs w:val="16"/>
              </w:rPr>
              <w:t xml:space="preserve">Is it plausible that every capability across seven states and the FCT is equally immature? Some states may have informal practices — a well-organized shared drive, a locally used spreadsheet tracker — that exceed a strict 'ad hoc' reading.</w:t>
            </w:r>
          </w:p>
        </w:tc>
        <w:tc>
          <w:tcPr>
            <w:tcW w:type="dxa" w:w="3072"/>
            <w:tcMar>
              <w:top w:type="dxa" w:w="70"/>
              <w:left w:type="dxa" w:w="90"/>
              <w:bottom w:type="dxa" w:w="70"/>
              <w:right w:type="dxa" w:w="90"/>
            </w:tcMar>
            <w:vAlign w:val="top"/>
          </w:tcPr>
          <w:p>
            <w:r>
              <w:rPr>
                <w:b w:val="false"/>
                <w:bCs w:val="false"/>
                <w:color w:val="000000"/>
                <w:sz w:val="16"/>
                <w:szCs w:val="16"/>
              </w:rPr>
              <w:t xml:space="preserve">Needs Refinement: the uniform Level 1 baseline should be confirmed, not assumed, during the Weeks 1–2 content and data audit (Section 6.8, Stage 1), and the Capability Heat Map (Section 2.4) revised if evidence shows a state-by-state variance.</w:t>
            </w:r>
          </w:p>
        </w:tc>
      </w:tr>
      <w:tr>
        <w:tc>
          <w:tcPr>
            <w:tcW w:type="dxa" w:w="2458"/>
            <w:tcMar>
              <w:top w:type="dxa" w:w="70"/>
              <w:left w:type="dxa" w:w="90"/>
              <w:bottom w:type="dxa" w:w="70"/>
              <w:right w:type="dxa" w:w="90"/>
            </w:tcMar>
            <w:vAlign w:val="top"/>
          </w:tcPr>
          <w:p>
            <w:r>
              <w:rPr>
                <w:b/>
                <w:bCs/>
                <w:color w:val="000000"/>
                <w:sz w:val="16"/>
                <w:szCs w:val="16"/>
              </w:rPr>
              <w:t xml:space="preserve">Microsoft Azure is the right cloud platform.</w:t>
            </w:r>
          </w:p>
        </w:tc>
        <w:tc>
          <w:tcPr>
            <w:tcW w:type="dxa" w:w="1229"/>
            <w:tcMar>
              <w:top w:type="dxa" w:w="70"/>
              <w:left w:type="dxa" w:w="90"/>
              <w:bottom w:type="dxa" w:w="70"/>
              <w:right w:type="dxa" w:w="90"/>
            </w:tcMar>
            <w:vAlign w:val="top"/>
          </w:tcPr>
          <w:p>
            <w:r>
              <w:rPr>
                <w:b w:val="false"/>
                <w:bCs w:val="false"/>
                <w:color w:val="000000"/>
                <w:sz w:val="16"/>
                <w:szCs w:val="16"/>
              </w:rPr>
              <w:t xml:space="preserve">Section 10.7</w:t>
            </w:r>
          </w:p>
        </w:tc>
        <w:tc>
          <w:tcPr>
            <w:tcW w:type="dxa" w:w="3482"/>
            <w:tcMar>
              <w:top w:type="dxa" w:w="70"/>
              <w:left w:type="dxa" w:w="90"/>
              <w:bottom w:type="dxa" w:w="70"/>
              <w:right w:type="dxa" w:w="90"/>
            </w:tcMar>
            <w:vAlign w:val="top"/>
          </w:tcPr>
          <w:p>
            <w:r>
              <w:rPr>
                <w:b w:val="false"/>
                <w:bCs w:val="false"/>
                <w:color w:val="000000"/>
                <w:sz w:val="16"/>
                <w:szCs w:val="16"/>
              </w:rPr>
              <w:t xml:space="preserve">The recommendation is explicitly conditional on the client's productivity suite being Microsoft 365. Is that confirmed, or assumed?</w:t>
            </w:r>
          </w:p>
        </w:tc>
        <w:tc>
          <w:tcPr>
            <w:tcW w:type="dxa" w:w="3072"/>
            <w:tcMar>
              <w:top w:type="dxa" w:w="70"/>
              <w:left w:type="dxa" w:w="90"/>
              <w:bottom w:type="dxa" w:w="70"/>
              <w:right w:type="dxa" w:w="90"/>
            </w:tcMar>
            <w:vAlign w:val="top"/>
          </w:tcPr>
          <w:p>
            <w:r>
              <w:rPr>
                <w:b w:val="false"/>
                <w:bCs w:val="false"/>
                <w:color w:val="000000"/>
                <w:sz w:val="16"/>
                <w:szCs w:val="16"/>
              </w:rPr>
              <w:t xml:space="preserve">Sound, with a stated condition: Section 10.7 already flags this as conditional and names AWS as the fallback; this review confirms that framing is honest rather than a disguised firm commitment, and reiterates it must be confirmed in Weeks 1–2.</w:t>
            </w:r>
          </w:p>
        </w:tc>
      </w:tr>
      <w:tr>
        <w:tc>
          <w:tcPr>
            <w:tcW w:type="dxa" w:w="2458"/>
            <w:tcMar>
              <w:top w:type="dxa" w:w="70"/>
              <w:left w:type="dxa" w:w="90"/>
              <w:bottom w:type="dxa" w:w="70"/>
              <w:right w:type="dxa" w:w="90"/>
            </w:tcMar>
            <w:vAlign w:val="top"/>
          </w:tcPr>
          <w:p>
            <w:r>
              <w:rPr>
                <w:b/>
                <w:bCs/>
                <w:color w:val="000000"/>
                <w:sz w:val="16"/>
                <w:szCs w:val="16"/>
              </w:rPr>
              <w:t xml:space="preserve">Two backend frameworks (Laravel and Node.js) is the right call over a single unified framework.</w:t>
            </w:r>
          </w:p>
        </w:tc>
        <w:tc>
          <w:tcPr>
            <w:tcW w:type="dxa" w:w="1229"/>
            <w:tcMar>
              <w:top w:type="dxa" w:w="70"/>
              <w:left w:type="dxa" w:w="90"/>
              <w:bottom w:type="dxa" w:w="70"/>
              <w:right w:type="dxa" w:w="90"/>
            </w:tcMar>
            <w:vAlign w:val="top"/>
          </w:tcPr>
          <w:p>
            <w:r>
              <w:rPr>
                <w:b w:val="false"/>
                <w:bCs w:val="false"/>
                <w:color w:val="000000"/>
                <w:sz w:val="16"/>
                <w:szCs w:val="16"/>
              </w:rPr>
              <w:t xml:space="preserve">Section 10.2</w:t>
            </w:r>
          </w:p>
        </w:tc>
        <w:tc>
          <w:tcPr>
            <w:tcW w:type="dxa" w:w="3482"/>
            <w:tcMar>
              <w:top w:type="dxa" w:w="70"/>
              <w:left w:type="dxa" w:w="90"/>
              <w:bottom w:type="dxa" w:w="70"/>
              <w:right w:type="dxa" w:w="90"/>
            </w:tcMar>
            <w:vAlign w:val="top"/>
          </w:tcPr>
          <w:p>
            <w:r>
              <w:rPr>
                <w:b w:val="false"/>
                <w:bCs w:val="false"/>
                <w:color w:val="000000"/>
                <w:sz w:val="16"/>
                <w:szCs w:val="16"/>
              </w:rPr>
              <w:t xml:space="preserve">A single-framework alternative — Laravel powering both ESM and CKR — was not evaluated on its own terms in Section 10.2, only implicitly rejected in favour of Node.js's event-driven fit for ESM.</w:t>
            </w:r>
          </w:p>
        </w:tc>
        <w:tc>
          <w:tcPr>
            <w:tcW w:type="dxa" w:w="3072"/>
            <w:tcMar>
              <w:top w:type="dxa" w:w="70"/>
              <w:left w:type="dxa" w:w="90"/>
              <w:bottom w:type="dxa" w:w="70"/>
              <w:right w:type="dxa" w:w="90"/>
            </w:tcMar>
            <w:vAlign w:val="top"/>
          </w:tcPr>
          <w:p>
            <w:r>
              <w:rPr>
                <w:b w:val="false"/>
                <w:bCs w:val="false"/>
                <w:color w:val="000000"/>
                <w:sz w:val="16"/>
                <w:szCs w:val="16"/>
              </w:rPr>
              <w:t xml:space="preserve">Needs Refinement: Section 15.5 below evaluates the single-framework alternative explicitly, closing this gap within this same review rather than deferring it.</w:t>
            </w:r>
          </w:p>
        </w:tc>
      </w:tr>
      <w:tr>
        <w:tc>
          <w:tcPr>
            <w:tcW w:type="dxa" w:w="2458"/>
            <w:tcMar>
              <w:top w:type="dxa" w:w="70"/>
              <w:left w:type="dxa" w:w="90"/>
              <w:bottom w:type="dxa" w:w="70"/>
              <w:right w:type="dxa" w:w="90"/>
            </w:tcMar>
            <w:vAlign w:val="top"/>
          </w:tcPr>
          <w:p>
            <w:r>
              <w:rPr>
                <w:b/>
                <w:bCs/>
                <w:color w:val="000000"/>
                <w:sz w:val="16"/>
                <w:szCs w:val="16"/>
              </w:rPr>
              <w:t xml:space="preserve">GIS integration (Section 7.3, profile #5) assumes usable geographic boundary data exists for all seven states and the FCT.</w:t>
            </w:r>
          </w:p>
        </w:tc>
        <w:tc>
          <w:tcPr>
            <w:tcW w:type="dxa" w:w="1229"/>
            <w:tcMar>
              <w:top w:type="dxa" w:w="70"/>
              <w:left w:type="dxa" w:w="90"/>
              <w:bottom w:type="dxa" w:w="70"/>
              <w:right w:type="dxa" w:w="90"/>
            </w:tcMar>
            <w:vAlign w:val="top"/>
          </w:tcPr>
          <w:p>
            <w:r>
              <w:rPr>
                <w:b w:val="false"/>
                <w:bCs w:val="false"/>
                <w:color w:val="000000"/>
                <w:sz w:val="16"/>
                <w:szCs w:val="16"/>
              </w:rPr>
              <w:t xml:space="preserve">Section 7.3</w:t>
            </w:r>
          </w:p>
        </w:tc>
        <w:tc>
          <w:tcPr>
            <w:tcW w:type="dxa" w:w="3482"/>
            <w:tcMar>
              <w:top w:type="dxa" w:w="70"/>
              <w:left w:type="dxa" w:w="90"/>
              <w:bottom w:type="dxa" w:w="70"/>
              <w:right w:type="dxa" w:w="90"/>
            </w:tcMar>
            <w:vAlign w:val="top"/>
          </w:tcPr>
          <w:p>
            <w:r>
              <w:rPr>
                <w:b w:val="false"/>
                <w:bCs w:val="false"/>
                <w:color w:val="000000"/>
                <w:sz w:val="16"/>
                <w:szCs w:val="16"/>
              </w:rPr>
              <w:t xml:space="preserve">No section confirms that state-level boundary data (GeoJSON-ready) is actually available or of adequate quality; this was proposed as a value-add without verifying its own precondition.</w:t>
            </w:r>
          </w:p>
        </w:tc>
        <w:tc>
          <w:tcPr>
            <w:tcW w:type="dxa" w:w="3072"/>
            <w:tcMar>
              <w:top w:type="dxa" w:w="70"/>
              <w:left w:type="dxa" w:w="90"/>
              <w:bottom w:type="dxa" w:w="70"/>
              <w:right w:type="dxa" w:w="90"/>
            </w:tcMar>
            <w:vAlign w:val="top"/>
          </w:tcPr>
          <w:p>
            <w:r>
              <w:rPr>
                <w:b w:val="false"/>
                <w:bCs w:val="false"/>
                <w:color w:val="000000"/>
                <w:sz w:val="16"/>
                <w:szCs w:val="16"/>
              </w:rPr>
              <w:t xml:space="preserve">Gap: flagged for remediation (Section 15.6) — GIS data availability must be confirmed during the Weeks 1–2 audit before this Should Have commitment is treated as viable.</w:t>
            </w:r>
          </w:p>
        </w:tc>
      </w:tr>
      <w:tr>
        <w:tc>
          <w:tcPr>
            <w:tcW w:type="dxa" w:w="2458"/>
            <w:tcMar>
              <w:top w:type="dxa" w:w="70"/>
              <w:left w:type="dxa" w:w="90"/>
              <w:bottom w:type="dxa" w:w="70"/>
              <w:right w:type="dxa" w:w="90"/>
            </w:tcMar>
            <w:vAlign w:val="top"/>
          </w:tcPr>
          <w:p>
            <w:r>
              <w:rPr>
                <w:b/>
                <w:bCs/>
                <w:color w:val="000000"/>
                <w:sz w:val="16"/>
                <w:szCs w:val="16"/>
              </w:rPr>
              <w:t xml:space="preserve">A single named consultant can deliver architecture, configuration, and migration across seven states within twelve weeks.</w:t>
            </w:r>
          </w:p>
        </w:tc>
        <w:tc>
          <w:tcPr>
            <w:tcW w:type="dxa" w:w="1229"/>
            <w:tcMar>
              <w:top w:type="dxa" w:w="70"/>
              <w:left w:type="dxa" w:w="90"/>
              <w:bottom w:type="dxa" w:w="70"/>
              <w:right w:type="dxa" w:w="90"/>
            </w:tcMar>
            <w:vAlign w:val="top"/>
          </w:tcPr>
          <w:p>
            <w:r>
              <w:rPr>
                <w:b w:val="false"/>
                <w:bCs w:val="false"/>
                <w:color w:val="000000"/>
                <w:sz w:val="16"/>
                <w:szCs w:val="16"/>
              </w:rPr>
              <w:t xml:space="preserve">Section 13.6</w:t>
            </w:r>
          </w:p>
        </w:tc>
        <w:tc>
          <w:tcPr>
            <w:tcW w:type="dxa" w:w="3482"/>
            <w:tcMar>
              <w:top w:type="dxa" w:w="70"/>
              <w:left w:type="dxa" w:w="90"/>
              <w:bottom w:type="dxa" w:w="70"/>
              <w:right w:type="dxa" w:w="90"/>
            </w:tcMar>
            <w:vAlign w:val="top"/>
          </w:tcPr>
          <w:p>
            <w:r>
              <w:rPr>
                <w:b w:val="false"/>
                <w:bCs w:val="false"/>
                <w:color w:val="000000"/>
                <w:sz w:val="16"/>
                <w:szCs w:val="16"/>
              </w:rPr>
              <w:t xml:space="preserve">The Master Bid &amp; Delivery Strategy's own resource-loading analysis already raises this as a genuine constraint, not a settled fact.</w:t>
            </w:r>
          </w:p>
        </w:tc>
        <w:tc>
          <w:tcPr>
            <w:tcW w:type="dxa" w:w="3072"/>
            <w:tcMar>
              <w:top w:type="dxa" w:w="70"/>
              <w:left w:type="dxa" w:w="90"/>
              <w:bottom w:type="dxa" w:w="70"/>
              <w:right w:type="dxa" w:w="90"/>
            </w:tcMar>
            <w:vAlign w:val="top"/>
          </w:tcPr>
          <w:p>
            <w:r>
              <w:rPr>
                <w:b w:val="false"/>
                <w:bCs w:val="false"/>
                <w:color w:val="000000"/>
                <w:sz w:val="16"/>
                <w:szCs w:val="16"/>
              </w:rPr>
              <w:t xml:space="preserve">Sound, with mitigation already in place: Section 13.6's bounded specialist support and Section 13.5's critical path sequencing directly address this; residual risk is carried explicitly as R-15 in the Section 14 register rather than assumed away.</w:t>
            </w:r>
          </w:p>
        </w:tc>
      </w:tr>
      <w:tr>
        <w:tc>
          <w:tcPr>
            <w:tcW w:type="dxa" w:w="2458"/>
            <w:tcMar>
              <w:top w:type="dxa" w:w="70"/>
              <w:left w:type="dxa" w:w="90"/>
              <w:bottom w:type="dxa" w:w="70"/>
              <w:right w:type="dxa" w:w="90"/>
            </w:tcMar>
            <w:vAlign w:val="top"/>
          </w:tcPr>
          <w:p>
            <w:r>
              <w:rPr>
                <w:b/>
                <w:bCs/>
                <w:color w:val="000000"/>
                <w:sz w:val="16"/>
                <w:szCs w:val="16"/>
              </w:rPr>
              <w:t xml:space="preserve">Disaster recovery targets (24-hour RPO, 8-hour RTO, Section 6.12) are achievable on a managed cloud platform without a specified secondary region.</w:t>
            </w:r>
          </w:p>
        </w:tc>
        <w:tc>
          <w:tcPr>
            <w:tcW w:type="dxa" w:w="1229"/>
            <w:tcMar>
              <w:top w:type="dxa" w:w="70"/>
              <w:left w:type="dxa" w:w="90"/>
              <w:bottom w:type="dxa" w:w="70"/>
              <w:right w:type="dxa" w:w="90"/>
            </w:tcMar>
            <w:vAlign w:val="top"/>
          </w:tcPr>
          <w:p>
            <w:r>
              <w:rPr>
                <w:b w:val="false"/>
                <w:bCs w:val="false"/>
                <w:color w:val="000000"/>
                <w:sz w:val="16"/>
                <w:szCs w:val="16"/>
              </w:rPr>
              <w:t xml:space="preserve">Section 8.10</w:t>
            </w:r>
          </w:p>
        </w:tc>
        <w:tc>
          <w:tcPr>
            <w:tcW w:type="dxa" w:w="3482"/>
            <w:tcMar>
              <w:top w:type="dxa" w:w="70"/>
              <w:left w:type="dxa" w:w="90"/>
              <w:bottom w:type="dxa" w:w="70"/>
              <w:right w:type="dxa" w:w="90"/>
            </w:tcMar>
            <w:vAlign w:val="top"/>
          </w:tcPr>
          <w:p>
            <w:r>
              <w:rPr>
                <w:b w:val="false"/>
                <w:bCs w:val="false"/>
                <w:color w:val="000000"/>
                <w:sz w:val="16"/>
                <w:szCs w:val="16"/>
              </w:rPr>
              <w:t xml:space="preserve">The Blueprint relies on 'the managed platform's own infrastructure resilience' without confirming whether a secondary-region failover is actually provisioned or merely assumed available.</w:t>
            </w:r>
          </w:p>
        </w:tc>
        <w:tc>
          <w:tcPr>
            <w:tcW w:type="dxa" w:w="3072"/>
            <w:tcMar>
              <w:top w:type="dxa" w:w="70"/>
              <w:left w:type="dxa" w:w="90"/>
              <w:bottom w:type="dxa" w:w="70"/>
              <w:right w:type="dxa" w:w="90"/>
            </w:tcMar>
            <w:vAlign w:val="top"/>
          </w:tcPr>
          <w:p>
            <w:r>
              <w:rPr>
                <w:b w:val="false"/>
                <w:bCs w:val="false"/>
                <w:color w:val="000000"/>
                <w:sz w:val="16"/>
                <w:szCs w:val="16"/>
              </w:rPr>
              <w:t xml:space="preserve">Needs Refinement: flagged for remediation (Section 15.6) — secondary-region provisioning must be confirmed as part of the Weeks 1–2 Azure environment design, not left implicit.</w:t>
            </w:r>
          </w:p>
        </w:tc>
      </w:tr>
    </w:tbl>
    <w:p>
      <w:pPr>
        <w:spacing w:after="160"/>
      </w:pPr>
    </w:p>
    <w:p>
      <w:pPr>
        <w:pStyle w:val="Heading1"/>
        <w:pBdr>
          <w:bottom w:val="single" w:color="1F3864" w:sz="6" w:space="4"/>
        </w:pBdr>
        <w:spacing w:after="130" w:before="320"/>
      </w:pPr>
      <w:r>
        <w:t xml:space="preserve">15.4 Weaknesses and Gaps Identified</w:t>
      </w:r>
    </w:p>
    <w:p>
      <w:pPr>
        <w:spacing w:after="150" w:line="276"/>
        <w:jc w:val="both"/>
      </w:pPr>
      <w:r>
        <w:t xml:space="preserve">Six genuine gaps are identified — findings that would weaken this Blueprint if left unaddressed, distinguished from the assumptions above by being missing components rather than untested premises.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1638"/>
        <w:gridCol w:w="1229"/>
        <w:gridCol w:w="4710"/>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Gap</w:t>
            </w:r>
          </w:p>
        </w:tc>
        <w:tc>
          <w:tcPr>
            <w:tcW w:type="dxa" w:w="1638"/>
            <w:shd w:fill="1F3864" w:val="clear"/>
            <w:tcMar>
              <w:top w:type="dxa" w:w="70"/>
              <w:left w:type="dxa" w:w="90"/>
              <w:bottom w:type="dxa" w:w="70"/>
              <w:right w:type="dxa" w:w="90"/>
            </w:tcMar>
            <w:vAlign w:val="top"/>
          </w:tcPr>
          <w:p>
            <w:r>
              <w:rPr>
                <w:b/>
                <w:bCs/>
                <w:color w:val="FFFFFF"/>
                <w:sz w:val="17"/>
                <w:szCs w:val="17"/>
              </w:rPr>
              <w:t xml:space="preserve">Section Affected</w:t>
            </w:r>
          </w:p>
        </w:tc>
        <w:tc>
          <w:tcPr>
            <w:tcW w:type="dxa" w:w="1229"/>
            <w:shd w:fill="1F3864" w:val="clear"/>
            <w:tcMar>
              <w:top w:type="dxa" w:w="70"/>
              <w:left w:type="dxa" w:w="90"/>
              <w:bottom w:type="dxa" w:w="70"/>
              <w:right w:type="dxa" w:w="90"/>
            </w:tcMar>
            <w:vAlign w:val="top"/>
          </w:tcPr>
          <w:p>
            <w:r>
              <w:rPr>
                <w:b/>
                <w:bCs/>
                <w:color w:val="FFFFFF"/>
                <w:sz w:val="17"/>
                <w:szCs w:val="17"/>
              </w:rPr>
              <w:t xml:space="preserve">Severity</w:t>
            </w:r>
          </w:p>
        </w:tc>
        <w:tc>
          <w:tcPr>
            <w:tcW w:type="dxa" w:w="4710"/>
            <w:shd w:fill="1F3864" w:val="clear"/>
            <w:tcMar>
              <w:top w:type="dxa" w:w="70"/>
              <w:left w:type="dxa" w:w="90"/>
              <w:bottom w:type="dxa" w:w="70"/>
              <w:right w:type="dxa" w:w="90"/>
            </w:tcMar>
            <w:vAlign w:val="top"/>
          </w:tcPr>
          <w:p>
            <w:r>
              <w:rPr>
                <w:b/>
                <w:bCs/>
                <w:color w:val="FFFFFF"/>
                <w:sz w:val="17"/>
                <w:szCs w:val="17"/>
              </w:rPr>
              <w:t xml:space="preserve">Recommendation</w:t>
            </w:r>
          </w:p>
        </w:tc>
      </w:tr>
      <w:tr>
        <w:tc>
          <w:tcPr>
            <w:tcW w:type="dxa" w:w="2662"/>
            <w:tcMar>
              <w:top w:type="dxa" w:w="70"/>
              <w:left w:type="dxa" w:w="90"/>
              <w:bottom w:type="dxa" w:w="70"/>
              <w:right w:type="dxa" w:w="90"/>
            </w:tcMar>
            <w:vAlign w:val="top"/>
          </w:tcPr>
          <w:p>
            <w:r>
              <w:rPr>
                <w:b/>
                <w:bCs/>
                <w:color w:val="000000"/>
                <w:sz w:val="16"/>
                <w:szCs w:val="16"/>
              </w:rPr>
              <w:t xml:space="preserve">No visual architecture diagrams exist yet within the Blueprint itself.</w:t>
            </w:r>
          </w:p>
        </w:tc>
        <w:tc>
          <w:tcPr>
            <w:tcW w:type="dxa" w:w="1638"/>
            <w:tcMar>
              <w:top w:type="dxa" w:w="70"/>
              <w:left w:type="dxa" w:w="90"/>
              <w:bottom w:type="dxa" w:w="70"/>
              <w:right w:type="dxa" w:w="90"/>
            </w:tcMar>
            <w:vAlign w:val="top"/>
          </w:tcPr>
          <w:p>
            <w:r>
              <w:rPr>
                <w:b w:val="false"/>
                <w:bCs w:val="false"/>
                <w:color w:val="000000"/>
                <w:sz w:val="16"/>
                <w:szCs w:val="16"/>
              </w:rPr>
              <w:t xml:space="preserve">All sections</w:t>
            </w:r>
          </w:p>
        </w:tc>
        <w:tc>
          <w:tcPr>
            <w:tcW w:type="dxa" w:w="1229"/>
            <w:tcMar>
              <w:top w:type="dxa" w:w="70"/>
              <w:left w:type="dxa" w:w="90"/>
              <w:bottom w:type="dxa" w:w="70"/>
              <w:right w:type="dxa" w:w="90"/>
            </w:tcMar>
            <w:vAlign w:val="top"/>
          </w:tcPr>
          <w:p>
            <w:r>
              <w:rPr>
                <w:b w:val="false"/>
                <w:bCs w:val="false"/>
                <w:color w:val="000000"/>
                <w:sz w:val="16"/>
                <w:szCs w:val="16"/>
              </w:rPr>
              <w:t xml:space="preserve">Low (by design)</w:t>
            </w:r>
          </w:p>
        </w:tc>
        <w:tc>
          <w:tcPr>
            <w:tcW w:type="dxa" w:w="4710"/>
            <w:tcMar>
              <w:top w:type="dxa" w:w="70"/>
              <w:left w:type="dxa" w:w="90"/>
              <w:bottom w:type="dxa" w:w="70"/>
              <w:right w:type="dxa" w:w="90"/>
            </w:tcMar>
            <w:vAlign w:val="top"/>
          </w:tcPr>
          <w:p>
            <w:r>
              <w:rPr>
                <w:b w:val="false"/>
                <w:bCs w:val="false"/>
                <w:color w:val="000000"/>
                <w:sz w:val="16"/>
                <w:szCs w:val="16"/>
              </w:rPr>
              <w:t xml:space="preserve">This is a deliberate, stated deferral, not an oversight: Section 16 specifies the full diagram set for production. Flagged here so the deferral is an explicit review finding, not a silent gap.</w:t>
            </w:r>
          </w:p>
        </w:tc>
      </w:tr>
      <w:tr>
        <w:tc>
          <w:tcPr>
            <w:tcW w:type="dxa" w:w="2662"/>
            <w:tcMar>
              <w:top w:type="dxa" w:w="70"/>
              <w:left w:type="dxa" w:w="90"/>
              <w:bottom w:type="dxa" w:w="70"/>
              <w:right w:type="dxa" w:w="90"/>
            </w:tcMar>
            <w:vAlign w:val="top"/>
          </w:tcPr>
          <w:p>
            <w:r>
              <w:rPr>
                <w:b/>
                <w:bCs/>
                <w:color w:val="000000"/>
                <w:sz w:val="16"/>
                <w:szCs w:val="16"/>
              </w:rPr>
              <w:t xml:space="preserve">No formal Data Protection Impact Assessment (DPIA) process is specified, beyond the personal-data inventory fixed in Section 6.11.</w:t>
            </w:r>
          </w:p>
        </w:tc>
        <w:tc>
          <w:tcPr>
            <w:tcW w:type="dxa" w:w="1638"/>
            <w:tcMar>
              <w:top w:type="dxa" w:w="70"/>
              <w:left w:type="dxa" w:w="90"/>
              <w:bottom w:type="dxa" w:w="70"/>
              <w:right w:type="dxa" w:w="90"/>
            </w:tcMar>
            <w:vAlign w:val="top"/>
          </w:tcPr>
          <w:p>
            <w:r>
              <w:rPr>
                <w:b w:val="false"/>
                <w:bCs w:val="false"/>
                <w:color w:val="000000"/>
                <w:sz w:val="16"/>
                <w:szCs w:val="16"/>
              </w:rPr>
              <w:t xml:space="preserve">Section 6.11, Section 8.2</w:t>
            </w:r>
          </w:p>
        </w:tc>
        <w:tc>
          <w:tcPr>
            <w:tcW w:type="dxa" w:w="1229"/>
            <w:tcMar>
              <w:top w:type="dxa" w:w="70"/>
              <w:left w:type="dxa" w:w="90"/>
              <w:bottom w:type="dxa" w:w="70"/>
              <w:right w:type="dxa" w:w="90"/>
            </w:tcMar>
            <w:vAlign w:val="top"/>
          </w:tcPr>
          <w:p>
            <w:r>
              <w:rPr>
                <w:b w:val="false"/>
                <w:bCs w:val="false"/>
                <w:color w:val="000000"/>
                <w:sz w:val="16"/>
                <w:szCs w:val="16"/>
              </w:rPr>
              <w:t xml:space="preserve">Medium</w:t>
            </w:r>
          </w:p>
        </w:tc>
        <w:tc>
          <w:tcPr>
            <w:tcW w:type="dxa" w:w="4710"/>
            <w:tcMar>
              <w:top w:type="dxa" w:w="70"/>
              <w:left w:type="dxa" w:w="90"/>
              <w:bottom w:type="dxa" w:w="70"/>
              <w:right w:type="dxa" w:w="90"/>
            </w:tcMar>
            <w:vAlign w:val="top"/>
          </w:tcPr>
          <w:p>
            <w:r>
              <w:rPr>
                <w:b w:val="false"/>
                <w:bCs w:val="false"/>
                <w:color w:val="000000"/>
                <w:sz w:val="16"/>
                <w:szCs w:val="16"/>
              </w:rPr>
              <w:t xml:space="preserve">Add a DPIA as a named activity within the Governance Charter's own scope (Section 2.10), conducted during Weeks 1–2 alongside the content and data audit, given NDPR's expectation of documented risk assessment for personal data processing.</w:t>
            </w:r>
          </w:p>
        </w:tc>
      </w:tr>
      <w:tr>
        <w:tc>
          <w:tcPr>
            <w:tcW w:type="dxa" w:w="2662"/>
            <w:tcMar>
              <w:top w:type="dxa" w:w="70"/>
              <w:left w:type="dxa" w:w="90"/>
              <w:bottom w:type="dxa" w:w="70"/>
              <w:right w:type="dxa" w:w="90"/>
            </w:tcMar>
            <w:vAlign w:val="top"/>
          </w:tcPr>
          <w:p>
            <w:r>
              <w:rPr>
                <w:b/>
                <w:bCs/>
                <w:color w:val="000000"/>
                <w:sz w:val="16"/>
                <w:szCs w:val="16"/>
              </w:rPr>
              <w:t xml:space="preserve">No digital accessibility standard (for example, WCAG) is specified for the Public Portal, despite the TOR naming community organizations, women, and youth as stakeholder groups.</w:t>
            </w:r>
          </w:p>
        </w:tc>
        <w:tc>
          <w:tcPr>
            <w:tcW w:type="dxa" w:w="1638"/>
            <w:tcMar>
              <w:top w:type="dxa" w:w="70"/>
              <w:left w:type="dxa" w:w="90"/>
              <w:bottom w:type="dxa" w:w="70"/>
              <w:right w:type="dxa" w:w="90"/>
            </w:tcMar>
            <w:vAlign w:val="top"/>
          </w:tcPr>
          <w:p>
            <w:r>
              <w:rPr>
                <w:b w:val="false"/>
                <w:bCs w:val="false"/>
                <w:color w:val="000000"/>
                <w:sz w:val="16"/>
                <w:szCs w:val="16"/>
              </w:rPr>
              <w:t xml:space="preserve">Section 4.3 (module 13, Public Portal)</w:t>
            </w:r>
          </w:p>
        </w:tc>
        <w:tc>
          <w:tcPr>
            <w:tcW w:type="dxa" w:w="1229"/>
            <w:tcMar>
              <w:top w:type="dxa" w:w="70"/>
              <w:left w:type="dxa" w:w="90"/>
              <w:bottom w:type="dxa" w:w="70"/>
              <w:right w:type="dxa" w:w="90"/>
            </w:tcMar>
            <w:vAlign w:val="top"/>
          </w:tcPr>
          <w:p>
            <w:r>
              <w:rPr>
                <w:b w:val="false"/>
                <w:bCs w:val="false"/>
                <w:color w:val="000000"/>
                <w:sz w:val="16"/>
                <w:szCs w:val="16"/>
              </w:rPr>
              <w:t xml:space="preserve">Medium</w:t>
            </w:r>
          </w:p>
        </w:tc>
        <w:tc>
          <w:tcPr>
            <w:tcW w:type="dxa" w:w="4710"/>
            <w:tcMar>
              <w:top w:type="dxa" w:w="70"/>
              <w:left w:type="dxa" w:w="90"/>
              <w:bottom w:type="dxa" w:w="70"/>
              <w:right w:type="dxa" w:w="90"/>
            </w:tcMar>
            <w:vAlign w:val="top"/>
          </w:tcPr>
          <w:p>
            <w:r>
              <w:rPr>
                <w:b w:val="false"/>
                <w:bCs w:val="false"/>
                <w:color w:val="000000"/>
                <w:sz w:val="16"/>
                <w:szCs w:val="16"/>
              </w:rPr>
              <w:t xml:space="preserve">Adopt WCAG 2.1 Level AA as an explicit Public Portal requirement, added to that module's Features attribute, and verified as part of the Section 13.9 quality gates before go-live.</w:t>
            </w:r>
          </w:p>
        </w:tc>
      </w:tr>
      <w:tr>
        <w:tc>
          <w:tcPr>
            <w:tcW w:type="dxa" w:w="2662"/>
            <w:tcMar>
              <w:top w:type="dxa" w:w="70"/>
              <w:left w:type="dxa" w:w="90"/>
              <w:bottom w:type="dxa" w:w="70"/>
              <w:right w:type="dxa" w:w="90"/>
            </w:tcMar>
            <w:vAlign w:val="top"/>
          </w:tcPr>
          <w:p>
            <w:r>
              <w:rPr>
                <w:b/>
                <w:bCs/>
                <w:color w:val="000000"/>
                <w:sz w:val="16"/>
                <w:szCs w:val="16"/>
              </w:rPr>
              <w:t xml:space="preserve">Resource Requirements (Section 13.6) are stated qualitatively (roles and commitment level) without a quantified effort estimate in person-days.</w:t>
            </w:r>
          </w:p>
        </w:tc>
        <w:tc>
          <w:tcPr>
            <w:tcW w:type="dxa" w:w="1638"/>
            <w:tcMar>
              <w:top w:type="dxa" w:w="70"/>
              <w:left w:type="dxa" w:w="90"/>
              <w:bottom w:type="dxa" w:w="70"/>
              <w:right w:type="dxa" w:w="90"/>
            </w:tcMar>
            <w:vAlign w:val="top"/>
          </w:tcPr>
          <w:p>
            <w:r>
              <w:rPr>
                <w:b w:val="false"/>
                <w:bCs w:val="false"/>
                <w:color w:val="000000"/>
                <w:sz w:val="16"/>
                <w:szCs w:val="16"/>
              </w:rPr>
              <w:t xml:space="preserve">Section 13.6</w:t>
            </w:r>
          </w:p>
        </w:tc>
        <w:tc>
          <w:tcPr>
            <w:tcW w:type="dxa" w:w="1229"/>
            <w:tcMar>
              <w:top w:type="dxa" w:w="70"/>
              <w:left w:type="dxa" w:w="90"/>
              <w:bottom w:type="dxa" w:w="70"/>
              <w:right w:type="dxa" w:w="90"/>
            </w:tcMar>
            <w:vAlign w:val="top"/>
          </w:tcPr>
          <w:p>
            <w:r>
              <w:rPr>
                <w:b w:val="false"/>
                <w:bCs w:val="false"/>
                <w:color w:val="000000"/>
                <w:sz w:val="16"/>
                <w:szCs w:val="16"/>
              </w:rPr>
              <w:t xml:space="preserve">Low</w:t>
            </w:r>
          </w:p>
        </w:tc>
        <w:tc>
          <w:tcPr>
            <w:tcW w:type="dxa" w:w="4710"/>
            <w:tcMar>
              <w:top w:type="dxa" w:w="70"/>
              <w:left w:type="dxa" w:w="90"/>
              <w:bottom w:type="dxa" w:w="70"/>
              <w:right w:type="dxa" w:w="90"/>
            </w:tcMar>
            <w:vAlign w:val="top"/>
          </w:tcPr>
          <w:p>
            <w:r>
              <w:rPr>
                <w:b w:val="false"/>
                <w:bCs w:val="false"/>
                <w:color w:val="000000"/>
                <w:sz w:val="16"/>
                <w:szCs w:val="16"/>
              </w:rPr>
              <w:t xml:space="preserve">Appropriate for an EOI-stage Blueprint; a person-day-level resource plan is properly a Week 1–2 deliverable once actual scope is confirmed against the audit findings, not a document produced ahead of that confirmation.</w:t>
            </w:r>
          </w:p>
        </w:tc>
      </w:tr>
      <w:tr>
        <w:tc>
          <w:tcPr>
            <w:tcW w:type="dxa" w:w="2662"/>
            <w:tcMar>
              <w:top w:type="dxa" w:w="70"/>
              <w:left w:type="dxa" w:w="90"/>
              <w:bottom w:type="dxa" w:w="70"/>
              <w:right w:type="dxa" w:w="90"/>
            </w:tcMar>
            <w:vAlign w:val="top"/>
          </w:tcPr>
          <w:p>
            <w:r>
              <w:rPr>
                <w:b/>
                <w:bCs/>
                <w:color w:val="000000"/>
                <w:sz w:val="16"/>
                <w:szCs w:val="16"/>
              </w:rPr>
              <w:t xml:space="preserve">The single-framework backend alternative (Laravel across both ESM and CKR) was not evaluated on its own terms before Node.js was recommended for ESM.</w:t>
            </w:r>
          </w:p>
        </w:tc>
        <w:tc>
          <w:tcPr>
            <w:tcW w:type="dxa" w:w="1638"/>
            <w:tcMar>
              <w:top w:type="dxa" w:w="70"/>
              <w:left w:type="dxa" w:w="90"/>
              <w:bottom w:type="dxa" w:w="70"/>
              <w:right w:type="dxa" w:w="90"/>
            </w:tcMar>
            <w:vAlign w:val="top"/>
          </w:tcPr>
          <w:p>
            <w:r>
              <w:rPr>
                <w:b w:val="false"/>
                <w:bCs w:val="false"/>
                <w:color w:val="000000"/>
                <w:sz w:val="16"/>
                <w:szCs w:val="16"/>
              </w:rPr>
              <w:t xml:space="preserve">Section 10.2</w:t>
            </w:r>
          </w:p>
        </w:tc>
        <w:tc>
          <w:tcPr>
            <w:tcW w:type="dxa" w:w="1229"/>
            <w:tcMar>
              <w:top w:type="dxa" w:w="70"/>
              <w:left w:type="dxa" w:w="90"/>
              <w:bottom w:type="dxa" w:w="70"/>
              <w:right w:type="dxa" w:w="90"/>
            </w:tcMar>
            <w:vAlign w:val="top"/>
          </w:tcPr>
          <w:p>
            <w:r>
              <w:rPr>
                <w:b w:val="false"/>
                <w:bCs w:val="false"/>
                <w:color w:val="000000"/>
                <w:sz w:val="16"/>
                <w:szCs w:val="16"/>
              </w:rPr>
              <w:t xml:space="preserve">Medium</w:t>
            </w:r>
          </w:p>
        </w:tc>
        <w:tc>
          <w:tcPr>
            <w:tcW w:type="dxa" w:w="4710"/>
            <w:tcMar>
              <w:top w:type="dxa" w:w="70"/>
              <w:left w:type="dxa" w:w="90"/>
              <w:bottom w:type="dxa" w:w="70"/>
              <w:right w:type="dxa" w:w="90"/>
            </w:tcMar>
            <w:vAlign w:val="top"/>
          </w:tcPr>
          <w:p>
            <w:r>
              <w:rPr>
                <w:b w:val="false"/>
                <w:bCs w:val="false"/>
                <w:color w:val="000000"/>
                <w:sz w:val="16"/>
                <w:szCs w:val="16"/>
              </w:rPr>
              <w:t xml:space="preserve">Addressed directly in Section 15.5 below, within this same review.</w:t>
            </w:r>
          </w:p>
        </w:tc>
      </w:tr>
      <w:tr>
        <w:tc>
          <w:tcPr>
            <w:tcW w:type="dxa" w:w="2662"/>
            <w:tcMar>
              <w:top w:type="dxa" w:w="70"/>
              <w:left w:type="dxa" w:w="90"/>
              <w:bottom w:type="dxa" w:w="70"/>
              <w:right w:type="dxa" w:w="90"/>
            </w:tcMar>
            <w:vAlign w:val="top"/>
          </w:tcPr>
          <w:p>
            <w:r>
              <w:rPr>
                <w:b/>
                <w:bCs/>
                <w:color w:val="000000"/>
                <w:sz w:val="16"/>
                <w:szCs w:val="16"/>
              </w:rPr>
              <w:t xml:space="preserve">Disaster recovery secondary-region provisioning is not explicitly confirmed.</w:t>
            </w:r>
          </w:p>
        </w:tc>
        <w:tc>
          <w:tcPr>
            <w:tcW w:type="dxa" w:w="1638"/>
            <w:tcMar>
              <w:top w:type="dxa" w:w="70"/>
              <w:left w:type="dxa" w:w="90"/>
              <w:bottom w:type="dxa" w:w="70"/>
              <w:right w:type="dxa" w:w="90"/>
            </w:tcMar>
            <w:vAlign w:val="top"/>
          </w:tcPr>
          <w:p>
            <w:r>
              <w:rPr>
                <w:b w:val="false"/>
                <w:bCs w:val="false"/>
                <w:color w:val="000000"/>
                <w:sz w:val="16"/>
                <w:szCs w:val="16"/>
              </w:rPr>
              <w:t xml:space="preserve">Section 8.10, Section 6.12</w:t>
            </w:r>
          </w:p>
        </w:tc>
        <w:tc>
          <w:tcPr>
            <w:tcW w:type="dxa" w:w="1229"/>
            <w:tcMar>
              <w:top w:type="dxa" w:w="70"/>
              <w:left w:type="dxa" w:w="90"/>
              <w:bottom w:type="dxa" w:w="70"/>
              <w:right w:type="dxa" w:w="90"/>
            </w:tcMar>
            <w:vAlign w:val="top"/>
          </w:tcPr>
          <w:p>
            <w:r>
              <w:rPr>
                <w:b w:val="false"/>
                <w:bCs w:val="false"/>
                <w:color w:val="000000"/>
                <w:sz w:val="16"/>
                <w:szCs w:val="16"/>
              </w:rPr>
              <w:t xml:space="preserve">Medium</w:t>
            </w:r>
          </w:p>
        </w:tc>
        <w:tc>
          <w:tcPr>
            <w:tcW w:type="dxa" w:w="4710"/>
            <w:tcMar>
              <w:top w:type="dxa" w:w="70"/>
              <w:left w:type="dxa" w:w="90"/>
              <w:bottom w:type="dxa" w:w="70"/>
              <w:right w:type="dxa" w:w="90"/>
            </w:tcMar>
            <w:vAlign w:val="top"/>
          </w:tcPr>
          <w:p>
            <w:r>
              <w:rPr>
                <w:b w:val="false"/>
                <w:bCs w:val="false"/>
                <w:color w:val="000000"/>
                <w:sz w:val="16"/>
                <w:szCs w:val="16"/>
              </w:rPr>
              <w:t xml:space="preserve">Confirm secondary-region availability and cost as part of the Weeks 1–2 Azure environment design (Section 13.3, WP6 predecessor activity), and update Section 8.10 once confirmed.</w:t>
            </w:r>
          </w:p>
        </w:tc>
      </w:tr>
    </w:tbl>
    <w:p>
      <w:pPr>
        <w:spacing w:after="160"/>
      </w:pPr>
    </w:p>
    <w:p>
      <w:pPr>
        <w:pStyle w:val="Heading1"/>
        <w:pBdr>
          <w:bottom w:val="single" w:color="1F3864" w:sz="6" w:space="4"/>
        </w:pBdr>
        <w:spacing w:after="130" w:before="320"/>
      </w:pPr>
      <w:r>
        <w:t xml:space="preserve">15.5 Alternatives Considered</w:t>
      </w:r>
    </w:p>
    <w:p>
      <w:pPr>
        <w:spacing w:after="150" w:line="276"/>
        <w:jc w:val="both"/>
      </w:pPr>
      <w:r>
        <w:t xml:space="preserve">Two decisions are re-opened here and evaluated against their strongest alternative, closing the single-framework gap identified in Section 15.3 and pre-empting the question an EA Review Board or IFAD technical reviewer is most likely to ask.</w:t>
      </w:r>
    </w:p>
    <w:p>
      <w:pPr>
        <w:pStyle w:val="Heading2"/>
        <w:spacing w:after="70" w:before="220"/>
      </w:pPr>
      <w:r>
        <w:t xml:space="preserve">Alternative 1: A Single Backend Framework (Laravel) Across Both ESM and CKR</w:t>
      </w:r>
    </w:p>
    <w:p>
      <w:pPr>
        <w:spacing w:after="150" w:line="276"/>
        <w:jc w:val="both"/>
      </w:pPr>
      <w:r>
        <w:t xml:space="preserve">Rather than the two-framework recommendation in Section 10.2 (Laravel for CKR, Node.js for ESM), a genuinely available alternative is Laravel alone powering both systems, since Laravel is fully capable of building a workflow-and-document-management application, not only a CMS. This would reduce the skill breadth KM and ICT Units must maintain to a single framework — directly addressing R-03 in the Section 14 risk register.</w:t>
      </w:r>
    </w:p>
    <w:p>
      <w:pPr>
        <w:spacing w:after="150" w:line="276"/>
        <w:jc w:val="both"/>
      </w:pPr>
      <w:r>
        <w:t xml:space="preserve">This alternative is not adopted, for a specific reason beyond the general framework comparison in Section 10.2: the ESM's Workflow module (Section 4.3) depends on the event-driven, webhook-based integration pattern fixed as the Phase 1 baseline in Section 7.1, specifically for SLA-escalation notifications and the notification-heavy interaction pattern the Workflow and Notifications modules share. Node.js's asynchronous, event-driven execution model is a materially better architectural fit for that specific pattern than Laravel's more traditional synchronous request-response model, even though Laravel could technically be made to work with additional queuing infrastructure layered on top. The single-framework alternative trades away a genuine architectural fit for a marginal reduction in skill breadth — judged, on balance, the wrong trade, but only marginally so, which is why R-03 remains logged as an active Medium risk rather than dismissed.</w:t>
      </w:r>
    </w:p>
    <w:p>
      <w:pPr>
        <w:pStyle w:val="Heading2"/>
        <w:spacing w:after="70" w:before="220"/>
      </w:pPr>
      <w:r>
        <w:t xml:space="preserve">Alternative 2: One Unified Platform Instead of Two Independent Systems</w:t>
      </w:r>
    </w:p>
    <w:p>
      <w:pPr>
        <w:spacing w:after="150" w:line="276"/>
        <w:jc w:val="both"/>
      </w:pPr>
      <w:r>
        <w:t xml:space="preserve">The most fundamental alternative to this entire Blueprint is a single unified platform serving both internal document management and public knowledge-sharing, rather than the independent ESM/CKR pair fixed throughout. A unified platform would reduce the shared-services overhead described in Section 3.5 (one Identity service, one Search service, and so on, instead of two systems each depending on them) and could plausibly reduce build effort within the twelve-week schedule.</w:t>
      </w:r>
    </w:p>
    <w:p>
      <w:pPr>
        <w:spacing w:after="150" w:line="276"/>
        <w:jc w:val="both"/>
      </w:pPr>
      <w:r>
        <w:t xml:space="preserve">This alternative is rejected on a single, TOR-explicit basis: Section 4 of the TOR itself mandates that ESM and CKR remain independently hosted and independently access-controlled. This is not an architectural preference this Blueprint is free to trade off — it is a fixed constraint, and Sections 1.3 and 3.5 are correct to treat the resulting boundary as 'the single most important control in the architecture.' A unified platform is noted here explicitly, and rejected explicitly, so that this Blueprint demonstrates it considered the simpler path and rejected it for a stated, non-negotiable reason, rather than never having considered it at all.</w:t>
      </w:r>
    </w:p>
    <w:p>
      <w:pPr>
        <w:pStyle w:val="Heading1"/>
        <w:pBdr>
          <w:bottom w:val="single" w:color="1F3864" w:sz="6" w:space="4"/>
        </w:pBdr>
        <w:spacing w:after="130" w:before="320"/>
      </w:pPr>
      <w:r>
        <w:t xml:space="preserve">15.6 Remediation Actions</w:t>
      </w:r>
    </w:p>
    <w:p>
      <w:pPr>
        <w:spacing w:after="150" w:line="276"/>
        <w:jc w:val="both"/>
      </w:pPr>
      <w:r>
        <w:t xml:space="preserve">Five remediation actions close the Needs Refinement and Gap findings from Sections 15.3 and 15.4. Each is scheduled against the Section 11.4 delivery timeline rather than left open-ended.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686"/>
        <w:gridCol w:w="2253"/>
        <w:gridCol w:w="1843"/>
        <w:gridCol w:w="2458"/>
      </w:tblGrid>
      <w:tr>
        <w:trPr>
          <w:tblHeader/>
        </w:trPr>
        <w:tc>
          <w:tcPr>
            <w:tcW w:type="dxa" w:w="3686"/>
            <w:shd w:fill="1F3864" w:val="clear"/>
            <w:tcMar>
              <w:top w:type="dxa" w:w="70"/>
              <w:left w:type="dxa" w:w="90"/>
              <w:bottom w:type="dxa" w:w="70"/>
              <w:right w:type="dxa" w:w="90"/>
            </w:tcMar>
            <w:vAlign w:val="top"/>
          </w:tcPr>
          <w:p>
            <w:r>
              <w:rPr>
                <w:b/>
                <w:bCs/>
                <w:color w:val="FFFFFF"/>
                <w:sz w:val="17"/>
                <w:szCs w:val="17"/>
              </w:rPr>
              <w:t xml:space="preserve">Action</w:t>
            </w:r>
          </w:p>
        </w:tc>
        <w:tc>
          <w:tcPr>
            <w:tcW w:type="dxa" w:w="2253"/>
            <w:shd w:fill="1F3864" w:val="clear"/>
            <w:tcMar>
              <w:top w:type="dxa" w:w="70"/>
              <w:left w:type="dxa" w:w="90"/>
              <w:bottom w:type="dxa" w:w="70"/>
              <w:right w:type="dxa" w:w="90"/>
            </w:tcMar>
            <w:vAlign w:val="top"/>
          </w:tcPr>
          <w:p>
            <w:r>
              <w:rPr>
                <w:b/>
                <w:bCs/>
                <w:color w:val="FFFFFF"/>
                <w:sz w:val="17"/>
                <w:szCs w:val="17"/>
              </w:rPr>
              <w:t xml:space="preserve">Closes Finding</w:t>
            </w:r>
          </w:p>
        </w:tc>
        <w:tc>
          <w:tcPr>
            <w:tcW w:type="dxa" w:w="1843"/>
            <w:shd w:fill="1F3864" w:val="clear"/>
            <w:tcMar>
              <w:top w:type="dxa" w:w="70"/>
              <w:left w:type="dxa" w:w="90"/>
              <w:bottom w:type="dxa" w:w="70"/>
              <w:right w:type="dxa" w:w="90"/>
            </w:tcMar>
            <w:vAlign w:val="top"/>
          </w:tcPr>
          <w:p>
            <w:r>
              <w:rPr>
                <w:b/>
                <w:bCs/>
                <w:color w:val="FFFFFF"/>
                <w:sz w:val="17"/>
                <w:szCs w:val="17"/>
              </w:rPr>
              <w:t xml:space="preserve">Target</w:t>
            </w:r>
          </w:p>
        </w:tc>
        <w:tc>
          <w:tcPr>
            <w:tcW w:type="dxa" w:w="2458"/>
            <w:shd w:fill="1F3864" w:val="clear"/>
            <w:tcMar>
              <w:top w:type="dxa" w:w="70"/>
              <w:left w:type="dxa" w:w="90"/>
              <w:bottom w:type="dxa" w:w="70"/>
              <w:right w:type="dxa" w:w="90"/>
            </w:tcMar>
            <w:vAlign w:val="top"/>
          </w:tcPr>
          <w:p>
            <w:r>
              <w:rPr>
                <w:b/>
                <w:bCs/>
                <w:color w:val="FFFFFF"/>
                <w:sz w:val="17"/>
                <w:szCs w:val="17"/>
              </w:rPr>
              <w:t xml:space="preserve">Owner</w:t>
            </w:r>
          </w:p>
        </w:tc>
      </w:tr>
      <w:tr>
        <w:tc>
          <w:tcPr>
            <w:tcW w:type="dxa" w:w="3686"/>
            <w:tcMar>
              <w:top w:type="dxa" w:w="70"/>
              <w:left w:type="dxa" w:w="90"/>
              <w:bottom w:type="dxa" w:w="70"/>
              <w:right w:type="dxa" w:w="90"/>
            </w:tcMar>
            <w:vAlign w:val="top"/>
          </w:tcPr>
          <w:p>
            <w:r>
              <w:rPr>
                <w:b/>
                <w:bCs/>
                <w:color w:val="000000"/>
                <w:sz w:val="16"/>
                <w:szCs w:val="16"/>
              </w:rPr>
              <w:t xml:space="preserve">Confirm capability maturity state-by-state during the content and data audit; revise the Heat Map if evidence shows variance.</w:t>
            </w:r>
          </w:p>
        </w:tc>
        <w:tc>
          <w:tcPr>
            <w:tcW w:type="dxa" w:w="2253"/>
            <w:tcMar>
              <w:top w:type="dxa" w:w="70"/>
              <w:left w:type="dxa" w:w="90"/>
              <w:bottom w:type="dxa" w:w="70"/>
              <w:right w:type="dxa" w:w="90"/>
            </w:tcMar>
            <w:vAlign w:val="top"/>
          </w:tcPr>
          <w:p>
            <w:r>
              <w:rPr>
                <w:b w:val="false"/>
                <w:bCs w:val="false"/>
                <w:color w:val="000000"/>
                <w:sz w:val="16"/>
                <w:szCs w:val="16"/>
              </w:rPr>
              <w:t xml:space="preserve">Section 15.3, Assumption 1</w:t>
            </w:r>
          </w:p>
        </w:tc>
        <w:tc>
          <w:tcPr>
            <w:tcW w:type="dxa" w:w="1843"/>
            <w:tcMar>
              <w:top w:type="dxa" w:w="70"/>
              <w:left w:type="dxa" w:w="90"/>
              <w:bottom w:type="dxa" w:w="70"/>
              <w:right w:type="dxa" w:w="90"/>
            </w:tcMar>
            <w:vAlign w:val="top"/>
          </w:tcPr>
          <w:p>
            <w:r>
              <w:rPr>
                <w:b w:val="false"/>
                <w:bCs w:val="false"/>
                <w:color w:val="000000"/>
                <w:sz w:val="16"/>
                <w:szCs w:val="16"/>
              </w:rPr>
              <w:t xml:space="preserve">Week 2 (WP2)</w:t>
            </w:r>
          </w:p>
        </w:tc>
        <w:tc>
          <w:tcPr>
            <w:tcW w:type="dxa" w:w="2458"/>
            <w:tcMar>
              <w:top w:type="dxa" w:w="70"/>
              <w:left w:type="dxa" w:w="90"/>
              <w:bottom w:type="dxa" w:w="70"/>
              <w:right w:type="dxa" w:w="90"/>
            </w:tcMar>
            <w:vAlign w:val="top"/>
          </w:tcPr>
          <w:p>
            <w:r>
              <w:rPr>
                <w:b w:val="false"/>
                <w:bCs w:val="false"/>
                <w:color w:val="000000"/>
                <w:sz w:val="16"/>
                <w:szCs w:val="16"/>
              </w:rPr>
              <w:t xml:space="preserve">Consultant, validated by KMC</w:t>
            </w:r>
          </w:p>
        </w:tc>
      </w:tr>
      <w:tr>
        <w:tc>
          <w:tcPr>
            <w:tcW w:type="dxa" w:w="3686"/>
            <w:tcMar>
              <w:top w:type="dxa" w:w="70"/>
              <w:left w:type="dxa" w:w="90"/>
              <w:bottom w:type="dxa" w:w="70"/>
              <w:right w:type="dxa" w:w="90"/>
            </w:tcMar>
            <w:vAlign w:val="top"/>
          </w:tcPr>
          <w:p>
            <w:r>
              <w:rPr>
                <w:b/>
                <w:bCs/>
                <w:color w:val="000000"/>
                <w:sz w:val="16"/>
                <w:szCs w:val="16"/>
              </w:rPr>
              <w:t xml:space="preserve">Confirm the client's productivity suite (Microsoft 365 or Google Workspace) and finalize the Azure vs AWS decision accordingly.</w:t>
            </w:r>
          </w:p>
        </w:tc>
        <w:tc>
          <w:tcPr>
            <w:tcW w:type="dxa" w:w="2253"/>
            <w:tcMar>
              <w:top w:type="dxa" w:w="70"/>
              <w:left w:type="dxa" w:w="90"/>
              <w:bottom w:type="dxa" w:w="70"/>
              <w:right w:type="dxa" w:w="90"/>
            </w:tcMar>
            <w:vAlign w:val="top"/>
          </w:tcPr>
          <w:p>
            <w:r>
              <w:rPr>
                <w:b w:val="false"/>
                <w:bCs w:val="false"/>
                <w:color w:val="000000"/>
                <w:sz w:val="16"/>
                <w:szCs w:val="16"/>
              </w:rPr>
              <w:t xml:space="preserve">Section 15.3, Assumption 2</w:t>
            </w:r>
          </w:p>
        </w:tc>
        <w:tc>
          <w:tcPr>
            <w:tcW w:type="dxa" w:w="1843"/>
            <w:tcMar>
              <w:top w:type="dxa" w:w="70"/>
              <w:left w:type="dxa" w:w="90"/>
              <w:bottom w:type="dxa" w:w="70"/>
              <w:right w:type="dxa" w:w="90"/>
            </w:tcMar>
            <w:vAlign w:val="top"/>
          </w:tcPr>
          <w:p>
            <w:r>
              <w:rPr>
                <w:b w:val="false"/>
                <w:bCs w:val="false"/>
                <w:color w:val="000000"/>
                <w:sz w:val="16"/>
                <w:szCs w:val="16"/>
              </w:rPr>
              <w:t xml:space="preserve">Week 2</w:t>
            </w:r>
          </w:p>
        </w:tc>
        <w:tc>
          <w:tcPr>
            <w:tcW w:type="dxa" w:w="2458"/>
            <w:tcMar>
              <w:top w:type="dxa" w:w="70"/>
              <w:left w:type="dxa" w:w="90"/>
              <w:bottom w:type="dxa" w:w="70"/>
              <w:right w:type="dxa" w:w="90"/>
            </w:tcMar>
            <w:vAlign w:val="top"/>
          </w:tcPr>
          <w:p>
            <w:r>
              <w:rPr>
                <w:b w:val="false"/>
                <w:bCs w:val="false"/>
                <w:color w:val="000000"/>
                <w:sz w:val="16"/>
                <w:szCs w:val="16"/>
              </w:rPr>
              <w:t xml:space="preserve">Consultant, decision recorded in the Decision Register</w:t>
            </w:r>
          </w:p>
        </w:tc>
      </w:tr>
      <w:tr>
        <w:tc>
          <w:tcPr>
            <w:tcW w:type="dxa" w:w="3686"/>
            <w:tcMar>
              <w:top w:type="dxa" w:w="70"/>
              <w:left w:type="dxa" w:w="90"/>
              <w:bottom w:type="dxa" w:w="70"/>
              <w:right w:type="dxa" w:w="90"/>
            </w:tcMar>
            <w:vAlign w:val="top"/>
          </w:tcPr>
          <w:p>
            <w:r>
              <w:rPr>
                <w:b/>
                <w:bCs/>
                <w:color w:val="000000"/>
                <w:sz w:val="16"/>
                <w:szCs w:val="16"/>
              </w:rPr>
              <w:t xml:space="preserve">Add a Data Protection Impact Assessment as a named Governance Charter activity.</w:t>
            </w:r>
          </w:p>
        </w:tc>
        <w:tc>
          <w:tcPr>
            <w:tcW w:type="dxa" w:w="2253"/>
            <w:tcMar>
              <w:top w:type="dxa" w:w="70"/>
              <w:left w:type="dxa" w:w="90"/>
              <w:bottom w:type="dxa" w:w="70"/>
              <w:right w:type="dxa" w:w="90"/>
            </w:tcMar>
            <w:vAlign w:val="top"/>
          </w:tcPr>
          <w:p>
            <w:r>
              <w:rPr>
                <w:b w:val="false"/>
                <w:bCs w:val="false"/>
                <w:color w:val="000000"/>
                <w:sz w:val="16"/>
                <w:szCs w:val="16"/>
              </w:rPr>
              <w:t xml:space="preserve">Section 15.4, Gap 2</w:t>
            </w:r>
          </w:p>
        </w:tc>
        <w:tc>
          <w:tcPr>
            <w:tcW w:type="dxa" w:w="1843"/>
            <w:tcMar>
              <w:top w:type="dxa" w:w="70"/>
              <w:left w:type="dxa" w:w="90"/>
              <w:bottom w:type="dxa" w:w="70"/>
              <w:right w:type="dxa" w:w="90"/>
            </w:tcMar>
            <w:vAlign w:val="top"/>
          </w:tcPr>
          <w:p>
            <w:r>
              <w:rPr>
                <w:b w:val="false"/>
                <w:bCs w:val="false"/>
                <w:color w:val="000000"/>
                <w:sz w:val="16"/>
                <w:szCs w:val="16"/>
              </w:rPr>
              <w:t xml:space="preserve">Week 2 (within WP3)</w:t>
            </w:r>
          </w:p>
        </w:tc>
        <w:tc>
          <w:tcPr>
            <w:tcW w:type="dxa" w:w="2458"/>
            <w:tcMar>
              <w:top w:type="dxa" w:w="70"/>
              <w:left w:type="dxa" w:w="90"/>
              <w:bottom w:type="dxa" w:w="70"/>
              <w:right w:type="dxa" w:w="90"/>
            </w:tcMar>
            <w:vAlign w:val="top"/>
          </w:tcPr>
          <w:p>
            <w:r>
              <w:rPr>
                <w:b w:val="false"/>
                <w:bCs w:val="false"/>
                <w:color w:val="000000"/>
                <w:sz w:val="16"/>
                <w:szCs w:val="16"/>
              </w:rPr>
              <w:t xml:space="preserve">KMC</w:t>
            </w:r>
          </w:p>
        </w:tc>
      </w:tr>
      <w:tr>
        <w:tc>
          <w:tcPr>
            <w:tcW w:type="dxa" w:w="3686"/>
            <w:tcMar>
              <w:top w:type="dxa" w:w="70"/>
              <w:left w:type="dxa" w:w="90"/>
              <w:bottom w:type="dxa" w:w="70"/>
              <w:right w:type="dxa" w:w="90"/>
            </w:tcMar>
            <w:vAlign w:val="top"/>
          </w:tcPr>
          <w:p>
            <w:r>
              <w:rPr>
                <w:b/>
                <w:bCs/>
                <w:color w:val="000000"/>
                <w:sz w:val="16"/>
                <w:szCs w:val="16"/>
              </w:rPr>
              <w:t xml:space="preserve">Adopt WCAG 2.1 Level AA as an explicit Public Portal requirement and verify at the Section 13.9 quality gate.</w:t>
            </w:r>
          </w:p>
        </w:tc>
        <w:tc>
          <w:tcPr>
            <w:tcW w:type="dxa" w:w="2253"/>
            <w:tcMar>
              <w:top w:type="dxa" w:w="70"/>
              <w:left w:type="dxa" w:w="90"/>
              <w:bottom w:type="dxa" w:w="70"/>
              <w:right w:type="dxa" w:w="90"/>
            </w:tcMar>
            <w:vAlign w:val="top"/>
          </w:tcPr>
          <w:p>
            <w:r>
              <w:rPr>
                <w:b w:val="false"/>
                <w:bCs w:val="false"/>
                <w:color w:val="000000"/>
                <w:sz w:val="16"/>
                <w:szCs w:val="16"/>
              </w:rPr>
              <w:t xml:space="preserve">Section 15.4, Gap 3</w:t>
            </w:r>
          </w:p>
        </w:tc>
        <w:tc>
          <w:tcPr>
            <w:tcW w:type="dxa" w:w="1843"/>
            <w:tcMar>
              <w:top w:type="dxa" w:w="70"/>
              <w:left w:type="dxa" w:w="90"/>
              <w:bottom w:type="dxa" w:w="70"/>
              <w:right w:type="dxa" w:w="90"/>
            </w:tcMar>
            <w:vAlign w:val="top"/>
          </w:tcPr>
          <w:p>
            <w:r>
              <w:rPr>
                <w:b w:val="false"/>
                <w:bCs w:val="false"/>
                <w:color w:val="000000"/>
                <w:sz w:val="16"/>
                <w:szCs w:val="16"/>
              </w:rPr>
              <w:t xml:space="preserve">By Phase 3 (Week 10) quality gate</w:t>
            </w:r>
          </w:p>
        </w:tc>
        <w:tc>
          <w:tcPr>
            <w:tcW w:type="dxa" w:w="2458"/>
            <w:tcMar>
              <w:top w:type="dxa" w:w="70"/>
              <w:left w:type="dxa" w:w="90"/>
              <w:bottom w:type="dxa" w:w="70"/>
              <w:right w:type="dxa" w:w="90"/>
            </w:tcMar>
            <w:vAlign w:val="top"/>
          </w:tcPr>
          <w:p>
            <w:r>
              <w:rPr>
                <w:b w:val="false"/>
                <w:bCs w:val="false"/>
                <w:color w:val="000000"/>
                <w:sz w:val="16"/>
                <w:szCs w:val="16"/>
              </w:rPr>
              <w:t xml:space="preserve">Consultant; verified by KM and ICT Units</w:t>
            </w:r>
          </w:p>
        </w:tc>
      </w:tr>
      <w:tr>
        <w:tc>
          <w:tcPr>
            <w:tcW w:type="dxa" w:w="3686"/>
            <w:tcMar>
              <w:top w:type="dxa" w:w="70"/>
              <w:left w:type="dxa" w:w="90"/>
              <w:bottom w:type="dxa" w:w="70"/>
              <w:right w:type="dxa" w:w="90"/>
            </w:tcMar>
            <w:vAlign w:val="top"/>
          </w:tcPr>
          <w:p>
            <w:r>
              <w:rPr>
                <w:b/>
                <w:bCs/>
                <w:color w:val="000000"/>
                <w:sz w:val="16"/>
                <w:szCs w:val="16"/>
              </w:rPr>
              <w:t xml:space="preserve">Confirm GIS boundary data availability and disaster recovery secondary-region provisioning as part of Weeks 1–2 design activities.</w:t>
            </w:r>
          </w:p>
        </w:tc>
        <w:tc>
          <w:tcPr>
            <w:tcW w:type="dxa" w:w="2253"/>
            <w:tcMar>
              <w:top w:type="dxa" w:w="70"/>
              <w:left w:type="dxa" w:w="90"/>
              <w:bottom w:type="dxa" w:w="70"/>
              <w:right w:type="dxa" w:w="90"/>
            </w:tcMar>
            <w:vAlign w:val="top"/>
          </w:tcPr>
          <w:p>
            <w:r>
              <w:rPr>
                <w:b w:val="false"/>
                <w:bCs w:val="false"/>
                <w:color w:val="000000"/>
                <w:sz w:val="16"/>
                <w:szCs w:val="16"/>
              </w:rPr>
              <w:t xml:space="preserve">Section 15.3, Assumption 4; Section 15.4, Gap 6</w:t>
            </w:r>
          </w:p>
        </w:tc>
        <w:tc>
          <w:tcPr>
            <w:tcW w:type="dxa" w:w="1843"/>
            <w:tcMar>
              <w:top w:type="dxa" w:w="70"/>
              <w:left w:type="dxa" w:w="90"/>
              <w:bottom w:type="dxa" w:w="70"/>
              <w:right w:type="dxa" w:w="90"/>
            </w:tcMar>
            <w:vAlign w:val="top"/>
          </w:tcPr>
          <w:p>
            <w:r>
              <w:rPr>
                <w:b w:val="false"/>
                <w:bCs w:val="false"/>
                <w:color w:val="000000"/>
                <w:sz w:val="16"/>
                <w:szCs w:val="16"/>
              </w:rPr>
              <w:t xml:space="preserve">Week 2</w:t>
            </w:r>
          </w:p>
        </w:tc>
        <w:tc>
          <w:tcPr>
            <w:tcW w:type="dxa" w:w="2458"/>
            <w:tcMar>
              <w:top w:type="dxa" w:w="70"/>
              <w:left w:type="dxa" w:w="90"/>
              <w:bottom w:type="dxa" w:w="70"/>
              <w:right w:type="dxa" w:w="90"/>
            </w:tcMar>
            <w:vAlign w:val="top"/>
          </w:tcPr>
          <w:p>
            <w:r>
              <w:rPr>
                <w:b w:val="false"/>
                <w:bCs w:val="false"/>
                <w:color w:val="000000"/>
                <w:sz w:val="16"/>
                <w:szCs w:val="16"/>
              </w:rPr>
              <w:t xml:space="preserve">Consultant</w:t>
            </w:r>
          </w:p>
        </w:tc>
      </w:tr>
    </w:tbl>
    <w:p>
      <w:pPr>
        <w:spacing w:after="160"/>
      </w:pPr>
    </w:p>
    <w:p>
      <w:pPr>
        <w:pStyle w:val="Heading1"/>
        <w:pBdr>
          <w:bottom w:val="single" w:color="1F3864" w:sz="6" w:space="4"/>
        </w:pBdr>
        <w:spacing w:after="130" w:before="320"/>
      </w:pPr>
      <w:r>
        <w:t xml:space="preserve">15.7 Overall Verdict</w:t>
      </w:r>
    </w:p>
    <w:p>
      <w:pPr>
        <w:spacing w:after="150" w:line="276"/>
        <w:jc w:val="both"/>
      </w:pPr>
      <w:r>
        <w:t xml:space="preserve">Read the way a Distinguished Enterprise Architect would read a fourteen-section Blueprint submitted for Steering Committee approval: the architecture is sound. Its governing structures — one Charter, one Review Board, one Decision Model — are applied with genuine consistency rather than restated as aspiration in one section and quietly abandoned in the next; its technology recommendations are justified against a stated, repeatable framework rather than asserted by reputation; its Phase 1 and Phase 2 boundary holds without a single exception across ten sections that could each have been tempted to blur it; and its risk register assigns ownership to every entry rather than leaving accountability implicit.</w:t>
      </w:r>
    </w:p>
    <w:p>
      <w:pPr>
        <w:spacing w:after="150" w:line="276"/>
        <w:jc w:val="both"/>
      </w:pPr>
      <w:r>
        <w:t xml:space="preserve">Five findings are logged as Needs Refinement or Gap, none of which is severity-blocking to Steering Committee or IFAD technical review: each has a specific, scheduled remediation action landing within the first two weeks of the engagement, before any of the five would otherwise cause a downstream problem. This is the honest state of the architecture at this point in its development — not flawless, and not overstated as flawless, which is itself the standard this entire Blueprint has held itself to since Section 1.</w:t>
      </w:r>
    </w:p>
    <w:p>
      <w:pPr>
        <w:pStyle w:val="Heading1"/>
        <w:pBdr>
          <w:bottom w:val="single" w:color="1F3864" w:sz="6" w:space="4"/>
        </w:pBdr>
        <w:spacing w:after="130" w:before="320"/>
      </w:pPr>
      <w:r>
        <w:t xml:space="preserve">15.8 Transition to Section 16</w:t>
      </w:r>
    </w:p>
    <w:p>
      <w:pPr>
        <w:spacing w:after="150" w:line="276"/>
        <w:jc w:val="both"/>
      </w:pPr>
      <w:r>
        <w:t xml:space="preserve">Section 16 (Antigravity Handoff Package) is the final section of this Blueprint. It distills the fourteen substantive sections reviewed here, together with the remediation actions fixed in Section 15.6, into a self-contained package for Antigravity to generate the architecture diagrams, engineering artefacts, and implementation documentation this Blueprint specifies — written so that Antigravity does not need to reinterpret the procurement documents this Blueprint has already interpreted in full.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7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2026-07-18T09:35:19.783Z</dcterms:created>
  <dcterms:modified xsi:type="dcterms:W3CDTF">2026-07-18T09:35:19.783Z</dcterms:modified>
</cp:coreProperties>
</file>

<file path=docProps/custom.xml><?xml version="1.0" encoding="utf-8"?>
<Properties xmlns="http://schemas.openxmlformats.org/officeDocument/2006/custom-properties" xmlns:vt="http://schemas.openxmlformats.org/officeDocument/2006/docPropsVTypes"/>
</file>