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16 of 16 — Antigravity Handoff Package</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3864" w:sz="6" w:space="4"/>
        </w:pBdr>
        <w:spacing w:after="130" w:before="320"/>
      </w:pPr>
      <w:r>
        <w:t xml:space="preserve">16.1 Purpose of This Handoff Package</w:t>
      </w:r>
    </w:p>
    <w:p>
      <w:pPr>
        <w:spacing w:after="150" w:line="276"/>
        <w:jc w:val="both"/>
      </w:pPr>
      <w:r>
        <w:t xml:space="preserve">This section is written to be read on its own. It distills the fifteen preceding sections of this Blueprint into a self-contained package so that Antigravity can generate architecture diagrams, engineering artefacts, and implementation documentation directly from it, without needing to open or reinterpret the original Request for Expressions of Interest, Terms of Reference, Evaluation Criteria, or Procurement Intelligence Report. Every fact stated below is stated in full, not by cross-reference alone, though a section reference is given alongside each for traceability back into the complete Blueprint.</w:t>
      </w:r>
    </w:p>
    <w:p>
      <w:pPr>
        <w:pStyle w:val="Heading1"/>
        <w:pBdr>
          <w:bottom w:val="single" w:color="1F3864" w:sz="6" w:space="4"/>
        </w:pBdr>
        <w:spacing w:after="130" w:before="320"/>
      </w:pPr>
      <w:r>
        <w:t xml:space="preserve">16.2 Architecture Narrative</w:t>
      </w:r>
    </w:p>
    <w:p>
      <w:pPr>
        <w:spacing w:after="150" w:line="276"/>
        <w:jc w:val="both"/>
      </w:pPr>
      <w:r>
        <w:t xml:space="preserve">The Special Agro-Industrial Processing Zones (SAPZ) Programme, spanning seven Nigerian states and the Federal Capital Territory and co-financed by AfDB, IFAD, and IsDB, requires two systems: an Enterprise System Management (ESM) Platform and a Central Knowledge Repository (CKR). ESM is the internal, restricted system of record for programme documentation and workflow — work plans, reports, memos, and procurement records — replacing today's fragmented, decentralized, manually governed document environment. CKR is the external, public system for institutional knowledge and learning content, positioned as the programme's institutional memory rather than a passive document library. Per the governing Terms of Reference, the two systems remain independently hosted and independently access-controlled — this is a fixed constraint, not a design preference — while sharing a single taxonomy, a single metadata standard, and one Data &amp; Content Governance Charter, so that solving fragmentation inside each system does not simply recreate it between them.</w:t>
      </w:r>
    </w:p>
    <w:p>
      <w:pPr>
        <w:spacing w:after="150" w:line="276"/>
        <w:jc w:val="both"/>
      </w:pPr>
      <w:r>
        <w:t xml:space="preserve">Delivery is fixed at twelve weeks, in five phases: Requirements and Foundation (Weeks 1–2, including Governance Charter adoption), Design, Configuration and Migration (Weeks 3–8), Testing (Weeks 9–10, with continuous testing beginning in Week 3), Training and User Acceptance (Week 11), and Go-Live and Handover (Week 12). A single named consultant leads delivery personally, with bounded, named specialist support permitted for specific work packages only. Governance runs through one Governance Charter and one Enterprise Architecture Review Board — no parallel governance structures exist for security, data, or content individually. Everything beyond the Terms of Reference's explicit scope — deeper Business Intelligence, all thirteen AI capabilities, the Knowledge Graph — is held as a distinct, separately costed Phase 2 roadmap, never folded into the Phase 1 commitment.</w:t>
      </w:r>
    </w:p>
    <w:p>
      <w:pPr>
        <w:pStyle w:val="Heading1"/>
        <w:pBdr>
          <w:bottom w:val="single" w:color="1F3864" w:sz="6" w:space="4"/>
        </w:pBdr>
        <w:spacing w:after="130" w:before="320"/>
      </w:pPr>
      <w:r>
        <w:t xml:space="preserve">16.3 Functional Module Inventory</w:t>
      </w:r>
    </w:p>
    <w:p>
      <w:pPr>
        <w:spacing w:after="150" w:line="276"/>
        <w:jc w:val="both"/>
      </w:pPr>
      <w:r>
        <w:t xml:space="preserve">Twenty-eight functional modules make up the two systems, each with its priority (Must Have / Should Have / Could Have, per the MoSCoW scope prioritization) and the application that hosts it.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2048"/>
        <w:gridCol w:w="2662"/>
        <w:gridCol w:w="2867"/>
      </w:tblGrid>
      <w:tr>
        <w:trPr>
          <w:tblHeader/>
        </w:trPr>
        <w:tc>
          <w:tcPr>
            <w:tcW w:type="dxa" w:w="2662"/>
            <w:shd w:fill="1F3864" w:val="clear"/>
            <w:tcMar>
              <w:top w:type="dxa" w:w="60"/>
              <w:left w:type="dxa" w:w="80"/>
              <w:bottom w:type="dxa" w:w="60"/>
              <w:right w:type="dxa" w:w="80"/>
            </w:tcMar>
            <w:vAlign w:val="top"/>
          </w:tcPr>
          <w:p>
            <w:r>
              <w:rPr>
                <w:b/>
                <w:bCs/>
                <w:color w:val="FFFFFF"/>
                <w:sz w:val="16"/>
                <w:szCs w:val="16"/>
              </w:rPr>
              <w:t xml:space="preserve">Module</w:t>
            </w:r>
          </w:p>
        </w:tc>
        <w:tc>
          <w:tcPr>
            <w:tcW w:type="dxa" w:w="2048"/>
            <w:shd w:fill="1F3864" w:val="clear"/>
            <w:tcMar>
              <w:top w:type="dxa" w:w="60"/>
              <w:left w:type="dxa" w:w="80"/>
              <w:bottom w:type="dxa" w:w="60"/>
              <w:right w:type="dxa" w:w="80"/>
            </w:tcMar>
            <w:vAlign w:val="top"/>
          </w:tcPr>
          <w:p>
            <w:r>
              <w:rPr>
                <w:b/>
                <w:bCs/>
                <w:color w:val="FFFFFF"/>
                <w:sz w:val="16"/>
                <w:szCs w:val="16"/>
              </w:rPr>
              <w:t xml:space="preserve">Priority</w:t>
            </w:r>
          </w:p>
        </w:tc>
        <w:tc>
          <w:tcPr>
            <w:tcW w:type="dxa" w:w="2662"/>
            <w:shd w:fill="1F3864" w:val="clear"/>
            <w:tcMar>
              <w:top w:type="dxa" w:w="60"/>
              <w:left w:type="dxa" w:w="80"/>
              <w:bottom w:type="dxa" w:w="60"/>
              <w:right w:type="dxa" w:w="80"/>
            </w:tcMar>
            <w:vAlign w:val="top"/>
          </w:tcPr>
          <w:p>
            <w:r>
              <w:rPr>
                <w:b/>
                <w:bCs/>
                <w:color w:val="FFFFFF"/>
                <w:sz w:val="16"/>
                <w:szCs w:val="16"/>
              </w:rPr>
              <w:t xml:space="preserve">Hosting Application</w:t>
            </w:r>
          </w:p>
        </w:tc>
        <w:tc>
          <w:tcPr>
            <w:tcW w:type="dxa" w:w="2867"/>
            <w:shd w:fill="1F3864" w:val="clear"/>
            <w:tcMar>
              <w:top w:type="dxa" w:w="60"/>
              <w:left w:type="dxa" w:w="80"/>
              <w:bottom w:type="dxa" w:w="60"/>
              <w:right w:type="dxa" w:w="80"/>
            </w:tcMar>
            <w:vAlign w:val="top"/>
          </w:tcPr>
          <w:p>
            <w:r>
              <w:rPr>
                <w:b/>
                <w:bCs/>
                <w:color w:val="FFFFFF"/>
                <w:sz w:val="16"/>
                <w:szCs w:val="16"/>
              </w:rPr>
              <w:t xml:space="preserve">Purpose</w:t>
            </w:r>
          </w:p>
        </w:tc>
      </w:tr>
      <w:tr>
        <w:tc>
          <w:tcPr>
            <w:tcW w:type="dxa" w:w="2662"/>
            <w:tcMar>
              <w:top w:type="dxa" w:w="60"/>
              <w:left w:type="dxa" w:w="80"/>
              <w:bottom w:type="dxa" w:w="60"/>
              <w:right w:type="dxa" w:w="80"/>
            </w:tcMar>
            <w:vAlign w:val="top"/>
          </w:tcPr>
          <w:p>
            <w:r>
              <w:rPr>
                <w:b/>
                <w:bCs/>
                <w:color w:val="000000"/>
                <w:sz w:val="16"/>
                <w:szCs w:val="16"/>
              </w:rPr>
              <w:t xml:space="preserve">Executive Dashboard</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Reporting &amp; BI Application</w:t>
            </w:r>
          </w:p>
        </w:tc>
        <w:tc>
          <w:tcPr>
            <w:tcW w:type="dxa" w:w="2867"/>
            <w:tcMar>
              <w:top w:type="dxa" w:w="60"/>
              <w:left w:type="dxa" w:w="80"/>
              <w:bottom w:type="dxa" w:w="60"/>
              <w:right w:type="dxa" w:w="80"/>
            </w:tcMar>
            <w:vAlign w:val="top"/>
          </w:tcPr>
          <w:p>
            <w:r>
              <w:rPr>
                <w:b w:val="false"/>
                <w:bCs w:val="false"/>
                <w:color w:val="000000"/>
                <w:sz w:val="16"/>
                <w:szCs w:val="16"/>
              </w:rPr>
              <w:t xml:space="preserve">Tiered KPI summary for the National Programme Coordinator and donors.</w:t>
            </w:r>
          </w:p>
        </w:tc>
      </w:tr>
      <w:tr>
        <w:tc>
          <w:tcPr>
            <w:tcW w:type="dxa" w:w="2662"/>
            <w:tcMar>
              <w:top w:type="dxa" w:w="60"/>
              <w:left w:type="dxa" w:w="80"/>
              <w:bottom w:type="dxa" w:w="60"/>
              <w:right w:type="dxa" w:w="80"/>
            </w:tcMar>
            <w:vAlign w:val="top"/>
          </w:tcPr>
          <w:p>
            <w:r>
              <w:rPr>
                <w:b/>
                <w:bCs/>
                <w:color w:val="000000"/>
                <w:sz w:val="16"/>
                <w:szCs w:val="16"/>
              </w:rPr>
              <w:t xml:space="preserve">Programme Management</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Component and work-plan registry across states.</w:t>
            </w:r>
          </w:p>
        </w:tc>
      </w:tr>
      <w:tr>
        <w:tc>
          <w:tcPr>
            <w:tcW w:type="dxa" w:w="2662"/>
            <w:tcMar>
              <w:top w:type="dxa" w:w="60"/>
              <w:left w:type="dxa" w:w="80"/>
              <w:bottom w:type="dxa" w:w="60"/>
              <w:right w:type="dxa" w:w="80"/>
            </w:tcMar>
            <w:vAlign w:val="top"/>
          </w:tcPr>
          <w:p>
            <w:r>
              <w:rPr>
                <w:b/>
                <w:bCs/>
                <w:color w:val="000000"/>
                <w:sz w:val="16"/>
                <w:szCs w:val="16"/>
              </w:rPr>
              <w:t xml:space="preserve">Projects</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Project registry nested within components.</w:t>
            </w:r>
          </w:p>
        </w:tc>
      </w:tr>
      <w:tr>
        <w:tc>
          <w:tcPr>
            <w:tcW w:type="dxa" w:w="2662"/>
            <w:tcMar>
              <w:top w:type="dxa" w:w="60"/>
              <w:left w:type="dxa" w:w="80"/>
              <w:bottom w:type="dxa" w:w="60"/>
              <w:right w:type="dxa" w:w="80"/>
            </w:tcMar>
            <w:vAlign w:val="top"/>
          </w:tcPr>
          <w:p>
            <w:r>
              <w:rPr>
                <w:b/>
                <w:bCs/>
                <w:color w:val="000000"/>
                <w:sz w:val="16"/>
                <w:szCs w:val="16"/>
              </w:rPr>
              <w:t xml:space="preserve">Tasks</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Operational task tracking beneath projects.</w:t>
            </w:r>
          </w:p>
        </w:tc>
      </w:tr>
      <w:tr>
        <w:tc>
          <w:tcPr>
            <w:tcW w:type="dxa" w:w="2662"/>
            <w:tcMar>
              <w:top w:type="dxa" w:w="60"/>
              <w:left w:type="dxa" w:w="80"/>
              <w:bottom w:type="dxa" w:w="60"/>
              <w:right w:type="dxa" w:w="80"/>
            </w:tcMar>
            <w:vAlign w:val="top"/>
          </w:tcPr>
          <w:p>
            <w:r>
              <w:rPr>
                <w:b/>
                <w:bCs/>
                <w:color w:val="000000"/>
                <w:sz w:val="16"/>
                <w:szCs w:val="16"/>
              </w:rPr>
              <w:t xml:space="preserve">Meetings</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 / Collaboration Workspace</w:t>
            </w:r>
          </w:p>
        </w:tc>
        <w:tc>
          <w:tcPr>
            <w:tcW w:type="dxa" w:w="2867"/>
            <w:tcMar>
              <w:top w:type="dxa" w:w="60"/>
              <w:left w:type="dxa" w:w="80"/>
              <w:bottom w:type="dxa" w:w="60"/>
              <w:right w:type="dxa" w:w="80"/>
            </w:tcMar>
            <w:vAlign w:val="top"/>
          </w:tcPr>
          <w:p>
            <w:r>
              <w:rPr>
                <w:b w:val="false"/>
                <w:bCs w:val="false"/>
                <w:color w:val="000000"/>
                <w:sz w:val="16"/>
                <w:szCs w:val="16"/>
              </w:rPr>
              <w:t xml:space="preserve">Agenda, minuting, and action-item tracking.</w:t>
            </w:r>
          </w:p>
        </w:tc>
      </w:tr>
      <w:tr>
        <w:tc>
          <w:tcPr>
            <w:tcW w:type="dxa" w:w="2662"/>
            <w:tcMar>
              <w:top w:type="dxa" w:w="60"/>
              <w:left w:type="dxa" w:w="80"/>
              <w:bottom w:type="dxa" w:w="60"/>
              <w:right w:type="dxa" w:w="80"/>
            </w:tcMar>
            <w:vAlign w:val="top"/>
          </w:tcPr>
          <w:p>
            <w:r>
              <w:rPr>
                <w:b/>
                <w:bCs/>
                <w:color w:val="000000"/>
                <w:sz w:val="16"/>
                <w:szCs w:val="16"/>
              </w:rPr>
              <w:t xml:space="preserve">Calendar</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Shared programme calendar across states.</w:t>
            </w:r>
          </w:p>
        </w:tc>
      </w:tr>
      <w:tr>
        <w:tc>
          <w:tcPr>
            <w:tcW w:type="dxa" w:w="2662"/>
            <w:tcMar>
              <w:top w:type="dxa" w:w="60"/>
              <w:left w:type="dxa" w:w="80"/>
              <w:bottom w:type="dxa" w:w="60"/>
              <w:right w:type="dxa" w:w="80"/>
            </w:tcMar>
            <w:vAlign w:val="top"/>
          </w:tcPr>
          <w:p>
            <w:r>
              <w:rPr>
                <w:b/>
                <w:bCs/>
                <w:color w:val="000000"/>
                <w:sz w:val="16"/>
                <w:szCs w:val="16"/>
              </w:rPr>
              <w:t xml:space="preserve">Workflow</w:t>
            </w:r>
          </w:p>
        </w:tc>
        <w:tc>
          <w:tcPr>
            <w:tcW w:type="dxa" w:w="2048"/>
            <w:tcMar>
              <w:top w:type="dxa" w:w="60"/>
              <w:left w:type="dxa" w:w="80"/>
              <w:bottom w:type="dxa" w:w="60"/>
              <w:right w:type="dxa" w:w="80"/>
            </w:tcMar>
            <w:vAlign w:val="top"/>
          </w:tcPr>
          <w:p>
            <w:r>
              <w:rPr>
                <w:b w:val="false"/>
                <w:bCs w:val="false"/>
                <w:color w:val="000000"/>
                <w:sz w:val="16"/>
                <w:szCs w:val="16"/>
              </w:rPr>
              <w:t xml:space="preserve">Must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Configurable multi-tier approval engine for all four document types.</w:t>
            </w:r>
          </w:p>
        </w:tc>
      </w:tr>
      <w:tr>
        <w:tc>
          <w:tcPr>
            <w:tcW w:type="dxa" w:w="2662"/>
            <w:tcMar>
              <w:top w:type="dxa" w:w="60"/>
              <w:left w:type="dxa" w:w="80"/>
              <w:bottom w:type="dxa" w:w="60"/>
              <w:right w:type="dxa" w:w="80"/>
            </w:tcMar>
            <w:vAlign w:val="top"/>
          </w:tcPr>
          <w:p>
            <w:r>
              <w:rPr>
                <w:b/>
                <w:bCs/>
                <w:color w:val="000000"/>
                <w:sz w:val="16"/>
                <w:szCs w:val="16"/>
              </w:rPr>
              <w:t xml:space="preserve">Approvals</w:t>
            </w:r>
          </w:p>
        </w:tc>
        <w:tc>
          <w:tcPr>
            <w:tcW w:type="dxa" w:w="2048"/>
            <w:tcMar>
              <w:top w:type="dxa" w:w="60"/>
              <w:left w:type="dxa" w:w="80"/>
              <w:bottom w:type="dxa" w:w="60"/>
              <w:right w:type="dxa" w:w="80"/>
            </w:tcMar>
            <w:vAlign w:val="top"/>
          </w:tcPr>
          <w:p>
            <w:r>
              <w:rPr>
                <w:b w:val="false"/>
                <w:bCs w:val="false"/>
                <w:color w:val="000000"/>
                <w:sz w:val="16"/>
                <w:szCs w:val="16"/>
              </w:rPr>
              <w:t xml:space="preserve">Must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Approver-facing queue and decision interface.</w:t>
            </w:r>
          </w:p>
        </w:tc>
      </w:tr>
      <w:tr>
        <w:tc>
          <w:tcPr>
            <w:tcW w:type="dxa" w:w="2662"/>
            <w:tcMar>
              <w:top w:type="dxa" w:w="60"/>
              <w:left w:type="dxa" w:w="80"/>
              <w:bottom w:type="dxa" w:w="60"/>
              <w:right w:type="dxa" w:w="80"/>
            </w:tcMar>
            <w:vAlign w:val="top"/>
          </w:tcPr>
          <w:p>
            <w:r>
              <w:rPr>
                <w:b/>
                <w:bCs/>
                <w:color w:val="000000"/>
                <w:sz w:val="16"/>
                <w:szCs w:val="16"/>
              </w:rPr>
              <w:t xml:space="preserve">Document Management</w:t>
            </w:r>
          </w:p>
        </w:tc>
        <w:tc>
          <w:tcPr>
            <w:tcW w:type="dxa" w:w="2048"/>
            <w:tcMar>
              <w:top w:type="dxa" w:w="60"/>
              <w:left w:type="dxa" w:w="80"/>
              <w:bottom w:type="dxa" w:w="60"/>
              <w:right w:type="dxa" w:w="80"/>
            </w:tcMar>
            <w:vAlign w:val="top"/>
          </w:tcPr>
          <w:p>
            <w:r>
              <w:rPr>
                <w:b w:val="false"/>
                <w:bCs w:val="false"/>
                <w:color w:val="000000"/>
                <w:sz w:val="16"/>
                <w:szCs w:val="16"/>
              </w:rPr>
              <w:t xml:space="preserve">Must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The centralized document repository the TOR names explicitly.</w:t>
            </w:r>
          </w:p>
        </w:tc>
      </w:tr>
      <w:tr>
        <w:tc>
          <w:tcPr>
            <w:tcW w:type="dxa" w:w="2662"/>
            <w:tcMar>
              <w:top w:type="dxa" w:w="60"/>
              <w:left w:type="dxa" w:w="80"/>
              <w:bottom w:type="dxa" w:w="60"/>
              <w:right w:type="dxa" w:w="80"/>
            </w:tcMar>
            <w:vAlign w:val="top"/>
          </w:tcPr>
          <w:p>
            <w:r>
              <w:rPr>
                <w:b/>
                <w:bCs/>
                <w:color w:val="000000"/>
                <w:sz w:val="16"/>
                <w:szCs w:val="16"/>
              </w:rPr>
              <w:t xml:space="preserve">Knowledge Repository</w:t>
            </w:r>
          </w:p>
        </w:tc>
        <w:tc>
          <w:tcPr>
            <w:tcW w:type="dxa" w:w="2048"/>
            <w:tcMar>
              <w:top w:type="dxa" w:w="60"/>
              <w:left w:type="dxa" w:w="80"/>
              <w:bottom w:type="dxa" w:w="60"/>
              <w:right w:type="dxa" w:w="80"/>
            </w:tcMar>
            <w:vAlign w:val="top"/>
          </w:tcPr>
          <w:p>
            <w:r>
              <w:rPr>
                <w:b w:val="false"/>
                <w:bCs w:val="false"/>
                <w:color w:val="000000"/>
                <w:sz w:val="16"/>
                <w:szCs w:val="16"/>
              </w:rPr>
              <w:t xml:space="preserve">Must Have</w:t>
            </w:r>
          </w:p>
        </w:tc>
        <w:tc>
          <w:tcPr>
            <w:tcW w:type="dxa" w:w="2662"/>
            <w:tcMar>
              <w:top w:type="dxa" w:w="60"/>
              <w:left w:type="dxa" w:w="80"/>
              <w:bottom w:type="dxa" w:w="60"/>
              <w:right w:type="dxa" w:w="80"/>
            </w:tcMar>
            <w:vAlign w:val="top"/>
          </w:tcPr>
          <w:p>
            <w:r>
              <w:rPr>
                <w:b w:val="false"/>
                <w:bCs w:val="false"/>
                <w:color w:val="000000"/>
                <w:sz w:val="16"/>
                <w:szCs w:val="16"/>
              </w:rPr>
              <w:t xml:space="preserve">CKR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The standalone CKR platform the TOR names explicitly.</w:t>
            </w:r>
          </w:p>
        </w:tc>
      </w:tr>
      <w:tr>
        <w:tc>
          <w:tcPr>
            <w:tcW w:type="dxa" w:w="2662"/>
            <w:tcMar>
              <w:top w:type="dxa" w:w="60"/>
              <w:left w:type="dxa" w:w="80"/>
              <w:bottom w:type="dxa" w:w="60"/>
              <w:right w:type="dxa" w:w="80"/>
            </w:tcMar>
            <w:vAlign w:val="top"/>
          </w:tcPr>
          <w:p>
            <w:r>
              <w:rPr>
                <w:b/>
                <w:bCs/>
                <w:color w:val="000000"/>
                <w:sz w:val="16"/>
                <w:szCs w:val="16"/>
              </w:rPr>
              <w:t xml:space="preserve">Media Library</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CKR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Manages images, video, audio, and datasets.</w:t>
            </w:r>
          </w:p>
        </w:tc>
      </w:tr>
      <w:tr>
        <w:tc>
          <w:tcPr>
            <w:tcW w:type="dxa" w:w="2662"/>
            <w:tcMar>
              <w:top w:type="dxa" w:w="60"/>
              <w:left w:type="dxa" w:w="80"/>
              <w:bottom w:type="dxa" w:w="60"/>
              <w:right w:type="dxa" w:w="80"/>
            </w:tcMar>
            <w:vAlign w:val="top"/>
          </w:tcPr>
          <w:p>
            <w:r>
              <w:rPr>
                <w:b/>
                <w:bCs/>
                <w:color w:val="000000"/>
                <w:sz w:val="16"/>
                <w:szCs w:val="16"/>
              </w:rPr>
              <w:t xml:space="preserve">Reports</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Reporting &amp; BI Application</w:t>
            </w:r>
          </w:p>
        </w:tc>
        <w:tc>
          <w:tcPr>
            <w:tcW w:type="dxa" w:w="2867"/>
            <w:tcMar>
              <w:top w:type="dxa" w:w="60"/>
              <w:left w:type="dxa" w:w="80"/>
              <w:bottom w:type="dxa" w:w="60"/>
              <w:right w:type="dxa" w:w="80"/>
            </w:tcMar>
            <w:vAlign w:val="top"/>
          </w:tcPr>
          <w:p>
            <w:r>
              <w:rPr>
                <w:b w:val="false"/>
                <w:bCs w:val="false"/>
                <w:color w:val="000000"/>
                <w:sz w:val="16"/>
                <w:szCs w:val="16"/>
              </w:rPr>
              <w:t xml:space="preserve">Templated, automated donor-aligned reporting.</w:t>
            </w:r>
          </w:p>
        </w:tc>
      </w:tr>
      <w:tr>
        <w:tc>
          <w:tcPr>
            <w:tcW w:type="dxa" w:w="2662"/>
            <w:tcMar>
              <w:top w:type="dxa" w:w="60"/>
              <w:left w:type="dxa" w:w="80"/>
              <w:bottom w:type="dxa" w:w="60"/>
              <w:right w:type="dxa" w:w="80"/>
            </w:tcMar>
            <w:vAlign w:val="top"/>
          </w:tcPr>
          <w:p>
            <w:r>
              <w:rPr>
                <w:b/>
                <w:bCs/>
                <w:color w:val="000000"/>
                <w:sz w:val="16"/>
                <w:szCs w:val="16"/>
              </w:rPr>
              <w:t xml:space="preserve">Analytics</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Reporting &amp; BI Application</w:t>
            </w:r>
          </w:p>
        </w:tc>
        <w:tc>
          <w:tcPr>
            <w:tcW w:type="dxa" w:w="2867"/>
            <w:tcMar>
              <w:top w:type="dxa" w:w="60"/>
              <w:left w:type="dxa" w:w="80"/>
              <w:bottom w:type="dxa" w:w="60"/>
              <w:right w:type="dxa" w:w="80"/>
            </w:tcMar>
            <w:vAlign w:val="top"/>
          </w:tcPr>
          <w:p>
            <w:r>
              <w:rPr>
                <w:b w:val="false"/>
                <w:bCs w:val="false"/>
                <w:color w:val="000000"/>
                <w:sz w:val="16"/>
                <w:szCs w:val="16"/>
              </w:rPr>
              <w:t xml:space="preserve">Trend and comparative performance analysis.</w:t>
            </w:r>
          </w:p>
        </w:tc>
      </w:tr>
      <w:tr>
        <w:tc>
          <w:tcPr>
            <w:tcW w:type="dxa" w:w="2662"/>
            <w:tcMar>
              <w:top w:type="dxa" w:w="60"/>
              <w:left w:type="dxa" w:w="80"/>
              <w:bottom w:type="dxa" w:w="60"/>
              <w:right w:type="dxa" w:w="80"/>
            </w:tcMar>
            <w:vAlign w:val="top"/>
          </w:tcPr>
          <w:p>
            <w:r>
              <w:rPr>
                <w:b/>
                <w:bCs/>
                <w:color w:val="000000"/>
                <w:sz w:val="16"/>
                <w:szCs w:val="16"/>
              </w:rPr>
              <w:t xml:space="preserve">Business Intelligence</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Reporting &amp; BI Application</w:t>
            </w:r>
          </w:p>
        </w:tc>
        <w:tc>
          <w:tcPr>
            <w:tcW w:type="dxa" w:w="2867"/>
            <w:tcMar>
              <w:top w:type="dxa" w:w="60"/>
              <w:left w:type="dxa" w:w="80"/>
              <w:bottom w:type="dxa" w:w="60"/>
              <w:right w:type="dxa" w:w="80"/>
            </w:tcMar>
            <w:vAlign w:val="top"/>
          </w:tcPr>
          <w:p>
            <w:r>
              <w:rPr>
                <w:b w:val="false"/>
                <w:bCs w:val="false"/>
                <w:color w:val="000000"/>
                <w:sz w:val="16"/>
                <w:szCs w:val="16"/>
              </w:rPr>
              <w:t xml:space="preserve">Deeper analytical layer over the KPI dataset.</w:t>
            </w:r>
          </w:p>
        </w:tc>
      </w:tr>
      <w:tr>
        <w:tc>
          <w:tcPr>
            <w:tcW w:type="dxa" w:w="2662"/>
            <w:tcMar>
              <w:top w:type="dxa" w:w="60"/>
              <w:left w:type="dxa" w:w="80"/>
              <w:bottom w:type="dxa" w:w="60"/>
              <w:right w:type="dxa" w:w="80"/>
            </w:tcMar>
            <w:vAlign w:val="top"/>
          </w:tcPr>
          <w:p>
            <w:r>
              <w:rPr>
                <w:b/>
                <w:bCs/>
                <w:color w:val="000000"/>
                <w:sz w:val="16"/>
                <w:szCs w:val="16"/>
              </w:rPr>
              <w:t xml:space="preserve">Search</w:t>
            </w:r>
          </w:p>
        </w:tc>
        <w:tc>
          <w:tcPr>
            <w:tcW w:type="dxa" w:w="2048"/>
            <w:tcMar>
              <w:top w:type="dxa" w:w="60"/>
              <w:left w:type="dxa" w:w="80"/>
              <w:bottom w:type="dxa" w:w="60"/>
              <w:right w:type="dxa" w:w="80"/>
            </w:tcMar>
            <w:vAlign w:val="top"/>
          </w:tcPr>
          <w:p>
            <w:r>
              <w:rPr>
                <w:b w:val="false"/>
                <w:bCs w:val="false"/>
                <w:color w:val="000000"/>
                <w:sz w:val="16"/>
                <w:szCs w:val="16"/>
              </w:rPr>
              <w:t xml:space="preserve">Must Have</w:t>
            </w:r>
          </w:p>
        </w:tc>
        <w:tc>
          <w:tcPr>
            <w:tcW w:type="dxa" w:w="2662"/>
            <w:tcMar>
              <w:top w:type="dxa" w:w="60"/>
              <w:left w:type="dxa" w:w="80"/>
              <w:bottom w:type="dxa" w:w="60"/>
              <w:right w:type="dxa" w:w="80"/>
            </w:tcMar>
            <w:vAlign w:val="top"/>
          </w:tcPr>
          <w:p>
            <w:r>
              <w:rPr>
                <w:b w:val="false"/>
                <w:bCs w:val="false"/>
                <w:color w:val="000000"/>
                <w:sz w:val="16"/>
                <w:szCs w:val="16"/>
              </w:rPr>
              <w:t xml:space="preserve">Enterprise Search Service</w:t>
            </w:r>
          </w:p>
        </w:tc>
        <w:tc>
          <w:tcPr>
            <w:tcW w:type="dxa" w:w="2867"/>
            <w:tcMar>
              <w:top w:type="dxa" w:w="60"/>
              <w:left w:type="dxa" w:w="80"/>
              <w:bottom w:type="dxa" w:w="60"/>
              <w:right w:type="dxa" w:w="80"/>
            </w:tcMar>
            <w:vAlign w:val="top"/>
          </w:tcPr>
          <w:p>
            <w:r>
              <w:rPr>
                <w:b w:val="false"/>
                <w:bCs w:val="false"/>
                <w:color w:val="000000"/>
                <w:sz w:val="16"/>
                <w:szCs w:val="16"/>
              </w:rPr>
              <w:t xml:space="preserve">Federated, access-aware search across ESM and CKR.</w:t>
            </w:r>
          </w:p>
        </w:tc>
      </w:tr>
      <w:tr>
        <w:tc>
          <w:tcPr>
            <w:tcW w:type="dxa" w:w="2662"/>
            <w:tcMar>
              <w:top w:type="dxa" w:w="60"/>
              <w:left w:type="dxa" w:w="80"/>
              <w:bottom w:type="dxa" w:w="60"/>
              <w:right w:type="dxa" w:w="80"/>
            </w:tcMar>
            <w:vAlign w:val="top"/>
          </w:tcPr>
          <w:p>
            <w:r>
              <w:rPr>
                <w:b/>
                <w:bCs/>
                <w:color w:val="000000"/>
                <w:sz w:val="16"/>
                <w:szCs w:val="16"/>
              </w:rPr>
              <w:t xml:space="preserve">Administration</w:t>
            </w:r>
          </w:p>
        </w:tc>
        <w:tc>
          <w:tcPr>
            <w:tcW w:type="dxa" w:w="2048"/>
            <w:tcMar>
              <w:top w:type="dxa" w:w="60"/>
              <w:left w:type="dxa" w:w="80"/>
              <w:bottom w:type="dxa" w:w="60"/>
              <w:right w:type="dxa" w:w="80"/>
            </w:tcMar>
            <w:vAlign w:val="top"/>
          </w:tcPr>
          <w:p>
            <w:r>
              <w:rPr>
                <w:b w:val="false"/>
                <w:bCs w:val="false"/>
                <w:color w:val="000000"/>
                <w:sz w:val="16"/>
                <w:szCs w:val="16"/>
              </w:rPr>
              <w:t xml:space="preserve">Must Have</w:t>
            </w:r>
          </w:p>
        </w:tc>
        <w:tc>
          <w:tcPr>
            <w:tcW w:type="dxa" w:w="2662"/>
            <w:tcMar>
              <w:top w:type="dxa" w:w="60"/>
              <w:left w:type="dxa" w:w="80"/>
              <w:bottom w:type="dxa" w:w="60"/>
              <w:right w:type="dxa" w:w="80"/>
            </w:tcMar>
            <w:vAlign w:val="top"/>
          </w:tcPr>
          <w:p>
            <w:r>
              <w:rPr>
                <w:b w:val="false"/>
                <w:bCs w:val="false"/>
                <w:color w:val="000000"/>
                <w:sz w:val="16"/>
                <w:szCs w:val="16"/>
              </w:rPr>
              <w:t xml:space="preserve">Governance &amp; Administration Console</w:t>
            </w:r>
          </w:p>
        </w:tc>
        <w:tc>
          <w:tcPr>
            <w:tcW w:type="dxa" w:w="2867"/>
            <w:tcMar>
              <w:top w:type="dxa" w:w="60"/>
              <w:left w:type="dxa" w:w="80"/>
              <w:bottom w:type="dxa" w:w="60"/>
              <w:right w:type="dxa" w:w="80"/>
            </w:tcMar>
            <w:vAlign w:val="top"/>
          </w:tcPr>
          <w:p>
            <w:r>
              <w:rPr>
                <w:b w:val="false"/>
                <w:bCs w:val="false"/>
                <w:color w:val="000000"/>
                <w:sz w:val="16"/>
                <w:szCs w:val="16"/>
              </w:rPr>
              <w:t xml:space="preserve">General platform configuration surface.</w:t>
            </w:r>
          </w:p>
        </w:tc>
      </w:tr>
      <w:tr>
        <w:tc>
          <w:tcPr>
            <w:tcW w:type="dxa" w:w="2662"/>
            <w:tcMar>
              <w:top w:type="dxa" w:w="60"/>
              <w:left w:type="dxa" w:w="80"/>
              <w:bottom w:type="dxa" w:w="60"/>
              <w:right w:type="dxa" w:w="80"/>
            </w:tcMar>
            <w:vAlign w:val="top"/>
          </w:tcPr>
          <w:p>
            <w:r>
              <w:rPr>
                <w:b/>
                <w:bCs/>
                <w:color w:val="000000"/>
                <w:sz w:val="16"/>
                <w:szCs w:val="16"/>
              </w:rPr>
              <w:t xml:space="preserve">Identity Management</w:t>
            </w:r>
          </w:p>
        </w:tc>
        <w:tc>
          <w:tcPr>
            <w:tcW w:type="dxa" w:w="2048"/>
            <w:tcMar>
              <w:top w:type="dxa" w:w="60"/>
              <w:left w:type="dxa" w:w="80"/>
              <w:bottom w:type="dxa" w:w="60"/>
              <w:right w:type="dxa" w:w="80"/>
            </w:tcMar>
            <w:vAlign w:val="top"/>
          </w:tcPr>
          <w:p>
            <w:r>
              <w:rPr>
                <w:b w:val="false"/>
                <w:bCs w:val="false"/>
                <w:color w:val="000000"/>
                <w:sz w:val="16"/>
                <w:szCs w:val="16"/>
              </w:rPr>
              <w:t xml:space="preserve">Must Have</w:t>
            </w:r>
          </w:p>
        </w:tc>
        <w:tc>
          <w:tcPr>
            <w:tcW w:type="dxa" w:w="2662"/>
            <w:tcMar>
              <w:top w:type="dxa" w:w="60"/>
              <w:left w:type="dxa" w:w="80"/>
              <w:bottom w:type="dxa" w:w="60"/>
              <w:right w:type="dxa" w:w="80"/>
            </w:tcMar>
            <w:vAlign w:val="top"/>
          </w:tcPr>
          <w:p>
            <w:r>
              <w:rPr>
                <w:b w:val="false"/>
                <w:bCs w:val="false"/>
                <w:color w:val="000000"/>
                <w:sz w:val="16"/>
                <w:szCs w:val="16"/>
              </w:rPr>
              <w:t xml:space="preserve">IAM Service (Keycloak)</w:t>
            </w:r>
          </w:p>
        </w:tc>
        <w:tc>
          <w:tcPr>
            <w:tcW w:type="dxa" w:w="2867"/>
            <w:tcMar>
              <w:top w:type="dxa" w:w="60"/>
              <w:left w:type="dxa" w:w="80"/>
              <w:bottom w:type="dxa" w:w="60"/>
              <w:right w:type="dxa" w:w="80"/>
            </w:tcMar>
            <w:vAlign w:val="top"/>
          </w:tcPr>
          <w:p>
            <w:r>
              <w:rPr>
                <w:b w:val="false"/>
                <w:bCs w:val="false"/>
                <w:color w:val="000000"/>
                <w:sz w:val="16"/>
                <w:szCs w:val="16"/>
              </w:rPr>
              <w:t xml:space="preserve">RBAC/MFA user and role administration.</w:t>
            </w:r>
          </w:p>
        </w:tc>
      </w:tr>
      <w:tr>
        <w:tc>
          <w:tcPr>
            <w:tcW w:type="dxa" w:w="2662"/>
            <w:tcMar>
              <w:top w:type="dxa" w:w="60"/>
              <w:left w:type="dxa" w:w="80"/>
              <w:bottom w:type="dxa" w:w="60"/>
              <w:right w:type="dxa" w:w="80"/>
            </w:tcMar>
            <w:vAlign w:val="top"/>
          </w:tcPr>
          <w:p>
            <w:r>
              <w:rPr>
                <w:b/>
                <w:bCs/>
                <w:color w:val="000000"/>
                <w:sz w:val="16"/>
                <w:szCs w:val="16"/>
              </w:rPr>
              <w:t xml:space="preserve">Notifications</w:t>
            </w:r>
          </w:p>
        </w:tc>
        <w:tc>
          <w:tcPr>
            <w:tcW w:type="dxa" w:w="2048"/>
            <w:tcMar>
              <w:top w:type="dxa" w:w="60"/>
              <w:left w:type="dxa" w:w="80"/>
              <w:bottom w:type="dxa" w:w="60"/>
              <w:right w:type="dxa" w:w="80"/>
            </w:tcMar>
            <w:vAlign w:val="top"/>
          </w:tcPr>
          <w:p>
            <w:r>
              <w:rPr>
                <w:b w:val="false"/>
                <w:bCs w:val="false"/>
                <w:color w:val="000000"/>
                <w:sz w:val="16"/>
                <w:szCs w:val="16"/>
              </w:rPr>
              <w:t xml:space="preserve">Must Have</w:t>
            </w:r>
          </w:p>
        </w:tc>
        <w:tc>
          <w:tcPr>
            <w:tcW w:type="dxa" w:w="2662"/>
            <w:tcMar>
              <w:top w:type="dxa" w:w="60"/>
              <w:left w:type="dxa" w:w="80"/>
              <w:bottom w:type="dxa" w:w="60"/>
              <w:right w:type="dxa" w:w="80"/>
            </w:tcMar>
            <w:vAlign w:val="top"/>
          </w:tcPr>
          <w:p>
            <w:r>
              <w:rPr>
                <w:b w:val="false"/>
                <w:bCs w:val="false"/>
                <w:color w:val="000000"/>
                <w:sz w:val="16"/>
                <w:szCs w:val="16"/>
              </w:rPr>
              <w:t xml:space="preserve">Notification &amp; Messaging Service</w:t>
            </w:r>
          </w:p>
        </w:tc>
        <w:tc>
          <w:tcPr>
            <w:tcW w:type="dxa" w:w="2867"/>
            <w:tcMar>
              <w:top w:type="dxa" w:w="60"/>
              <w:left w:type="dxa" w:w="80"/>
              <w:bottom w:type="dxa" w:w="60"/>
              <w:right w:type="dxa" w:w="80"/>
            </w:tcMar>
            <w:vAlign w:val="top"/>
          </w:tcPr>
          <w:p>
            <w:r>
              <w:rPr>
                <w:b w:val="false"/>
                <w:bCs w:val="false"/>
                <w:color w:val="000000"/>
                <w:sz w:val="16"/>
                <w:szCs w:val="16"/>
              </w:rPr>
              <w:t xml:space="preserve">Multi-channel workflow and SLA-escalation alerts.</w:t>
            </w:r>
          </w:p>
        </w:tc>
      </w:tr>
      <w:tr>
        <w:tc>
          <w:tcPr>
            <w:tcW w:type="dxa" w:w="2662"/>
            <w:tcMar>
              <w:top w:type="dxa" w:w="60"/>
              <w:left w:type="dxa" w:w="80"/>
              <w:bottom w:type="dxa" w:w="60"/>
              <w:right w:type="dxa" w:w="80"/>
            </w:tcMar>
            <w:vAlign w:val="top"/>
          </w:tcPr>
          <w:p>
            <w:r>
              <w:rPr>
                <w:b/>
                <w:bCs/>
                <w:color w:val="000000"/>
                <w:sz w:val="16"/>
                <w:szCs w:val="16"/>
              </w:rPr>
              <w:t xml:space="preserve">Settings</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Governance &amp; Administration Console</w:t>
            </w:r>
          </w:p>
        </w:tc>
        <w:tc>
          <w:tcPr>
            <w:tcW w:type="dxa" w:w="2867"/>
            <w:tcMar>
              <w:top w:type="dxa" w:w="60"/>
              <w:left w:type="dxa" w:w="80"/>
              <w:bottom w:type="dxa" w:w="60"/>
              <w:right w:type="dxa" w:w="80"/>
            </w:tcMar>
            <w:vAlign w:val="top"/>
          </w:tcPr>
          <w:p>
            <w:r>
              <w:rPr>
                <w:b w:val="false"/>
                <w:bCs w:val="false"/>
                <w:color w:val="000000"/>
                <w:sz w:val="16"/>
                <w:szCs w:val="16"/>
              </w:rPr>
              <w:t xml:space="preserve">User and organization-level preferences.</w:t>
            </w:r>
          </w:p>
        </w:tc>
      </w:tr>
      <w:tr>
        <w:tc>
          <w:tcPr>
            <w:tcW w:type="dxa" w:w="2662"/>
            <w:tcMar>
              <w:top w:type="dxa" w:w="60"/>
              <w:left w:type="dxa" w:w="80"/>
              <w:bottom w:type="dxa" w:w="60"/>
              <w:right w:type="dxa" w:w="80"/>
            </w:tcMar>
            <w:vAlign w:val="top"/>
          </w:tcPr>
          <w:p>
            <w:r>
              <w:rPr>
                <w:b/>
                <w:bCs/>
                <w:color w:val="000000"/>
                <w:sz w:val="16"/>
                <w:szCs w:val="16"/>
              </w:rPr>
              <w:t xml:space="preserve">Audit</w:t>
            </w:r>
          </w:p>
        </w:tc>
        <w:tc>
          <w:tcPr>
            <w:tcW w:type="dxa" w:w="2048"/>
            <w:tcMar>
              <w:top w:type="dxa" w:w="60"/>
              <w:left w:type="dxa" w:w="80"/>
              <w:bottom w:type="dxa" w:w="60"/>
              <w:right w:type="dxa" w:w="80"/>
            </w:tcMar>
            <w:vAlign w:val="top"/>
          </w:tcPr>
          <w:p>
            <w:r>
              <w:rPr>
                <w:b w:val="false"/>
                <w:bCs w:val="false"/>
                <w:color w:val="000000"/>
                <w:sz w:val="16"/>
                <w:szCs w:val="16"/>
              </w:rPr>
              <w:t xml:space="preserve">Must Have</w:t>
            </w:r>
          </w:p>
        </w:tc>
        <w:tc>
          <w:tcPr>
            <w:tcW w:type="dxa" w:w="2662"/>
            <w:tcMar>
              <w:top w:type="dxa" w:w="60"/>
              <w:left w:type="dxa" w:w="80"/>
              <w:bottom w:type="dxa" w:w="60"/>
              <w:right w:type="dxa" w:w="80"/>
            </w:tcMar>
            <w:vAlign w:val="top"/>
          </w:tcPr>
          <w:p>
            <w:r>
              <w:rPr>
                <w:b w:val="false"/>
                <w:bCs w:val="false"/>
                <w:color w:val="000000"/>
                <w:sz w:val="16"/>
                <w:szCs w:val="16"/>
              </w:rPr>
              <w:t xml:space="preserve">Governance &amp; Administration Console</w:t>
            </w:r>
          </w:p>
        </w:tc>
        <w:tc>
          <w:tcPr>
            <w:tcW w:type="dxa" w:w="2867"/>
            <w:tcMar>
              <w:top w:type="dxa" w:w="60"/>
              <w:left w:type="dxa" w:w="80"/>
              <w:bottom w:type="dxa" w:w="60"/>
              <w:right w:type="dxa" w:w="80"/>
            </w:tcMar>
            <w:vAlign w:val="top"/>
          </w:tcPr>
          <w:p>
            <w:r>
              <w:rPr>
                <w:b w:val="false"/>
                <w:bCs w:val="false"/>
                <w:color w:val="000000"/>
                <w:sz w:val="16"/>
                <w:szCs w:val="16"/>
              </w:rPr>
              <w:t xml:space="preserve">System-generated, immutable audit trail.</w:t>
            </w:r>
          </w:p>
        </w:tc>
      </w:tr>
      <w:tr>
        <w:tc>
          <w:tcPr>
            <w:tcW w:type="dxa" w:w="2662"/>
            <w:tcMar>
              <w:top w:type="dxa" w:w="60"/>
              <w:left w:type="dxa" w:w="80"/>
              <w:bottom w:type="dxa" w:w="60"/>
              <w:right w:type="dxa" w:w="80"/>
            </w:tcMar>
            <w:vAlign w:val="top"/>
          </w:tcPr>
          <w:p>
            <w:r>
              <w:rPr>
                <w:b/>
                <w:bCs/>
                <w:color w:val="000000"/>
                <w:sz w:val="16"/>
                <w:szCs w:val="16"/>
              </w:rPr>
              <w:t xml:space="preserve">Risk Register</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Structured programme risk tracking.</w:t>
            </w:r>
          </w:p>
        </w:tc>
      </w:tr>
      <w:tr>
        <w:tc>
          <w:tcPr>
            <w:tcW w:type="dxa" w:w="2662"/>
            <w:tcMar>
              <w:top w:type="dxa" w:w="60"/>
              <w:left w:type="dxa" w:w="80"/>
              <w:bottom w:type="dxa" w:w="60"/>
              <w:right w:type="dxa" w:w="80"/>
            </w:tcMar>
            <w:vAlign w:val="top"/>
          </w:tcPr>
          <w:p>
            <w:r>
              <w:rPr>
                <w:b/>
                <w:bCs/>
                <w:color w:val="000000"/>
                <w:sz w:val="16"/>
                <w:szCs w:val="16"/>
              </w:rPr>
              <w:t xml:space="preserve">Issue Register</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Tracks materialized delivery issues.</w:t>
            </w:r>
          </w:p>
        </w:tc>
      </w:tr>
      <w:tr>
        <w:tc>
          <w:tcPr>
            <w:tcW w:type="dxa" w:w="2662"/>
            <w:tcMar>
              <w:top w:type="dxa" w:w="60"/>
              <w:left w:type="dxa" w:w="80"/>
              <w:bottom w:type="dxa" w:w="60"/>
              <w:right w:type="dxa" w:w="80"/>
            </w:tcMar>
            <w:vAlign w:val="top"/>
          </w:tcPr>
          <w:p>
            <w:r>
              <w:rPr>
                <w:b/>
                <w:bCs/>
                <w:color w:val="000000"/>
                <w:sz w:val="16"/>
                <w:szCs w:val="16"/>
              </w:rPr>
              <w:t xml:space="preserve">Decision Register</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ESM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Records formal governed decisions.</w:t>
            </w:r>
          </w:p>
        </w:tc>
      </w:tr>
      <w:tr>
        <w:tc>
          <w:tcPr>
            <w:tcW w:type="dxa" w:w="2662"/>
            <w:tcMar>
              <w:top w:type="dxa" w:w="60"/>
              <w:left w:type="dxa" w:w="80"/>
              <w:bottom w:type="dxa" w:w="60"/>
              <w:right w:type="dxa" w:w="80"/>
            </w:tcMar>
            <w:vAlign w:val="top"/>
          </w:tcPr>
          <w:p>
            <w:r>
              <w:rPr>
                <w:b/>
                <w:bCs/>
                <w:color w:val="000000"/>
                <w:sz w:val="16"/>
                <w:szCs w:val="16"/>
              </w:rPr>
              <w:t xml:space="preserve">Training</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Collaboration &amp; Training Workspace</w:t>
            </w:r>
          </w:p>
        </w:tc>
        <w:tc>
          <w:tcPr>
            <w:tcW w:type="dxa" w:w="2867"/>
            <w:tcMar>
              <w:top w:type="dxa" w:w="60"/>
              <w:left w:type="dxa" w:w="80"/>
              <w:bottom w:type="dxa" w:w="60"/>
              <w:right w:type="dxa" w:w="80"/>
            </w:tcMar>
            <w:vAlign w:val="top"/>
          </w:tcPr>
          <w:p>
            <w:r>
              <w:rPr>
                <w:b w:val="false"/>
                <w:bCs w:val="false"/>
                <w:color w:val="000000"/>
                <w:sz w:val="16"/>
                <w:szCs w:val="16"/>
              </w:rPr>
              <w:t xml:space="preserve">Progressive, training-of-trainers content.</w:t>
            </w:r>
          </w:p>
        </w:tc>
      </w:tr>
      <w:tr>
        <w:tc>
          <w:tcPr>
            <w:tcW w:type="dxa" w:w="2662"/>
            <w:tcMar>
              <w:top w:type="dxa" w:w="60"/>
              <w:left w:type="dxa" w:w="80"/>
              <w:bottom w:type="dxa" w:w="60"/>
              <w:right w:type="dxa" w:w="80"/>
            </w:tcMar>
            <w:vAlign w:val="top"/>
          </w:tcPr>
          <w:p>
            <w:r>
              <w:rPr>
                <w:b/>
                <w:bCs/>
                <w:color w:val="000000"/>
                <w:sz w:val="16"/>
                <w:szCs w:val="16"/>
              </w:rPr>
              <w:t xml:space="preserve">Help Desk</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Collaboration &amp; Training Workspace</w:t>
            </w:r>
          </w:p>
        </w:tc>
        <w:tc>
          <w:tcPr>
            <w:tcW w:type="dxa" w:w="2867"/>
            <w:tcMar>
              <w:top w:type="dxa" w:w="60"/>
              <w:left w:type="dxa" w:w="80"/>
              <w:bottom w:type="dxa" w:w="60"/>
              <w:right w:type="dxa" w:w="80"/>
            </w:tcMar>
            <w:vAlign w:val="top"/>
          </w:tcPr>
          <w:p>
            <w:r>
              <w:rPr>
                <w:b w:val="false"/>
                <w:bCs w:val="false"/>
                <w:color w:val="000000"/>
                <w:sz w:val="16"/>
                <w:szCs w:val="16"/>
              </w:rPr>
              <w:t xml:space="preserve">User-facing support ticketing.</w:t>
            </w:r>
          </w:p>
        </w:tc>
      </w:tr>
      <w:tr>
        <w:tc>
          <w:tcPr>
            <w:tcW w:type="dxa" w:w="2662"/>
            <w:tcMar>
              <w:top w:type="dxa" w:w="60"/>
              <w:left w:type="dxa" w:w="80"/>
              <w:bottom w:type="dxa" w:w="60"/>
              <w:right w:type="dxa" w:w="80"/>
            </w:tcMar>
            <w:vAlign w:val="top"/>
          </w:tcPr>
          <w:p>
            <w:r>
              <w:rPr>
                <w:b/>
                <w:bCs/>
                <w:color w:val="000000"/>
                <w:sz w:val="16"/>
                <w:szCs w:val="16"/>
              </w:rPr>
              <w:t xml:space="preserve">Support</w:t>
            </w:r>
          </w:p>
        </w:tc>
        <w:tc>
          <w:tcPr>
            <w:tcW w:type="dxa" w:w="2048"/>
            <w:tcMar>
              <w:top w:type="dxa" w:w="60"/>
              <w:left w:type="dxa" w:w="80"/>
              <w:bottom w:type="dxa" w:w="60"/>
              <w:right w:type="dxa" w:w="80"/>
            </w:tcMar>
            <w:vAlign w:val="top"/>
          </w:tcPr>
          <w:p>
            <w:r>
              <w:rPr>
                <w:b w:val="false"/>
                <w:bCs w:val="false"/>
                <w:color w:val="000000"/>
                <w:sz w:val="16"/>
                <w:szCs w:val="16"/>
              </w:rPr>
              <w:t xml:space="preserve">Should Have</w:t>
            </w:r>
          </w:p>
        </w:tc>
        <w:tc>
          <w:tcPr>
            <w:tcW w:type="dxa" w:w="2662"/>
            <w:tcMar>
              <w:top w:type="dxa" w:w="60"/>
              <w:left w:type="dxa" w:w="80"/>
              <w:bottom w:type="dxa" w:w="60"/>
              <w:right w:type="dxa" w:w="80"/>
            </w:tcMar>
            <w:vAlign w:val="top"/>
          </w:tcPr>
          <w:p>
            <w:r>
              <w:rPr>
                <w:b w:val="false"/>
                <w:bCs w:val="false"/>
                <w:color w:val="000000"/>
                <w:sz w:val="16"/>
                <w:szCs w:val="16"/>
              </w:rPr>
              <w:t xml:space="preserve">Collaboration &amp; Training Workspace</w:t>
            </w:r>
          </w:p>
        </w:tc>
        <w:tc>
          <w:tcPr>
            <w:tcW w:type="dxa" w:w="2867"/>
            <w:tcMar>
              <w:top w:type="dxa" w:w="60"/>
              <w:left w:type="dxa" w:w="80"/>
              <w:bottom w:type="dxa" w:w="60"/>
              <w:right w:type="dxa" w:w="80"/>
            </w:tcMar>
            <w:vAlign w:val="top"/>
          </w:tcPr>
          <w:p>
            <w:r>
              <w:rPr>
                <w:b w:val="false"/>
                <w:bCs w:val="false"/>
                <w:color w:val="000000"/>
                <w:sz w:val="16"/>
                <w:szCs w:val="16"/>
              </w:rPr>
              <w:t xml:space="preserve">Technical incident and platform support.</w:t>
            </w:r>
          </w:p>
        </w:tc>
      </w:tr>
      <w:tr>
        <w:tc>
          <w:tcPr>
            <w:tcW w:type="dxa" w:w="2662"/>
            <w:tcMar>
              <w:top w:type="dxa" w:w="60"/>
              <w:left w:type="dxa" w:w="80"/>
              <w:bottom w:type="dxa" w:w="60"/>
              <w:right w:type="dxa" w:w="80"/>
            </w:tcMar>
            <w:vAlign w:val="top"/>
          </w:tcPr>
          <w:p>
            <w:r>
              <w:rPr>
                <w:b/>
                <w:bCs/>
                <w:color w:val="000000"/>
                <w:sz w:val="16"/>
                <w:szCs w:val="16"/>
              </w:rPr>
              <w:t xml:space="preserve">Mobile</w:t>
            </w:r>
          </w:p>
        </w:tc>
        <w:tc>
          <w:tcPr>
            <w:tcW w:type="dxa" w:w="2048"/>
            <w:tcMar>
              <w:top w:type="dxa" w:w="60"/>
              <w:left w:type="dxa" w:w="80"/>
              <w:bottom w:type="dxa" w:w="60"/>
              <w:right w:type="dxa" w:w="80"/>
            </w:tcMar>
            <w:vAlign w:val="top"/>
          </w:tcPr>
          <w:p>
            <w:r>
              <w:rPr>
                <w:b w:val="false"/>
                <w:bCs w:val="false"/>
                <w:color w:val="000000"/>
                <w:sz w:val="16"/>
                <w:szCs w:val="16"/>
              </w:rPr>
              <w:t xml:space="preserve">Should Have (responsive); Could Have (native)</w:t>
            </w:r>
          </w:p>
        </w:tc>
        <w:tc>
          <w:tcPr>
            <w:tcW w:type="dxa" w:w="2662"/>
            <w:tcMar>
              <w:top w:type="dxa" w:w="60"/>
              <w:left w:type="dxa" w:w="80"/>
              <w:bottom w:type="dxa" w:w="60"/>
              <w:right w:type="dxa" w:w="80"/>
            </w:tcMar>
            <w:vAlign w:val="top"/>
          </w:tcPr>
          <w:p>
            <w:r>
              <w:rPr>
                <w:b w:val="false"/>
                <w:bCs w:val="false"/>
                <w:color w:val="000000"/>
                <w:sz w:val="16"/>
                <w:szCs w:val="16"/>
              </w:rPr>
              <w:t xml:space="preserve">ESM/CKR Core Platforms</w:t>
            </w:r>
          </w:p>
        </w:tc>
        <w:tc>
          <w:tcPr>
            <w:tcW w:type="dxa" w:w="2867"/>
            <w:tcMar>
              <w:top w:type="dxa" w:w="60"/>
              <w:left w:type="dxa" w:w="80"/>
              <w:bottom w:type="dxa" w:w="60"/>
              <w:right w:type="dxa" w:w="80"/>
            </w:tcMar>
            <w:vAlign w:val="top"/>
          </w:tcPr>
          <w:p>
            <w:r>
              <w:rPr>
                <w:b w:val="false"/>
                <w:bCs w:val="false"/>
                <w:color w:val="000000"/>
                <w:sz w:val="16"/>
                <w:szCs w:val="16"/>
              </w:rPr>
              <w:t xml:space="preserve">Mobile access to core functionality.</w:t>
            </w:r>
          </w:p>
        </w:tc>
      </w:tr>
      <w:tr>
        <w:tc>
          <w:tcPr>
            <w:tcW w:type="dxa" w:w="2662"/>
            <w:tcMar>
              <w:top w:type="dxa" w:w="60"/>
              <w:left w:type="dxa" w:w="80"/>
              <w:bottom w:type="dxa" w:w="60"/>
              <w:right w:type="dxa" w:w="80"/>
            </w:tcMar>
            <w:vAlign w:val="top"/>
          </w:tcPr>
          <w:p>
            <w:r>
              <w:rPr>
                <w:b/>
                <w:bCs/>
                <w:color w:val="000000"/>
                <w:sz w:val="16"/>
                <w:szCs w:val="16"/>
              </w:rPr>
              <w:t xml:space="preserve">Public Portal</w:t>
            </w:r>
          </w:p>
        </w:tc>
        <w:tc>
          <w:tcPr>
            <w:tcW w:type="dxa" w:w="2048"/>
            <w:tcMar>
              <w:top w:type="dxa" w:w="60"/>
              <w:left w:type="dxa" w:w="80"/>
              <w:bottom w:type="dxa" w:w="60"/>
              <w:right w:type="dxa" w:w="80"/>
            </w:tcMar>
            <w:vAlign w:val="top"/>
          </w:tcPr>
          <w:p>
            <w:r>
              <w:rPr>
                <w:b w:val="false"/>
                <w:bCs w:val="false"/>
                <w:color w:val="000000"/>
                <w:sz w:val="16"/>
                <w:szCs w:val="16"/>
              </w:rPr>
              <w:t xml:space="preserve">Must Have</w:t>
            </w:r>
          </w:p>
        </w:tc>
        <w:tc>
          <w:tcPr>
            <w:tcW w:type="dxa" w:w="2662"/>
            <w:tcMar>
              <w:top w:type="dxa" w:w="60"/>
              <w:left w:type="dxa" w:w="80"/>
              <w:bottom w:type="dxa" w:w="60"/>
              <w:right w:type="dxa" w:w="80"/>
            </w:tcMar>
            <w:vAlign w:val="top"/>
          </w:tcPr>
          <w:p>
            <w:r>
              <w:rPr>
                <w:b w:val="false"/>
                <w:bCs w:val="false"/>
                <w:color w:val="000000"/>
                <w:sz w:val="16"/>
                <w:szCs w:val="16"/>
              </w:rPr>
              <w:t xml:space="preserve">CKR Core Platform</w:t>
            </w:r>
          </w:p>
        </w:tc>
        <w:tc>
          <w:tcPr>
            <w:tcW w:type="dxa" w:w="2867"/>
            <w:tcMar>
              <w:top w:type="dxa" w:w="60"/>
              <w:left w:type="dxa" w:w="80"/>
              <w:bottom w:type="dxa" w:w="60"/>
              <w:right w:type="dxa" w:w="80"/>
            </w:tcMar>
            <w:vAlign w:val="top"/>
          </w:tcPr>
          <w:p>
            <w:r>
              <w:rPr>
                <w:b w:val="false"/>
                <w:bCs w:val="false"/>
                <w:color w:val="000000"/>
                <w:sz w:val="16"/>
                <w:szCs w:val="16"/>
              </w:rPr>
              <w:t xml:space="preserve">The public-facing presentation layer of CKR.</w:t>
            </w:r>
          </w:p>
        </w:tc>
      </w:tr>
    </w:tbl>
    <w:p>
      <w:pPr>
        <w:spacing w:after="160"/>
      </w:pPr>
    </w:p>
    <w:p>
      <w:pPr>
        <w:pStyle w:val="Heading1"/>
        <w:pBdr>
          <w:bottom w:val="single" w:color="1F3864" w:sz="6" w:space="4"/>
        </w:pBdr>
        <w:spacing w:after="130" w:before="320"/>
      </w:pPr>
      <w:r>
        <w:t xml:space="preserve">16.4 Technology Stack Decisions</w:t>
      </w:r>
    </w:p>
    <w:p>
      <w:pPr>
        <w:spacing w:after="150" w:line="276"/>
        <w:jc w:val="both"/>
      </w:pPr>
      <w:r>
        <w:t xml:space="preserve">Fourteen technology decisions were made through an explicit evaluation against schedule, sustainability, TOR constraints, and vendor lock-in risk.</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3482"/>
        <w:gridCol w:w="4096"/>
      </w:tblGrid>
      <w:tr>
        <w:trPr>
          <w:tblHeader/>
        </w:trPr>
        <w:tc>
          <w:tcPr>
            <w:tcW w:type="dxa" w:w="2662"/>
            <w:shd w:fill="1F3864" w:val="clear"/>
            <w:tcMar>
              <w:top w:type="dxa" w:w="60"/>
              <w:left w:type="dxa" w:w="80"/>
              <w:bottom w:type="dxa" w:w="60"/>
              <w:right w:type="dxa" w:w="80"/>
            </w:tcMar>
            <w:vAlign w:val="top"/>
          </w:tcPr>
          <w:p>
            <w:r>
              <w:rPr>
                <w:b/>
                <w:bCs/>
                <w:color w:val="FFFFFF"/>
                <w:sz w:val="16"/>
                <w:szCs w:val="16"/>
              </w:rPr>
              <w:t xml:space="preserve">Layer</w:t>
            </w:r>
          </w:p>
        </w:tc>
        <w:tc>
          <w:tcPr>
            <w:tcW w:type="dxa" w:w="3482"/>
            <w:shd w:fill="1F3864" w:val="clear"/>
            <w:tcMar>
              <w:top w:type="dxa" w:w="60"/>
              <w:left w:type="dxa" w:w="80"/>
              <w:bottom w:type="dxa" w:w="60"/>
              <w:right w:type="dxa" w:w="80"/>
            </w:tcMar>
            <w:vAlign w:val="top"/>
          </w:tcPr>
          <w:p>
            <w:r>
              <w:rPr>
                <w:b/>
                <w:bCs/>
                <w:color w:val="FFFFFF"/>
                <w:sz w:val="16"/>
                <w:szCs w:val="16"/>
              </w:rPr>
              <w:t xml:space="preserve">Recommended Technology</w:t>
            </w:r>
          </w:p>
        </w:tc>
        <w:tc>
          <w:tcPr>
            <w:tcW w:type="dxa" w:w="4096"/>
            <w:shd w:fill="1F3864" w:val="clear"/>
            <w:tcMar>
              <w:top w:type="dxa" w:w="60"/>
              <w:left w:type="dxa" w:w="80"/>
              <w:bottom w:type="dxa" w:w="60"/>
              <w:right w:type="dxa" w:w="80"/>
            </w:tcMar>
            <w:vAlign w:val="top"/>
          </w:tcPr>
          <w:p>
            <w:r>
              <w:rPr>
                <w:b/>
                <w:bCs/>
                <w:color w:val="FFFFFF"/>
                <w:sz w:val="16"/>
                <w:szCs w:val="16"/>
              </w:rPr>
              <w:t xml:space="preserve">Key Reason</w:t>
            </w:r>
          </w:p>
        </w:tc>
      </w:tr>
      <w:tr>
        <w:tc>
          <w:tcPr>
            <w:tcW w:type="dxa" w:w="2662"/>
            <w:tcMar>
              <w:top w:type="dxa" w:w="60"/>
              <w:left w:type="dxa" w:w="80"/>
              <w:bottom w:type="dxa" w:w="60"/>
              <w:right w:type="dxa" w:w="80"/>
            </w:tcMar>
            <w:vAlign w:val="top"/>
          </w:tcPr>
          <w:p>
            <w:r>
              <w:rPr>
                <w:b/>
                <w:bCs/>
                <w:color w:val="000000"/>
                <w:sz w:val="16"/>
                <w:szCs w:val="16"/>
              </w:rPr>
              <w:t xml:space="preserve">Backend framework (CKR)</w:t>
            </w:r>
          </w:p>
        </w:tc>
        <w:tc>
          <w:tcPr>
            <w:tcW w:type="dxa" w:w="3482"/>
            <w:tcMar>
              <w:top w:type="dxa" w:w="60"/>
              <w:left w:type="dxa" w:w="80"/>
              <w:bottom w:type="dxa" w:w="60"/>
              <w:right w:type="dxa" w:w="80"/>
            </w:tcMar>
            <w:vAlign w:val="top"/>
          </w:tcPr>
          <w:p>
            <w:r>
              <w:rPr>
                <w:b w:val="false"/>
                <w:bCs w:val="false"/>
                <w:color w:val="000000"/>
                <w:sz w:val="16"/>
                <w:szCs w:val="16"/>
              </w:rPr>
              <w:t xml:space="preserve">Laravel (PHP)</w:t>
            </w:r>
          </w:p>
        </w:tc>
        <w:tc>
          <w:tcPr>
            <w:tcW w:type="dxa" w:w="4096"/>
            <w:tcMar>
              <w:top w:type="dxa" w:w="60"/>
              <w:left w:type="dxa" w:w="80"/>
              <w:bottom w:type="dxa" w:w="60"/>
              <w:right w:type="dxa" w:w="80"/>
            </w:tcMar>
            <w:vAlign w:val="top"/>
          </w:tcPr>
          <w:p>
            <w:r>
              <w:rPr>
                <w:b w:val="false"/>
                <w:bCs w:val="false"/>
                <w:color w:val="000000"/>
                <w:sz w:val="16"/>
                <w:szCs w:val="16"/>
              </w:rPr>
              <w:t xml:space="preserve">TOR names 'WordPress or equivalent' for the CMS; largest local talent pool</w:t>
            </w:r>
          </w:p>
        </w:tc>
      </w:tr>
      <w:tr>
        <w:tc>
          <w:tcPr>
            <w:tcW w:type="dxa" w:w="2662"/>
            <w:tcMar>
              <w:top w:type="dxa" w:w="60"/>
              <w:left w:type="dxa" w:w="80"/>
              <w:bottom w:type="dxa" w:w="60"/>
              <w:right w:type="dxa" w:w="80"/>
            </w:tcMar>
            <w:vAlign w:val="top"/>
          </w:tcPr>
          <w:p>
            <w:r>
              <w:rPr>
                <w:b/>
                <w:bCs/>
                <w:color w:val="000000"/>
                <w:sz w:val="16"/>
                <w:szCs w:val="16"/>
              </w:rPr>
              <w:t xml:space="preserve">Backend framework (ESM)</w:t>
            </w:r>
          </w:p>
        </w:tc>
        <w:tc>
          <w:tcPr>
            <w:tcW w:type="dxa" w:w="3482"/>
            <w:tcMar>
              <w:top w:type="dxa" w:w="60"/>
              <w:left w:type="dxa" w:w="80"/>
              <w:bottom w:type="dxa" w:w="60"/>
              <w:right w:type="dxa" w:w="80"/>
            </w:tcMar>
            <w:vAlign w:val="top"/>
          </w:tcPr>
          <w:p>
            <w:r>
              <w:rPr>
                <w:b w:val="false"/>
                <w:bCs w:val="false"/>
                <w:color w:val="000000"/>
                <w:sz w:val="16"/>
                <w:szCs w:val="16"/>
              </w:rPr>
              <w:t xml:space="preserve">Node.js</w:t>
            </w:r>
          </w:p>
        </w:tc>
        <w:tc>
          <w:tcPr>
            <w:tcW w:type="dxa" w:w="4096"/>
            <w:tcMar>
              <w:top w:type="dxa" w:w="60"/>
              <w:left w:type="dxa" w:w="80"/>
              <w:bottom w:type="dxa" w:w="60"/>
              <w:right w:type="dxa" w:w="80"/>
            </w:tcMar>
            <w:vAlign w:val="top"/>
          </w:tcPr>
          <w:p>
            <w:r>
              <w:rPr>
                <w:b w:val="false"/>
                <w:bCs w:val="false"/>
                <w:color w:val="000000"/>
                <w:sz w:val="16"/>
                <w:szCs w:val="16"/>
              </w:rPr>
              <w:t xml:space="preserve">Event-driven fit for Workflow and Notifications</w:t>
            </w:r>
          </w:p>
        </w:tc>
      </w:tr>
      <w:tr>
        <w:tc>
          <w:tcPr>
            <w:tcW w:type="dxa" w:w="2662"/>
            <w:tcMar>
              <w:top w:type="dxa" w:w="60"/>
              <w:left w:type="dxa" w:w="80"/>
              <w:bottom w:type="dxa" w:w="60"/>
              <w:right w:type="dxa" w:w="80"/>
            </w:tcMar>
            <w:vAlign w:val="top"/>
          </w:tcPr>
          <w:p>
            <w:r>
              <w:rPr>
                <w:b/>
                <w:bCs/>
                <w:color w:val="000000"/>
                <w:sz w:val="16"/>
                <w:szCs w:val="16"/>
              </w:rPr>
              <w:t xml:space="preserve">Database</w:t>
            </w:r>
          </w:p>
        </w:tc>
        <w:tc>
          <w:tcPr>
            <w:tcW w:type="dxa" w:w="3482"/>
            <w:tcMar>
              <w:top w:type="dxa" w:w="60"/>
              <w:left w:type="dxa" w:w="80"/>
              <w:bottom w:type="dxa" w:w="60"/>
              <w:right w:type="dxa" w:w="80"/>
            </w:tcMar>
            <w:vAlign w:val="top"/>
          </w:tcPr>
          <w:p>
            <w:r>
              <w:rPr>
                <w:b w:val="false"/>
                <w:bCs w:val="false"/>
                <w:color w:val="000000"/>
                <w:sz w:val="16"/>
                <w:szCs w:val="16"/>
              </w:rPr>
              <w:t xml:space="preserve">PostgreSQL</w:t>
            </w:r>
          </w:p>
        </w:tc>
        <w:tc>
          <w:tcPr>
            <w:tcW w:type="dxa" w:w="4096"/>
            <w:tcMar>
              <w:top w:type="dxa" w:w="60"/>
              <w:left w:type="dxa" w:w="80"/>
              <w:bottom w:type="dxa" w:w="60"/>
              <w:right w:type="dxa" w:w="80"/>
            </w:tcMar>
            <w:vAlign w:val="top"/>
          </w:tcPr>
          <w:p>
            <w:r>
              <w:rPr>
                <w:b w:val="false"/>
                <w:bCs w:val="false"/>
                <w:color w:val="000000"/>
                <w:sz w:val="16"/>
                <w:szCs w:val="16"/>
              </w:rPr>
              <w:t xml:space="preserve">No licensing cost; strong open-standard compliance</w:t>
            </w:r>
          </w:p>
        </w:tc>
      </w:tr>
      <w:tr>
        <w:tc>
          <w:tcPr>
            <w:tcW w:type="dxa" w:w="2662"/>
            <w:tcMar>
              <w:top w:type="dxa" w:w="60"/>
              <w:left w:type="dxa" w:w="80"/>
              <w:bottom w:type="dxa" w:w="60"/>
              <w:right w:type="dxa" w:w="80"/>
            </w:tcMar>
            <w:vAlign w:val="top"/>
          </w:tcPr>
          <w:p>
            <w:r>
              <w:rPr>
                <w:b/>
                <w:bCs/>
                <w:color w:val="000000"/>
                <w:sz w:val="16"/>
                <w:szCs w:val="16"/>
              </w:rPr>
              <w:t xml:space="preserve">Search</w:t>
            </w:r>
          </w:p>
        </w:tc>
        <w:tc>
          <w:tcPr>
            <w:tcW w:type="dxa" w:w="3482"/>
            <w:tcMar>
              <w:top w:type="dxa" w:w="60"/>
              <w:left w:type="dxa" w:w="80"/>
              <w:bottom w:type="dxa" w:w="60"/>
              <w:right w:type="dxa" w:w="80"/>
            </w:tcMar>
            <w:vAlign w:val="top"/>
          </w:tcPr>
          <w:p>
            <w:r>
              <w:rPr>
                <w:b w:val="false"/>
                <w:bCs w:val="false"/>
                <w:color w:val="000000"/>
                <w:sz w:val="16"/>
                <w:szCs w:val="16"/>
              </w:rPr>
              <w:t xml:space="preserve">OpenSearch</w:t>
            </w:r>
          </w:p>
        </w:tc>
        <w:tc>
          <w:tcPr>
            <w:tcW w:type="dxa" w:w="4096"/>
            <w:tcMar>
              <w:top w:type="dxa" w:w="60"/>
              <w:left w:type="dxa" w:w="80"/>
              <w:bottom w:type="dxa" w:w="60"/>
              <w:right w:type="dxa" w:w="80"/>
            </w:tcMar>
            <w:vAlign w:val="top"/>
          </w:tcPr>
          <w:p>
            <w:r>
              <w:rPr>
                <w:b w:val="false"/>
                <w:bCs w:val="false"/>
                <w:color w:val="000000"/>
                <w:sz w:val="16"/>
                <w:szCs w:val="16"/>
              </w:rPr>
              <w:t xml:space="preserve">Fully open-source; avoids ElasticSearch's post-2021 licensing restriction</w:t>
            </w:r>
          </w:p>
        </w:tc>
      </w:tr>
      <w:tr>
        <w:tc>
          <w:tcPr>
            <w:tcW w:type="dxa" w:w="2662"/>
            <w:tcMar>
              <w:top w:type="dxa" w:w="60"/>
              <w:left w:type="dxa" w:w="80"/>
              <w:bottom w:type="dxa" w:w="60"/>
              <w:right w:type="dxa" w:w="80"/>
            </w:tcMar>
            <w:vAlign w:val="top"/>
          </w:tcPr>
          <w:p>
            <w:r>
              <w:rPr>
                <w:b/>
                <w:bCs/>
                <w:color w:val="000000"/>
                <w:sz w:val="16"/>
                <w:szCs w:val="16"/>
              </w:rPr>
              <w:t xml:space="preserve">Cache</w:t>
            </w:r>
          </w:p>
        </w:tc>
        <w:tc>
          <w:tcPr>
            <w:tcW w:type="dxa" w:w="3482"/>
            <w:tcMar>
              <w:top w:type="dxa" w:w="60"/>
              <w:left w:type="dxa" w:w="80"/>
              <w:bottom w:type="dxa" w:w="60"/>
              <w:right w:type="dxa" w:w="80"/>
            </w:tcMar>
            <w:vAlign w:val="top"/>
          </w:tcPr>
          <w:p>
            <w:r>
              <w:rPr>
                <w:b w:val="false"/>
                <w:bCs w:val="false"/>
                <w:color w:val="000000"/>
                <w:sz w:val="16"/>
                <w:szCs w:val="16"/>
              </w:rPr>
              <w:t xml:space="preserve">Redis</w:t>
            </w:r>
          </w:p>
        </w:tc>
        <w:tc>
          <w:tcPr>
            <w:tcW w:type="dxa" w:w="4096"/>
            <w:tcMar>
              <w:top w:type="dxa" w:w="60"/>
              <w:left w:type="dxa" w:w="80"/>
              <w:bottom w:type="dxa" w:w="60"/>
              <w:right w:type="dxa" w:w="80"/>
            </w:tcMar>
            <w:vAlign w:val="top"/>
          </w:tcPr>
          <w:p>
            <w:r>
              <w:rPr>
                <w:b w:val="false"/>
                <w:bCs w:val="false"/>
                <w:color w:val="000000"/>
                <w:sz w:val="16"/>
                <w:szCs w:val="16"/>
              </w:rPr>
              <w:t xml:space="preserve">Low operational complexity; no lock-in risk</w:t>
            </w:r>
          </w:p>
        </w:tc>
      </w:tr>
      <w:tr>
        <w:tc>
          <w:tcPr>
            <w:tcW w:type="dxa" w:w="2662"/>
            <w:tcMar>
              <w:top w:type="dxa" w:w="60"/>
              <w:left w:type="dxa" w:w="80"/>
              <w:bottom w:type="dxa" w:w="60"/>
              <w:right w:type="dxa" w:w="80"/>
            </w:tcMar>
            <w:vAlign w:val="top"/>
          </w:tcPr>
          <w:p>
            <w:r>
              <w:rPr>
                <w:b/>
                <w:bCs/>
                <w:color w:val="000000"/>
                <w:sz w:val="16"/>
                <w:szCs w:val="16"/>
              </w:rPr>
              <w:t xml:space="preserve">Containerization</w:t>
            </w:r>
          </w:p>
        </w:tc>
        <w:tc>
          <w:tcPr>
            <w:tcW w:type="dxa" w:w="3482"/>
            <w:tcMar>
              <w:top w:type="dxa" w:w="60"/>
              <w:left w:type="dxa" w:w="80"/>
              <w:bottom w:type="dxa" w:w="60"/>
              <w:right w:type="dxa" w:w="80"/>
            </w:tcMar>
            <w:vAlign w:val="top"/>
          </w:tcPr>
          <w:p>
            <w:r>
              <w:rPr>
                <w:b w:val="false"/>
                <w:bCs w:val="false"/>
                <w:color w:val="000000"/>
                <w:sz w:val="16"/>
                <w:szCs w:val="16"/>
              </w:rPr>
              <w:t xml:space="preserve">Docker</w:t>
            </w:r>
          </w:p>
        </w:tc>
        <w:tc>
          <w:tcPr>
            <w:tcW w:type="dxa" w:w="4096"/>
            <w:tcMar>
              <w:top w:type="dxa" w:w="60"/>
              <w:left w:type="dxa" w:w="80"/>
              <w:bottom w:type="dxa" w:w="60"/>
              <w:right w:type="dxa" w:w="80"/>
            </w:tcMar>
            <w:vAlign w:val="top"/>
          </w:tcPr>
          <w:p>
            <w:r>
              <w:rPr>
                <w:b w:val="false"/>
                <w:bCs w:val="false"/>
                <w:color w:val="000000"/>
                <w:sz w:val="16"/>
                <w:szCs w:val="16"/>
              </w:rPr>
              <w:t xml:space="preserve">Portable, consistent deployment unit</w:t>
            </w:r>
          </w:p>
        </w:tc>
      </w:tr>
      <w:tr>
        <w:tc>
          <w:tcPr>
            <w:tcW w:type="dxa" w:w="2662"/>
            <w:tcMar>
              <w:top w:type="dxa" w:w="60"/>
              <w:left w:type="dxa" w:w="80"/>
              <w:bottom w:type="dxa" w:w="60"/>
              <w:right w:type="dxa" w:w="80"/>
            </w:tcMar>
            <w:vAlign w:val="top"/>
          </w:tcPr>
          <w:p>
            <w:r>
              <w:rPr>
                <w:b/>
                <w:bCs/>
                <w:color w:val="000000"/>
                <w:sz w:val="16"/>
                <w:szCs w:val="16"/>
              </w:rPr>
              <w:t xml:space="preserve">Orchestration</w:t>
            </w:r>
          </w:p>
        </w:tc>
        <w:tc>
          <w:tcPr>
            <w:tcW w:type="dxa" w:w="3482"/>
            <w:tcMar>
              <w:top w:type="dxa" w:w="60"/>
              <w:left w:type="dxa" w:w="80"/>
              <w:bottom w:type="dxa" w:w="60"/>
              <w:right w:type="dxa" w:w="80"/>
            </w:tcMar>
            <w:vAlign w:val="top"/>
          </w:tcPr>
          <w:p>
            <w:r>
              <w:rPr>
                <w:b w:val="false"/>
                <w:bCs w:val="false"/>
                <w:color w:val="000000"/>
                <w:sz w:val="16"/>
                <w:szCs w:val="16"/>
              </w:rPr>
              <w:t xml:space="preserve">Managed container service (not full Kubernetes)</w:t>
            </w:r>
          </w:p>
        </w:tc>
        <w:tc>
          <w:tcPr>
            <w:tcW w:type="dxa" w:w="4096"/>
            <w:tcMar>
              <w:top w:type="dxa" w:w="60"/>
              <w:left w:type="dxa" w:w="80"/>
              <w:bottom w:type="dxa" w:w="60"/>
              <w:right w:type="dxa" w:w="80"/>
            </w:tcMar>
            <w:vAlign w:val="top"/>
          </w:tcPr>
          <w:p>
            <w:r>
              <w:rPr>
                <w:b w:val="false"/>
                <w:bCs w:val="false"/>
                <w:color w:val="000000"/>
                <w:sz w:val="16"/>
                <w:szCs w:val="16"/>
              </w:rPr>
              <w:t xml:space="preserve">Right-sized to programme scale and KM/ICT Units' sustaining capacity</w:t>
            </w:r>
          </w:p>
        </w:tc>
      </w:tr>
      <w:tr>
        <w:tc>
          <w:tcPr>
            <w:tcW w:type="dxa" w:w="2662"/>
            <w:tcMar>
              <w:top w:type="dxa" w:w="60"/>
              <w:left w:type="dxa" w:w="80"/>
              <w:bottom w:type="dxa" w:w="60"/>
              <w:right w:type="dxa" w:w="80"/>
            </w:tcMar>
            <w:vAlign w:val="top"/>
          </w:tcPr>
          <w:p>
            <w:r>
              <w:rPr>
                <w:b/>
                <w:bCs/>
                <w:color w:val="000000"/>
                <w:sz w:val="16"/>
                <w:szCs w:val="16"/>
              </w:rPr>
              <w:t xml:space="preserve">Cloud platform</w:t>
            </w:r>
          </w:p>
        </w:tc>
        <w:tc>
          <w:tcPr>
            <w:tcW w:type="dxa" w:w="3482"/>
            <w:tcMar>
              <w:top w:type="dxa" w:w="60"/>
              <w:left w:type="dxa" w:w="80"/>
              <w:bottom w:type="dxa" w:w="60"/>
              <w:right w:type="dxa" w:w="80"/>
            </w:tcMar>
            <w:vAlign w:val="top"/>
          </w:tcPr>
          <w:p>
            <w:r>
              <w:rPr>
                <w:b w:val="false"/>
                <w:bCs w:val="false"/>
                <w:color w:val="000000"/>
                <w:sz w:val="16"/>
                <w:szCs w:val="16"/>
              </w:rPr>
              <w:t xml:space="preserve">Microsoft Azure (conditional on client's Microsoft 365 use; AWS if not)</w:t>
            </w:r>
          </w:p>
        </w:tc>
        <w:tc>
          <w:tcPr>
            <w:tcW w:type="dxa" w:w="4096"/>
            <w:tcMar>
              <w:top w:type="dxa" w:w="60"/>
              <w:left w:type="dxa" w:w="80"/>
              <w:bottom w:type="dxa" w:w="60"/>
              <w:right w:type="dxa" w:w="80"/>
            </w:tcMar>
            <w:vAlign w:val="top"/>
          </w:tcPr>
          <w:p>
            <w:r>
              <w:rPr>
                <w:b w:val="false"/>
                <w:bCs w:val="false"/>
                <w:color w:val="000000"/>
                <w:sz w:val="16"/>
                <w:szCs w:val="16"/>
              </w:rPr>
              <w:t xml:space="preserve">Integration coherence with Power BI and Microsoft 365</w:t>
            </w:r>
          </w:p>
        </w:tc>
      </w:tr>
      <w:tr>
        <w:tc>
          <w:tcPr>
            <w:tcW w:type="dxa" w:w="2662"/>
            <w:tcMar>
              <w:top w:type="dxa" w:w="60"/>
              <w:left w:type="dxa" w:w="80"/>
              <w:bottom w:type="dxa" w:w="60"/>
              <w:right w:type="dxa" w:w="80"/>
            </w:tcMar>
            <w:vAlign w:val="top"/>
          </w:tcPr>
          <w:p>
            <w:r>
              <w:rPr>
                <w:b/>
                <w:bCs/>
                <w:color w:val="000000"/>
                <w:sz w:val="16"/>
                <w:szCs w:val="16"/>
              </w:rPr>
              <w:t xml:space="preserve">Web server / reverse proxy</w:t>
            </w:r>
          </w:p>
        </w:tc>
        <w:tc>
          <w:tcPr>
            <w:tcW w:type="dxa" w:w="3482"/>
            <w:tcMar>
              <w:top w:type="dxa" w:w="60"/>
              <w:left w:type="dxa" w:w="80"/>
              <w:bottom w:type="dxa" w:w="60"/>
              <w:right w:type="dxa" w:w="80"/>
            </w:tcMar>
            <w:vAlign w:val="top"/>
          </w:tcPr>
          <w:p>
            <w:r>
              <w:rPr>
                <w:b w:val="false"/>
                <w:bCs w:val="false"/>
                <w:color w:val="000000"/>
                <w:sz w:val="16"/>
                <w:szCs w:val="16"/>
              </w:rPr>
              <w:t xml:space="preserve">NGINX</w:t>
            </w:r>
          </w:p>
        </w:tc>
        <w:tc>
          <w:tcPr>
            <w:tcW w:type="dxa" w:w="4096"/>
            <w:tcMar>
              <w:top w:type="dxa" w:w="60"/>
              <w:left w:type="dxa" w:w="80"/>
              <w:bottom w:type="dxa" w:w="60"/>
              <w:right w:type="dxa" w:w="80"/>
            </w:tcMar>
            <w:vAlign w:val="top"/>
          </w:tcPr>
          <w:p>
            <w:r>
              <w:rPr>
                <w:b w:val="false"/>
                <w:bCs w:val="false"/>
                <w:color w:val="000000"/>
                <w:sz w:val="16"/>
                <w:szCs w:val="16"/>
              </w:rPr>
              <w:t xml:space="preserve">De facto standard; TLS termination and rate limiting</w:t>
            </w:r>
          </w:p>
        </w:tc>
      </w:tr>
      <w:tr>
        <w:tc>
          <w:tcPr>
            <w:tcW w:type="dxa" w:w="2662"/>
            <w:tcMar>
              <w:top w:type="dxa" w:w="60"/>
              <w:left w:type="dxa" w:w="80"/>
              <w:bottom w:type="dxa" w:w="60"/>
              <w:right w:type="dxa" w:w="80"/>
            </w:tcMar>
            <w:vAlign w:val="top"/>
          </w:tcPr>
          <w:p>
            <w:r>
              <w:rPr>
                <w:b/>
                <w:bCs/>
                <w:color w:val="000000"/>
                <w:sz w:val="16"/>
                <w:szCs w:val="16"/>
              </w:rPr>
              <w:t xml:space="preserve">Identity platform</w:t>
            </w:r>
          </w:p>
        </w:tc>
        <w:tc>
          <w:tcPr>
            <w:tcW w:type="dxa" w:w="3482"/>
            <w:tcMar>
              <w:top w:type="dxa" w:w="60"/>
              <w:left w:type="dxa" w:w="80"/>
              <w:bottom w:type="dxa" w:w="60"/>
              <w:right w:type="dxa" w:w="80"/>
            </w:tcMar>
            <w:vAlign w:val="top"/>
          </w:tcPr>
          <w:p>
            <w:r>
              <w:rPr>
                <w:b w:val="false"/>
                <w:bCs w:val="false"/>
                <w:color w:val="000000"/>
                <w:sz w:val="16"/>
                <w:szCs w:val="16"/>
              </w:rPr>
              <w:t xml:space="preserve">Keycloak</w:t>
            </w:r>
          </w:p>
        </w:tc>
        <w:tc>
          <w:tcPr>
            <w:tcW w:type="dxa" w:w="4096"/>
            <w:tcMar>
              <w:top w:type="dxa" w:w="60"/>
              <w:left w:type="dxa" w:w="80"/>
              <w:bottom w:type="dxa" w:w="60"/>
              <w:right w:type="dxa" w:w="80"/>
            </w:tcMar>
            <w:vAlign w:val="top"/>
          </w:tcPr>
          <w:p>
            <w:r>
              <w:rPr>
                <w:b w:val="false"/>
                <w:bCs w:val="false"/>
                <w:color w:val="000000"/>
                <w:sz w:val="16"/>
                <w:szCs w:val="16"/>
              </w:rPr>
              <w:t xml:space="preserve">Portable across cloud providers; avoids identity-layer lock-in</w:t>
            </w:r>
          </w:p>
        </w:tc>
      </w:tr>
      <w:tr>
        <w:tc>
          <w:tcPr>
            <w:tcW w:type="dxa" w:w="2662"/>
            <w:tcMar>
              <w:top w:type="dxa" w:w="60"/>
              <w:left w:type="dxa" w:w="80"/>
              <w:bottom w:type="dxa" w:w="60"/>
              <w:right w:type="dxa" w:w="80"/>
            </w:tcMar>
            <w:vAlign w:val="top"/>
          </w:tcPr>
          <w:p>
            <w:r>
              <w:rPr>
                <w:b/>
                <w:bCs/>
                <w:color w:val="000000"/>
                <w:sz w:val="16"/>
                <w:szCs w:val="16"/>
              </w:rPr>
              <w:t xml:space="preserve">BI / reporting (donor-facing)</w:t>
            </w:r>
          </w:p>
        </w:tc>
        <w:tc>
          <w:tcPr>
            <w:tcW w:type="dxa" w:w="3482"/>
            <w:tcMar>
              <w:top w:type="dxa" w:w="60"/>
              <w:left w:type="dxa" w:w="80"/>
              <w:bottom w:type="dxa" w:w="60"/>
              <w:right w:type="dxa" w:w="80"/>
            </w:tcMar>
            <w:vAlign w:val="top"/>
          </w:tcPr>
          <w:p>
            <w:r>
              <w:rPr>
                <w:b w:val="false"/>
                <w:bCs w:val="false"/>
                <w:color w:val="000000"/>
                <w:sz w:val="16"/>
                <w:szCs w:val="16"/>
              </w:rPr>
              <w:t xml:space="preserve">Power BI</w:t>
            </w:r>
          </w:p>
        </w:tc>
        <w:tc>
          <w:tcPr>
            <w:tcW w:type="dxa" w:w="4096"/>
            <w:tcMar>
              <w:top w:type="dxa" w:w="60"/>
              <w:left w:type="dxa" w:w="80"/>
              <w:bottom w:type="dxa" w:w="60"/>
              <w:right w:type="dxa" w:w="80"/>
            </w:tcMar>
            <w:vAlign w:val="top"/>
          </w:tcPr>
          <w:p>
            <w:r>
              <w:rPr>
                <w:b w:val="false"/>
                <w:bCs w:val="false"/>
                <w:color w:val="000000"/>
                <w:sz w:val="16"/>
                <w:szCs w:val="16"/>
              </w:rPr>
              <w:t xml:space="preserve">Donor-format export; Azure/Microsoft 365 ecosystem fit</w:t>
            </w:r>
          </w:p>
        </w:tc>
      </w:tr>
      <w:tr>
        <w:tc>
          <w:tcPr>
            <w:tcW w:type="dxa" w:w="2662"/>
            <w:tcMar>
              <w:top w:type="dxa" w:w="60"/>
              <w:left w:type="dxa" w:w="80"/>
              <w:bottom w:type="dxa" w:w="60"/>
              <w:right w:type="dxa" w:w="80"/>
            </w:tcMar>
            <w:vAlign w:val="top"/>
          </w:tcPr>
          <w:p>
            <w:r>
              <w:rPr>
                <w:b/>
                <w:bCs/>
                <w:color w:val="000000"/>
                <w:sz w:val="16"/>
                <w:szCs w:val="16"/>
              </w:rPr>
              <w:t xml:space="preserve">BI / monitoring (operational)</w:t>
            </w:r>
          </w:p>
        </w:tc>
        <w:tc>
          <w:tcPr>
            <w:tcW w:type="dxa" w:w="3482"/>
            <w:tcMar>
              <w:top w:type="dxa" w:w="60"/>
              <w:left w:type="dxa" w:w="80"/>
              <w:bottom w:type="dxa" w:w="60"/>
              <w:right w:type="dxa" w:w="80"/>
            </w:tcMar>
            <w:vAlign w:val="top"/>
          </w:tcPr>
          <w:p>
            <w:r>
              <w:rPr>
                <w:b w:val="false"/>
                <w:bCs w:val="false"/>
                <w:color w:val="000000"/>
                <w:sz w:val="16"/>
                <w:szCs w:val="16"/>
              </w:rPr>
              <w:t xml:space="preserve">Grafana</w:t>
            </w:r>
          </w:p>
        </w:tc>
        <w:tc>
          <w:tcPr>
            <w:tcW w:type="dxa" w:w="4096"/>
            <w:tcMar>
              <w:top w:type="dxa" w:w="60"/>
              <w:left w:type="dxa" w:w="80"/>
              <w:bottom w:type="dxa" w:w="60"/>
              <w:right w:type="dxa" w:w="80"/>
            </w:tcMar>
            <w:vAlign w:val="top"/>
          </w:tcPr>
          <w:p>
            <w:r>
              <w:rPr>
                <w:b w:val="false"/>
                <w:bCs w:val="false"/>
                <w:color w:val="000000"/>
                <w:sz w:val="16"/>
                <w:szCs w:val="16"/>
              </w:rPr>
              <w:t xml:space="preserve">Open-source; purpose-built for infrastructure monitoring</w:t>
            </w:r>
          </w:p>
        </w:tc>
      </w:tr>
      <w:tr>
        <w:tc>
          <w:tcPr>
            <w:tcW w:type="dxa" w:w="2662"/>
            <w:tcMar>
              <w:top w:type="dxa" w:w="60"/>
              <w:left w:type="dxa" w:w="80"/>
              <w:bottom w:type="dxa" w:w="60"/>
              <w:right w:type="dxa" w:w="80"/>
            </w:tcMar>
            <w:vAlign w:val="top"/>
          </w:tcPr>
          <w:p>
            <w:r>
              <w:rPr>
                <w:b/>
                <w:bCs/>
                <w:color w:val="000000"/>
                <w:sz w:val="16"/>
                <w:szCs w:val="16"/>
              </w:rPr>
              <w:t xml:space="preserve">Messaging</w:t>
            </w:r>
          </w:p>
        </w:tc>
        <w:tc>
          <w:tcPr>
            <w:tcW w:type="dxa" w:w="3482"/>
            <w:tcMar>
              <w:top w:type="dxa" w:w="60"/>
              <w:left w:type="dxa" w:w="80"/>
              <w:bottom w:type="dxa" w:w="60"/>
              <w:right w:type="dxa" w:w="80"/>
            </w:tcMar>
            <w:vAlign w:val="top"/>
          </w:tcPr>
          <w:p>
            <w:r>
              <w:rPr>
                <w:b w:val="false"/>
                <w:bCs w:val="false"/>
                <w:color w:val="000000"/>
                <w:sz w:val="16"/>
                <w:szCs w:val="16"/>
              </w:rPr>
              <w:t xml:space="preserve">RabbitMQ (not Kafka)</w:t>
            </w:r>
          </w:p>
        </w:tc>
        <w:tc>
          <w:tcPr>
            <w:tcW w:type="dxa" w:w="4096"/>
            <w:tcMar>
              <w:top w:type="dxa" w:w="60"/>
              <w:left w:type="dxa" w:w="80"/>
              <w:bottom w:type="dxa" w:w="60"/>
              <w:right w:type="dxa" w:w="80"/>
            </w:tcMar>
            <w:vAlign w:val="top"/>
          </w:tcPr>
          <w:p>
            <w:r>
              <w:rPr>
                <w:b w:val="false"/>
                <w:bCs w:val="false"/>
                <w:color w:val="000000"/>
                <w:sz w:val="16"/>
                <w:szCs w:val="16"/>
              </w:rPr>
              <w:t xml:space="preserve">Right-sized to current message volume</w:t>
            </w:r>
          </w:p>
        </w:tc>
      </w:tr>
      <w:tr>
        <w:tc>
          <w:tcPr>
            <w:tcW w:type="dxa" w:w="2662"/>
            <w:tcMar>
              <w:top w:type="dxa" w:w="60"/>
              <w:left w:type="dxa" w:w="80"/>
              <w:bottom w:type="dxa" w:w="60"/>
              <w:right w:type="dxa" w:w="80"/>
            </w:tcMar>
            <w:vAlign w:val="top"/>
          </w:tcPr>
          <w:p>
            <w:r>
              <w:rPr>
                <w:b/>
                <w:bCs/>
                <w:color w:val="000000"/>
                <w:sz w:val="16"/>
                <w:szCs w:val="16"/>
              </w:rPr>
              <w:t xml:space="preserve">Operating system</w:t>
            </w:r>
          </w:p>
        </w:tc>
        <w:tc>
          <w:tcPr>
            <w:tcW w:type="dxa" w:w="3482"/>
            <w:tcMar>
              <w:top w:type="dxa" w:w="60"/>
              <w:left w:type="dxa" w:w="80"/>
              <w:bottom w:type="dxa" w:w="60"/>
              <w:right w:type="dxa" w:w="80"/>
            </w:tcMar>
            <w:vAlign w:val="top"/>
          </w:tcPr>
          <w:p>
            <w:r>
              <w:rPr>
                <w:b w:val="false"/>
                <w:bCs w:val="false"/>
                <w:color w:val="000000"/>
                <w:sz w:val="16"/>
                <w:szCs w:val="16"/>
              </w:rPr>
              <w:t xml:space="preserve">Linux</w:t>
            </w:r>
          </w:p>
        </w:tc>
        <w:tc>
          <w:tcPr>
            <w:tcW w:type="dxa" w:w="4096"/>
            <w:tcMar>
              <w:top w:type="dxa" w:w="60"/>
              <w:left w:type="dxa" w:w="80"/>
              <w:bottom w:type="dxa" w:w="60"/>
              <w:right w:type="dxa" w:w="80"/>
            </w:tcMar>
            <w:vAlign w:val="top"/>
          </w:tcPr>
          <w:p>
            <w:r>
              <w:rPr>
                <w:b w:val="false"/>
                <w:bCs w:val="false"/>
                <w:color w:val="000000"/>
                <w:sz w:val="16"/>
                <w:szCs w:val="16"/>
              </w:rPr>
              <w:t xml:space="preserve">No licensing cost; native fit with every other recommended technology</w:t>
            </w:r>
          </w:p>
        </w:tc>
      </w:tr>
    </w:tbl>
    <w:p>
      <w:pPr>
        <w:spacing w:after="160"/>
      </w:pPr>
    </w:p>
    <w:p>
      <w:pPr>
        <w:pStyle w:val="Heading1"/>
        <w:pBdr>
          <w:bottom w:val="single" w:color="1F3864" w:sz="6" w:space="4"/>
        </w:pBdr>
        <w:spacing w:after="130" w:before="320"/>
      </w:pPr>
      <w:r>
        <w:t xml:space="preserve">16.5 Integration Requirements</w:t>
      </w:r>
    </w:p>
    <w:p>
      <w:pPr>
        <w:spacing w:after="150" w:line="276"/>
        <w:jc w:val="both"/>
      </w:pPr>
      <w:r>
        <w:t xml:space="preserve">Eleven integration points connect ESM and CKR to external systems and standards, all routed through a single Integration &amp; API Gateway hub — no application connects directly to an external system.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82"/>
        <w:gridCol w:w="2458"/>
        <w:gridCol w:w="2458"/>
        <w:gridCol w:w="1843"/>
      </w:tblGrid>
      <w:tr>
        <w:trPr>
          <w:tblHeader/>
        </w:trPr>
        <w:tc>
          <w:tcPr>
            <w:tcW w:type="dxa" w:w="3482"/>
            <w:shd w:fill="1F3864" w:val="clear"/>
            <w:tcMar>
              <w:top w:type="dxa" w:w="60"/>
              <w:left w:type="dxa" w:w="80"/>
              <w:bottom w:type="dxa" w:w="60"/>
              <w:right w:type="dxa" w:w="80"/>
            </w:tcMar>
            <w:vAlign w:val="top"/>
          </w:tcPr>
          <w:p>
            <w:r>
              <w:rPr>
                <w:b/>
                <w:bCs/>
                <w:color w:val="FFFFFF"/>
                <w:sz w:val="16"/>
                <w:szCs w:val="16"/>
              </w:rPr>
              <w:t xml:space="preserve">Integration Point</w:t>
            </w:r>
          </w:p>
        </w:tc>
        <w:tc>
          <w:tcPr>
            <w:tcW w:type="dxa" w:w="2458"/>
            <w:shd w:fill="1F3864" w:val="clear"/>
            <w:tcMar>
              <w:top w:type="dxa" w:w="60"/>
              <w:left w:type="dxa" w:w="80"/>
              <w:bottom w:type="dxa" w:w="60"/>
              <w:right w:type="dxa" w:w="80"/>
            </w:tcMar>
            <w:vAlign w:val="top"/>
          </w:tcPr>
          <w:p>
            <w:r>
              <w:rPr>
                <w:b/>
                <w:bCs/>
                <w:color w:val="FFFFFF"/>
                <w:sz w:val="16"/>
                <w:szCs w:val="16"/>
              </w:rPr>
              <w:t xml:space="preserve">Direction</w:t>
            </w:r>
          </w:p>
        </w:tc>
        <w:tc>
          <w:tcPr>
            <w:tcW w:type="dxa" w:w="2458"/>
            <w:shd w:fill="1F3864" w:val="clear"/>
            <w:tcMar>
              <w:top w:type="dxa" w:w="60"/>
              <w:left w:type="dxa" w:w="80"/>
              <w:bottom w:type="dxa" w:w="60"/>
              <w:right w:type="dxa" w:w="80"/>
            </w:tcMar>
            <w:vAlign w:val="top"/>
          </w:tcPr>
          <w:p>
            <w:r>
              <w:rPr>
                <w:b/>
                <w:bCs/>
                <w:color w:val="FFFFFF"/>
                <w:sz w:val="16"/>
                <w:szCs w:val="16"/>
              </w:rPr>
              <w:t xml:space="preserve">Protocol</w:t>
            </w:r>
          </w:p>
        </w:tc>
        <w:tc>
          <w:tcPr>
            <w:tcW w:type="dxa" w:w="1843"/>
            <w:shd w:fill="1F3864" w:val="clear"/>
            <w:tcMar>
              <w:top w:type="dxa" w:w="60"/>
              <w:left w:type="dxa" w:w="80"/>
              <w:bottom w:type="dxa" w:w="60"/>
              <w:right w:type="dxa" w:w="80"/>
            </w:tcMar>
            <w:vAlign w:val="top"/>
          </w:tcPr>
          <w:p>
            <w:r>
              <w:rPr>
                <w:b/>
                <w:bCs/>
                <w:color w:val="FFFFFF"/>
                <w:sz w:val="16"/>
                <w:szCs w:val="16"/>
              </w:rPr>
              <w:t xml:space="preserve">Priority</w:t>
            </w:r>
          </w:p>
        </w:tc>
      </w:tr>
      <w:tr>
        <w:tc>
          <w:tcPr>
            <w:tcW w:type="dxa" w:w="3482"/>
            <w:tcMar>
              <w:top w:type="dxa" w:w="60"/>
              <w:left w:type="dxa" w:w="80"/>
              <w:bottom w:type="dxa" w:w="60"/>
              <w:right w:type="dxa" w:w="80"/>
            </w:tcMar>
            <w:vAlign w:val="top"/>
          </w:tcPr>
          <w:p>
            <w:r>
              <w:rPr>
                <w:b/>
                <w:bCs/>
                <w:color w:val="000000"/>
                <w:sz w:val="16"/>
                <w:szCs w:val="16"/>
              </w:rPr>
              <w:t xml:space="preserve">SAPZ Public Website</w:t>
            </w:r>
          </w:p>
        </w:tc>
        <w:tc>
          <w:tcPr>
            <w:tcW w:type="dxa" w:w="2458"/>
            <w:tcMar>
              <w:top w:type="dxa" w:w="60"/>
              <w:left w:type="dxa" w:w="80"/>
              <w:bottom w:type="dxa" w:w="60"/>
              <w:right w:type="dxa" w:w="80"/>
            </w:tcMar>
            <w:vAlign w:val="top"/>
          </w:tcPr>
          <w:p>
            <w:r>
              <w:rPr>
                <w:b w:val="false"/>
                <w:bCs w:val="false"/>
                <w:color w:val="000000"/>
                <w:sz w:val="16"/>
                <w:szCs w:val="16"/>
              </w:rPr>
              <w:t xml:space="preserve">Outbound (CKR → Website)</w:t>
            </w:r>
          </w:p>
        </w:tc>
        <w:tc>
          <w:tcPr>
            <w:tcW w:type="dxa" w:w="2458"/>
            <w:tcMar>
              <w:top w:type="dxa" w:w="60"/>
              <w:left w:type="dxa" w:w="80"/>
              <w:bottom w:type="dxa" w:w="60"/>
              <w:right w:type="dxa" w:w="80"/>
            </w:tcMar>
            <w:vAlign w:val="top"/>
          </w:tcPr>
          <w:p>
            <w:r>
              <w:rPr>
                <w:b w:val="false"/>
                <w:bCs w:val="false"/>
                <w:color w:val="000000"/>
                <w:sz w:val="16"/>
                <w:szCs w:val="16"/>
              </w:rPr>
              <w:t xml:space="preserve">REST / Webhook</w:t>
            </w:r>
          </w:p>
        </w:tc>
        <w:tc>
          <w:tcPr>
            <w:tcW w:type="dxa" w:w="1843"/>
            <w:tcMar>
              <w:top w:type="dxa" w:w="60"/>
              <w:left w:type="dxa" w:w="80"/>
              <w:bottom w:type="dxa" w:w="60"/>
              <w:right w:type="dxa" w:w="80"/>
            </w:tcMar>
            <w:vAlign w:val="top"/>
          </w:tcPr>
          <w:p>
            <w:r>
              <w:rPr>
                <w:b w:val="false"/>
                <w:bCs w:val="false"/>
                <w:color w:val="000000"/>
                <w:sz w:val="16"/>
                <w:szCs w:val="16"/>
              </w:rPr>
              <w:t xml:space="preserve">Must Have</w:t>
            </w:r>
          </w:p>
        </w:tc>
      </w:tr>
      <w:tr>
        <w:tc>
          <w:tcPr>
            <w:tcW w:type="dxa" w:w="3482"/>
            <w:tcMar>
              <w:top w:type="dxa" w:w="60"/>
              <w:left w:type="dxa" w:w="80"/>
              <w:bottom w:type="dxa" w:w="60"/>
              <w:right w:type="dxa" w:w="80"/>
            </w:tcMar>
            <w:vAlign w:val="top"/>
          </w:tcPr>
          <w:p>
            <w:r>
              <w:rPr>
                <w:b/>
                <w:bCs/>
                <w:color w:val="000000"/>
                <w:sz w:val="16"/>
                <w:szCs w:val="16"/>
              </w:rPr>
              <w:t xml:space="preserve">Authentication &amp; Identity Providers</w:t>
            </w:r>
          </w:p>
        </w:tc>
        <w:tc>
          <w:tcPr>
            <w:tcW w:type="dxa" w:w="2458"/>
            <w:tcMar>
              <w:top w:type="dxa" w:w="60"/>
              <w:left w:type="dxa" w:w="80"/>
              <w:bottom w:type="dxa" w:w="60"/>
              <w:right w:type="dxa" w:w="80"/>
            </w:tcMar>
            <w:vAlign w:val="top"/>
          </w:tcPr>
          <w:p>
            <w:r>
              <w:rPr>
                <w:b w:val="false"/>
                <w:bCs w:val="false"/>
                <w:color w:val="000000"/>
                <w:sz w:val="16"/>
                <w:szCs w:val="16"/>
              </w:rPr>
              <w:t xml:space="preserve">Bidirectional</w:t>
            </w:r>
          </w:p>
        </w:tc>
        <w:tc>
          <w:tcPr>
            <w:tcW w:type="dxa" w:w="2458"/>
            <w:tcMar>
              <w:top w:type="dxa" w:w="60"/>
              <w:left w:type="dxa" w:w="80"/>
              <w:bottom w:type="dxa" w:w="60"/>
              <w:right w:type="dxa" w:w="80"/>
            </w:tcMar>
            <w:vAlign w:val="top"/>
          </w:tcPr>
          <w:p>
            <w:r>
              <w:rPr>
                <w:b w:val="false"/>
                <w:bCs w:val="false"/>
                <w:color w:val="000000"/>
                <w:sz w:val="16"/>
                <w:szCs w:val="16"/>
              </w:rPr>
              <w:t xml:space="preserve">OAuth 2.0 / SAML</w:t>
            </w:r>
          </w:p>
        </w:tc>
        <w:tc>
          <w:tcPr>
            <w:tcW w:type="dxa" w:w="1843"/>
            <w:tcMar>
              <w:top w:type="dxa" w:w="60"/>
              <w:left w:type="dxa" w:w="80"/>
              <w:bottom w:type="dxa" w:w="60"/>
              <w:right w:type="dxa" w:w="80"/>
            </w:tcMar>
            <w:vAlign w:val="top"/>
          </w:tcPr>
          <w:p>
            <w:r>
              <w:rPr>
                <w:b w:val="false"/>
                <w:bCs w:val="false"/>
                <w:color w:val="000000"/>
                <w:sz w:val="16"/>
                <w:szCs w:val="16"/>
              </w:rPr>
              <w:t xml:space="preserve">Must Have</w:t>
            </w:r>
          </w:p>
        </w:tc>
      </w:tr>
      <w:tr>
        <w:tc>
          <w:tcPr>
            <w:tcW w:type="dxa" w:w="3482"/>
            <w:tcMar>
              <w:top w:type="dxa" w:w="60"/>
              <w:left w:type="dxa" w:w="80"/>
              <w:bottom w:type="dxa" w:w="60"/>
              <w:right w:type="dxa" w:w="80"/>
            </w:tcMar>
            <w:vAlign w:val="top"/>
          </w:tcPr>
          <w:p>
            <w:r>
              <w:rPr>
                <w:b/>
                <w:bCs/>
                <w:color w:val="000000"/>
                <w:sz w:val="16"/>
                <w:szCs w:val="16"/>
              </w:rPr>
              <w:t xml:space="preserve">Email Gateway</w:t>
            </w:r>
          </w:p>
        </w:tc>
        <w:tc>
          <w:tcPr>
            <w:tcW w:type="dxa" w:w="2458"/>
            <w:tcMar>
              <w:top w:type="dxa" w:w="60"/>
              <w:left w:type="dxa" w:w="80"/>
              <w:bottom w:type="dxa" w:w="60"/>
              <w:right w:type="dxa" w:w="80"/>
            </w:tcMar>
            <w:vAlign w:val="top"/>
          </w:tcPr>
          <w:p>
            <w:r>
              <w:rPr>
                <w:b w:val="false"/>
                <w:bCs w:val="false"/>
                <w:color w:val="000000"/>
                <w:sz w:val="16"/>
                <w:szCs w:val="16"/>
              </w:rPr>
              <w:t xml:space="preserve">Outbound</w:t>
            </w:r>
          </w:p>
        </w:tc>
        <w:tc>
          <w:tcPr>
            <w:tcW w:type="dxa" w:w="2458"/>
            <w:tcMar>
              <w:top w:type="dxa" w:w="60"/>
              <w:left w:type="dxa" w:w="80"/>
              <w:bottom w:type="dxa" w:w="60"/>
              <w:right w:type="dxa" w:w="80"/>
            </w:tcMar>
            <w:vAlign w:val="top"/>
          </w:tcPr>
          <w:p>
            <w:r>
              <w:rPr>
                <w:b w:val="false"/>
                <w:bCs w:val="false"/>
                <w:color w:val="000000"/>
                <w:sz w:val="16"/>
                <w:szCs w:val="16"/>
              </w:rPr>
              <w:t xml:space="preserve">SMTP / REST API</w:t>
            </w:r>
          </w:p>
        </w:tc>
        <w:tc>
          <w:tcPr>
            <w:tcW w:type="dxa" w:w="1843"/>
            <w:tcMar>
              <w:top w:type="dxa" w:w="60"/>
              <w:left w:type="dxa" w:w="80"/>
              <w:bottom w:type="dxa" w:w="60"/>
              <w:right w:type="dxa" w:w="80"/>
            </w:tcMar>
            <w:vAlign w:val="top"/>
          </w:tcPr>
          <w:p>
            <w:r>
              <w:rPr>
                <w:b w:val="false"/>
                <w:bCs w:val="false"/>
                <w:color w:val="000000"/>
                <w:sz w:val="16"/>
                <w:szCs w:val="16"/>
              </w:rPr>
              <w:t xml:space="preserve">Must Have</w:t>
            </w:r>
          </w:p>
        </w:tc>
      </w:tr>
      <w:tr>
        <w:tc>
          <w:tcPr>
            <w:tcW w:type="dxa" w:w="3482"/>
            <w:tcMar>
              <w:top w:type="dxa" w:w="60"/>
              <w:left w:type="dxa" w:w="80"/>
              <w:bottom w:type="dxa" w:w="60"/>
              <w:right w:type="dxa" w:w="80"/>
            </w:tcMar>
            <w:vAlign w:val="top"/>
          </w:tcPr>
          <w:p>
            <w:r>
              <w:rPr>
                <w:b/>
                <w:bCs/>
                <w:color w:val="000000"/>
                <w:sz w:val="16"/>
                <w:szCs w:val="16"/>
              </w:rPr>
              <w:t xml:space="preserve">SMS Gateway</w:t>
            </w:r>
          </w:p>
        </w:tc>
        <w:tc>
          <w:tcPr>
            <w:tcW w:type="dxa" w:w="2458"/>
            <w:tcMar>
              <w:top w:type="dxa" w:w="60"/>
              <w:left w:type="dxa" w:w="80"/>
              <w:bottom w:type="dxa" w:w="60"/>
              <w:right w:type="dxa" w:w="80"/>
            </w:tcMar>
            <w:vAlign w:val="top"/>
          </w:tcPr>
          <w:p>
            <w:r>
              <w:rPr>
                <w:b w:val="false"/>
                <w:bCs w:val="false"/>
                <w:color w:val="000000"/>
                <w:sz w:val="16"/>
                <w:szCs w:val="16"/>
              </w:rPr>
              <w:t xml:space="preserve">Outbound</w:t>
            </w:r>
          </w:p>
        </w:tc>
        <w:tc>
          <w:tcPr>
            <w:tcW w:type="dxa" w:w="2458"/>
            <w:tcMar>
              <w:top w:type="dxa" w:w="60"/>
              <w:left w:type="dxa" w:w="80"/>
              <w:bottom w:type="dxa" w:w="60"/>
              <w:right w:type="dxa" w:w="80"/>
            </w:tcMar>
            <w:vAlign w:val="top"/>
          </w:tcPr>
          <w:p>
            <w:r>
              <w:rPr>
                <w:b w:val="false"/>
                <w:bCs w:val="false"/>
                <w:color w:val="000000"/>
                <w:sz w:val="16"/>
                <w:szCs w:val="16"/>
              </w:rPr>
              <w:t xml:space="preserve">REST API</w:t>
            </w:r>
          </w:p>
        </w:tc>
        <w:tc>
          <w:tcPr>
            <w:tcW w:type="dxa" w:w="1843"/>
            <w:tcMar>
              <w:top w:type="dxa" w:w="60"/>
              <w:left w:type="dxa" w:w="80"/>
              <w:bottom w:type="dxa" w:w="60"/>
              <w:right w:type="dxa" w:w="80"/>
            </w:tcMar>
            <w:vAlign w:val="top"/>
          </w:tcPr>
          <w:p>
            <w:r>
              <w:rPr>
                <w:b w:val="false"/>
                <w:bCs w:val="false"/>
                <w:color w:val="000000"/>
                <w:sz w:val="16"/>
                <w:szCs w:val="16"/>
              </w:rPr>
              <w:t xml:space="preserve">Should Have</w:t>
            </w:r>
          </w:p>
        </w:tc>
      </w:tr>
      <w:tr>
        <w:tc>
          <w:tcPr>
            <w:tcW w:type="dxa" w:w="3482"/>
            <w:tcMar>
              <w:top w:type="dxa" w:w="60"/>
              <w:left w:type="dxa" w:w="80"/>
              <w:bottom w:type="dxa" w:w="60"/>
              <w:right w:type="dxa" w:w="80"/>
            </w:tcMar>
            <w:vAlign w:val="top"/>
          </w:tcPr>
          <w:p>
            <w:r>
              <w:rPr>
                <w:b/>
                <w:bCs/>
                <w:color w:val="000000"/>
                <w:sz w:val="16"/>
                <w:szCs w:val="16"/>
              </w:rPr>
              <w:t xml:space="preserve">Geographic Information System (GIS)</w:t>
            </w:r>
          </w:p>
        </w:tc>
        <w:tc>
          <w:tcPr>
            <w:tcW w:type="dxa" w:w="2458"/>
            <w:tcMar>
              <w:top w:type="dxa" w:w="60"/>
              <w:left w:type="dxa" w:w="80"/>
              <w:bottom w:type="dxa" w:w="60"/>
              <w:right w:type="dxa" w:w="80"/>
            </w:tcMar>
            <w:vAlign w:val="top"/>
          </w:tcPr>
          <w:p>
            <w:r>
              <w:rPr>
                <w:b w:val="false"/>
                <w:bCs w:val="false"/>
                <w:color w:val="000000"/>
                <w:sz w:val="16"/>
                <w:szCs w:val="16"/>
              </w:rPr>
              <w:t xml:space="preserve">Outbound</w:t>
            </w:r>
          </w:p>
        </w:tc>
        <w:tc>
          <w:tcPr>
            <w:tcW w:type="dxa" w:w="2458"/>
            <w:tcMar>
              <w:top w:type="dxa" w:w="60"/>
              <w:left w:type="dxa" w:w="80"/>
              <w:bottom w:type="dxa" w:w="60"/>
              <w:right w:type="dxa" w:w="80"/>
            </w:tcMar>
            <w:vAlign w:val="top"/>
          </w:tcPr>
          <w:p>
            <w:r>
              <w:rPr>
                <w:b w:val="false"/>
                <w:bCs w:val="false"/>
                <w:color w:val="000000"/>
                <w:sz w:val="16"/>
                <w:szCs w:val="16"/>
              </w:rPr>
              <w:t xml:space="preserve">REST / GeoJSON</w:t>
            </w:r>
          </w:p>
        </w:tc>
        <w:tc>
          <w:tcPr>
            <w:tcW w:type="dxa" w:w="1843"/>
            <w:tcMar>
              <w:top w:type="dxa" w:w="60"/>
              <w:left w:type="dxa" w:w="80"/>
              <w:bottom w:type="dxa" w:w="60"/>
              <w:right w:type="dxa" w:w="80"/>
            </w:tcMar>
            <w:vAlign w:val="top"/>
          </w:tcPr>
          <w:p>
            <w:r>
              <w:rPr>
                <w:b w:val="false"/>
                <w:bCs w:val="false"/>
                <w:color w:val="000000"/>
                <w:sz w:val="16"/>
                <w:szCs w:val="16"/>
              </w:rPr>
              <w:t xml:space="preserve">Should Have</w:t>
            </w:r>
          </w:p>
        </w:tc>
      </w:tr>
      <w:tr>
        <w:tc>
          <w:tcPr>
            <w:tcW w:type="dxa" w:w="3482"/>
            <w:tcMar>
              <w:top w:type="dxa" w:w="60"/>
              <w:left w:type="dxa" w:w="80"/>
              <w:bottom w:type="dxa" w:w="60"/>
              <w:right w:type="dxa" w:w="80"/>
            </w:tcMar>
            <w:vAlign w:val="top"/>
          </w:tcPr>
          <w:p>
            <w:r>
              <w:rPr>
                <w:b/>
                <w:bCs/>
                <w:color w:val="000000"/>
                <w:sz w:val="16"/>
                <w:szCs w:val="16"/>
              </w:rPr>
              <w:t xml:space="preserve">Power BI / Donor Reporting Export</w:t>
            </w:r>
          </w:p>
        </w:tc>
        <w:tc>
          <w:tcPr>
            <w:tcW w:type="dxa" w:w="2458"/>
            <w:tcMar>
              <w:top w:type="dxa" w:w="60"/>
              <w:left w:type="dxa" w:w="80"/>
              <w:bottom w:type="dxa" w:w="60"/>
              <w:right w:type="dxa" w:w="80"/>
            </w:tcMar>
            <w:vAlign w:val="top"/>
          </w:tcPr>
          <w:p>
            <w:r>
              <w:rPr>
                <w:b w:val="false"/>
                <w:bCs w:val="false"/>
                <w:color w:val="000000"/>
                <w:sz w:val="16"/>
                <w:szCs w:val="16"/>
              </w:rPr>
              <w:t xml:space="preserve">Outbound</w:t>
            </w:r>
          </w:p>
        </w:tc>
        <w:tc>
          <w:tcPr>
            <w:tcW w:type="dxa" w:w="2458"/>
            <w:tcMar>
              <w:top w:type="dxa" w:w="60"/>
              <w:left w:type="dxa" w:w="80"/>
              <w:bottom w:type="dxa" w:w="60"/>
              <w:right w:type="dxa" w:w="80"/>
            </w:tcMar>
            <w:vAlign w:val="top"/>
          </w:tcPr>
          <w:p>
            <w:r>
              <w:rPr>
                <w:b w:val="false"/>
                <w:bCs w:val="false"/>
                <w:color w:val="000000"/>
                <w:sz w:val="16"/>
                <w:szCs w:val="16"/>
              </w:rPr>
              <w:t xml:space="preserve">REST API / OData</w:t>
            </w:r>
          </w:p>
        </w:tc>
        <w:tc>
          <w:tcPr>
            <w:tcW w:type="dxa" w:w="1843"/>
            <w:tcMar>
              <w:top w:type="dxa" w:w="60"/>
              <w:left w:type="dxa" w:w="80"/>
              <w:bottom w:type="dxa" w:w="60"/>
              <w:right w:type="dxa" w:w="80"/>
            </w:tcMar>
            <w:vAlign w:val="top"/>
          </w:tcPr>
          <w:p>
            <w:r>
              <w:rPr>
                <w:b w:val="false"/>
                <w:bCs w:val="false"/>
                <w:color w:val="000000"/>
                <w:sz w:val="16"/>
                <w:szCs w:val="16"/>
              </w:rPr>
              <w:t xml:space="preserve">Should Have</w:t>
            </w:r>
          </w:p>
        </w:tc>
      </w:tr>
      <w:tr>
        <w:tc>
          <w:tcPr>
            <w:tcW w:type="dxa" w:w="3482"/>
            <w:tcMar>
              <w:top w:type="dxa" w:w="60"/>
              <w:left w:type="dxa" w:w="80"/>
              <w:bottom w:type="dxa" w:w="60"/>
              <w:right w:type="dxa" w:w="80"/>
            </w:tcMar>
            <w:vAlign w:val="top"/>
          </w:tcPr>
          <w:p>
            <w:r>
              <w:rPr>
                <w:b/>
                <w:bCs/>
                <w:color w:val="000000"/>
                <w:sz w:val="16"/>
                <w:szCs w:val="16"/>
              </w:rPr>
              <w:t xml:space="preserve">Microsoft 365 / Google Workspace</w:t>
            </w:r>
          </w:p>
        </w:tc>
        <w:tc>
          <w:tcPr>
            <w:tcW w:type="dxa" w:w="2458"/>
            <w:tcMar>
              <w:top w:type="dxa" w:w="60"/>
              <w:left w:type="dxa" w:w="80"/>
              <w:bottom w:type="dxa" w:w="60"/>
              <w:right w:type="dxa" w:w="80"/>
            </w:tcMar>
            <w:vAlign w:val="top"/>
          </w:tcPr>
          <w:p>
            <w:r>
              <w:rPr>
                <w:b w:val="false"/>
                <w:bCs w:val="false"/>
                <w:color w:val="000000"/>
                <w:sz w:val="16"/>
                <w:szCs w:val="16"/>
              </w:rPr>
              <w:t xml:space="preserve">Bidirectional</w:t>
            </w:r>
          </w:p>
        </w:tc>
        <w:tc>
          <w:tcPr>
            <w:tcW w:type="dxa" w:w="2458"/>
            <w:tcMar>
              <w:top w:type="dxa" w:w="60"/>
              <w:left w:type="dxa" w:w="80"/>
              <w:bottom w:type="dxa" w:w="60"/>
              <w:right w:type="dxa" w:w="80"/>
            </w:tcMar>
            <w:vAlign w:val="top"/>
          </w:tcPr>
          <w:p>
            <w:r>
              <w:rPr>
                <w:b w:val="false"/>
                <w:bCs w:val="false"/>
                <w:color w:val="000000"/>
                <w:sz w:val="16"/>
                <w:szCs w:val="16"/>
              </w:rPr>
              <w:t xml:space="preserve">REST API (Graph API or equivalent)</w:t>
            </w:r>
          </w:p>
        </w:tc>
        <w:tc>
          <w:tcPr>
            <w:tcW w:type="dxa" w:w="1843"/>
            <w:tcMar>
              <w:top w:type="dxa" w:w="60"/>
              <w:left w:type="dxa" w:w="80"/>
              <w:bottom w:type="dxa" w:w="60"/>
              <w:right w:type="dxa" w:w="80"/>
            </w:tcMar>
            <w:vAlign w:val="top"/>
          </w:tcPr>
          <w:p>
            <w:r>
              <w:rPr>
                <w:b w:val="false"/>
                <w:bCs w:val="false"/>
                <w:color w:val="000000"/>
                <w:sz w:val="16"/>
                <w:szCs w:val="16"/>
              </w:rPr>
              <w:t xml:space="preserve">Should Have</w:t>
            </w:r>
          </w:p>
        </w:tc>
      </w:tr>
      <w:tr>
        <w:tc>
          <w:tcPr>
            <w:tcW w:type="dxa" w:w="3482"/>
            <w:tcMar>
              <w:top w:type="dxa" w:w="60"/>
              <w:left w:type="dxa" w:w="80"/>
              <w:bottom w:type="dxa" w:w="60"/>
              <w:right w:type="dxa" w:w="80"/>
            </w:tcMar>
            <w:vAlign w:val="top"/>
          </w:tcPr>
          <w:p>
            <w:r>
              <w:rPr>
                <w:b/>
                <w:bCs/>
                <w:color w:val="000000"/>
                <w:sz w:val="16"/>
                <w:szCs w:val="16"/>
              </w:rPr>
              <w:t xml:space="preserve">API Standards (REST, GraphQL, Webhooks)</w:t>
            </w:r>
          </w:p>
        </w:tc>
        <w:tc>
          <w:tcPr>
            <w:tcW w:type="dxa" w:w="2458"/>
            <w:tcMar>
              <w:top w:type="dxa" w:w="60"/>
              <w:left w:type="dxa" w:w="80"/>
              <w:bottom w:type="dxa" w:w="60"/>
              <w:right w:type="dxa" w:w="80"/>
            </w:tcMar>
            <w:vAlign w:val="top"/>
          </w:tcPr>
          <w:p>
            <w:r>
              <w:rPr>
                <w:b w:val="false"/>
                <w:bCs w:val="false"/>
                <w:color w:val="000000"/>
                <w:sz w:val="16"/>
                <w:szCs w:val="16"/>
              </w:rPr>
              <w:t xml:space="preserve">Governs all integrations</w:t>
            </w:r>
          </w:p>
        </w:tc>
        <w:tc>
          <w:tcPr>
            <w:tcW w:type="dxa" w:w="2458"/>
            <w:tcMar>
              <w:top w:type="dxa" w:w="60"/>
              <w:left w:type="dxa" w:w="80"/>
              <w:bottom w:type="dxa" w:w="60"/>
              <w:right w:type="dxa" w:w="80"/>
            </w:tcMar>
            <w:vAlign w:val="top"/>
          </w:tcPr>
          <w:p>
            <w:r>
              <w:rPr>
                <w:b w:val="false"/>
                <w:bCs w:val="false"/>
                <w:color w:val="000000"/>
                <w:sz w:val="16"/>
                <w:szCs w:val="16"/>
              </w:rPr>
              <w:t xml:space="preserve">REST baseline; GraphQL Phase 2</w:t>
            </w:r>
          </w:p>
        </w:tc>
        <w:tc>
          <w:tcPr>
            <w:tcW w:type="dxa" w:w="1843"/>
            <w:tcMar>
              <w:top w:type="dxa" w:w="60"/>
              <w:left w:type="dxa" w:w="80"/>
              <w:bottom w:type="dxa" w:w="60"/>
              <w:right w:type="dxa" w:w="80"/>
            </w:tcMar>
            <w:vAlign w:val="top"/>
          </w:tcPr>
          <w:p>
            <w:r>
              <w:rPr>
                <w:b w:val="false"/>
                <w:bCs w:val="false"/>
                <w:color w:val="000000"/>
                <w:sz w:val="16"/>
                <w:szCs w:val="16"/>
              </w:rPr>
              <w:t xml:space="preserve">Must Have</w:t>
            </w:r>
          </w:p>
        </w:tc>
      </w:tr>
      <w:tr>
        <w:tc>
          <w:tcPr>
            <w:tcW w:type="dxa" w:w="3482"/>
            <w:tcMar>
              <w:top w:type="dxa" w:w="60"/>
              <w:left w:type="dxa" w:w="80"/>
              <w:bottom w:type="dxa" w:w="60"/>
              <w:right w:type="dxa" w:w="80"/>
            </w:tcMar>
            <w:vAlign w:val="top"/>
          </w:tcPr>
          <w:p>
            <w:r>
              <w:rPr>
                <w:b/>
                <w:bCs/>
                <w:color w:val="000000"/>
                <w:sz w:val="16"/>
                <w:szCs w:val="16"/>
              </w:rPr>
              <w:t xml:space="preserve">File Storage Integration</w:t>
            </w:r>
          </w:p>
        </w:tc>
        <w:tc>
          <w:tcPr>
            <w:tcW w:type="dxa" w:w="2458"/>
            <w:tcMar>
              <w:top w:type="dxa" w:w="60"/>
              <w:left w:type="dxa" w:w="80"/>
              <w:bottom w:type="dxa" w:w="60"/>
              <w:right w:type="dxa" w:w="80"/>
            </w:tcMar>
            <w:vAlign w:val="top"/>
          </w:tcPr>
          <w:p>
            <w:r>
              <w:rPr>
                <w:b w:val="false"/>
                <w:bCs w:val="false"/>
                <w:color w:val="000000"/>
                <w:sz w:val="16"/>
                <w:szCs w:val="16"/>
              </w:rPr>
              <w:t xml:space="preserve">Bidirectional</w:t>
            </w:r>
          </w:p>
        </w:tc>
        <w:tc>
          <w:tcPr>
            <w:tcW w:type="dxa" w:w="2458"/>
            <w:tcMar>
              <w:top w:type="dxa" w:w="60"/>
              <w:left w:type="dxa" w:w="80"/>
              <w:bottom w:type="dxa" w:w="60"/>
              <w:right w:type="dxa" w:w="80"/>
            </w:tcMar>
            <w:vAlign w:val="top"/>
          </w:tcPr>
          <w:p>
            <w:r>
              <w:rPr>
                <w:b w:val="false"/>
                <w:bCs w:val="false"/>
                <w:color w:val="000000"/>
                <w:sz w:val="16"/>
                <w:szCs w:val="16"/>
              </w:rPr>
              <w:t xml:space="preserve">REST API</w:t>
            </w:r>
          </w:p>
        </w:tc>
        <w:tc>
          <w:tcPr>
            <w:tcW w:type="dxa" w:w="1843"/>
            <w:tcMar>
              <w:top w:type="dxa" w:w="60"/>
              <w:left w:type="dxa" w:w="80"/>
              <w:bottom w:type="dxa" w:w="60"/>
              <w:right w:type="dxa" w:w="80"/>
            </w:tcMar>
            <w:vAlign w:val="top"/>
          </w:tcPr>
          <w:p>
            <w:r>
              <w:rPr>
                <w:b w:val="false"/>
                <w:bCs w:val="false"/>
                <w:color w:val="000000"/>
                <w:sz w:val="16"/>
                <w:szCs w:val="16"/>
              </w:rPr>
              <w:t xml:space="preserve">Should Have</w:t>
            </w:r>
          </w:p>
        </w:tc>
      </w:tr>
      <w:tr>
        <w:tc>
          <w:tcPr>
            <w:tcW w:type="dxa" w:w="3482"/>
            <w:tcMar>
              <w:top w:type="dxa" w:w="60"/>
              <w:left w:type="dxa" w:w="80"/>
              <w:bottom w:type="dxa" w:w="60"/>
              <w:right w:type="dxa" w:w="80"/>
            </w:tcMar>
            <w:vAlign w:val="top"/>
          </w:tcPr>
          <w:p>
            <w:r>
              <w:rPr>
                <w:b/>
                <w:bCs/>
                <w:color w:val="000000"/>
                <w:sz w:val="16"/>
                <w:szCs w:val="16"/>
              </w:rPr>
              <w:t xml:space="preserve">Mobile Access</w:t>
            </w:r>
          </w:p>
        </w:tc>
        <w:tc>
          <w:tcPr>
            <w:tcW w:type="dxa" w:w="2458"/>
            <w:tcMar>
              <w:top w:type="dxa" w:w="60"/>
              <w:left w:type="dxa" w:w="80"/>
              <w:bottom w:type="dxa" w:w="60"/>
              <w:right w:type="dxa" w:w="80"/>
            </w:tcMar>
            <w:vAlign w:val="top"/>
          </w:tcPr>
          <w:p>
            <w:r>
              <w:rPr>
                <w:b w:val="false"/>
                <w:bCs w:val="false"/>
                <w:color w:val="000000"/>
                <w:sz w:val="16"/>
                <w:szCs w:val="16"/>
              </w:rPr>
              <w:t xml:space="preserve">Bidirectional</w:t>
            </w:r>
          </w:p>
        </w:tc>
        <w:tc>
          <w:tcPr>
            <w:tcW w:type="dxa" w:w="2458"/>
            <w:tcMar>
              <w:top w:type="dxa" w:w="60"/>
              <w:left w:type="dxa" w:w="80"/>
              <w:bottom w:type="dxa" w:w="60"/>
              <w:right w:type="dxa" w:w="80"/>
            </w:tcMar>
            <w:vAlign w:val="top"/>
          </w:tcPr>
          <w:p>
            <w:r>
              <w:rPr>
                <w:b w:val="false"/>
                <w:bCs w:val="false"/>
                <w:color w:val="000000"/>
                <w:sz w:val="16"/>
                <w:szCs w:val="16"/>
              </w:rPr>
              <w:t xml:space="preserve">REST API (same as web)</w:t>
            </w:r>
          </w:p>
        </w:tc>
        <w:tc>
          <w:tcPr>
            <w:tcW w:type="dxa" w:w="1843"/>
            <w:tcMar>
              <w:top w:type="dxa" w:w="60"/>
              <w:left w:type="dxa" w:w="80"/>
              <w:bottom w:type="dxa" w:w="60"/>
              <w:right w:type="dxa" w:w="80"/>
            </w:tcMar>
            <w:vAlign w:val="top"/>
          </w:tcPr>
          <w:p>
            <w:r>
              <w:rPr>
                <w:b w:val="false"/>
                <w:bCs w:val="false"/>
                <w:color w:val="000000"/>
                <w:sz w:val="16"/>
                <w:szCs w:val="16"/>
              </w:rPr>
              <w:t xml:space="preserve">Should Have</w:t>
            </w:r>
          </w:p>
        </w:tc>
      </w:tr>
      <w:tr>
        <w:tc>
          <w:tcPr>
            <w:tcW w:type="dxa" w:w="3482"/>
            <w:tcMar>
              <w:top w:type="dxa" w:w="60"/>
              <w:left w:type="dxa" w:w="80"/>
              <w:bottom w:type="dxa" w:w="60"/>
              <w:right w:type="dxa" w:w="80"/>
            </w:tcMar>
            <w:vAlign w:val="top"/>
          </w:tcPr>
          <w:p>
            <w:r>
              <w:rPr>
                <w:b/>
                <w:bCs/>
                <w:color w:val="000000"/>
                <w:sz w:val="16"/>
                <w:szCs w:val="16"/>
              </w:rPr>
              <w:t xml:space="preserve">Future ERP / MIS / M&amp;E Systems</w:t>
            </w:r>
          </w:p>
        </w:tc>
        <w:tc>
          <w:tcPr>
            <w:tcW w:type="dxa" w:w="2458"/>
            <w:tcMar>
              <w:top w:type="dxa" w:w="60"/>
              <w:left w:type="dxa" w:w="80"/>
              <w:bottom w:type="dxa" w:w="60"/>
              <w:right w:type="dxa" w:w="80"/>
            </w:tcMar>
            <w:vAlign w:val="top"/>
          </w:tcPr>
          <w:p>
            <w:r>
              <w:rPr>
                <w:b w:val="false"/>
                <w:bCs w:val="false"/>
                <w:color w:val="000000"/>
                <w:sz w:val="16"/>
                <w:szCs w:val="16"/>
              </w:rPr>
              <w:t xml:space="preserve">Bidirectional (future)</w:t>
            </w:r>
          </w:p>
        </w:tc>
        <w:tc>
          <w:tcPr>
            <w:tcW w:type="dxa" w:w="2458"/>
            <w:tcMar>
              <w:top w:type="dxa" w:w="60"/>
              <w:left w:type="dxa" w:w="80"/>
              <w:bottom w:type="dxa" w:w="60"/>
              <w:right w:type="dxa" w:w="80"/>
            </w:tcMar>
            <w:vAlign w:val="top"/>
          </w:tcPr>
          <w:p>
            <w:r>
              <w:rPr>
                <w:b w:val="false"/>
                <w:bCs w:val="false"/>
                <w:color w:val="000000"/>
                <w:sz w:val="16"/>
                <w:szCs w:val="16"/>
              </w:rPr>
              <w:t xml:space="preserve">REST (TBD)</w:t>
            </w:r>
          </w:p>
        </w:tc>
        <w:tc>
          <w:tcPr>
            <w:tcW w:type="dxa" w:w="1843"/>
            <w:tcMar>
              <w:top w:type="dxa" w:w="60"/>
              <w:left w:type="dxa" w:w="80"/>
              <w:bottom w:type="dxa" w:w="60"/>
              <w:right w:type="dxa" w:w="80"/>
            </w:tcMar>
            <w:vAlign w:val="top"/>
          </w:tcPr>
          <w:p>
            <w:r>
              <w:rPr>
                <w:b w:val="false"/>
                <w:bCs w:val="false"/>
                <w:color w:val="000000"/>
                <w:sz w:val="16"/>
                <w:szCs w:val="16"/>
              </w:rPr>
              <w:t xml:space="preserve">Could Have (Phase 2)</w:t>
            </w:r>
          </w:p>
        </w:tc>
      </w:tr>
    </w:tbl>
    <w:p>
      <w:pPr>
        <w:spacing w:after="100"/>
      </w:pPr>
    </w:p>
    <w:p>
      <w:pPr>
        <w:spacing w:after="160" w:line="264"/>
      </w:pPr>
      <w:r>
        <w:rPr>
          <w:i/>
          <w:iCs/>
          <w:color w:val="555555"/>
          <w:sz w:val="18"/>
          <w:szCs w:val="18"/>
        </w:rPr>
        <w:t xml:space="preserve">Every integration point requires OAuth 2.0 token-based authentication and TLS encryption in transit without exception, and every request is logged to the Audit module.</w:t>
      </w:r>
    </w:p>
    <w:p>
      <w:pPr>
        <w:spacing w:after="160"/>
      </w:pPr>
    </w:p>
    <w:p>
      <w:pPr>
        <w:pStyle w:val="Heading1"/>
        <w:pBdr>
          <w:bottom w:val="single" w:color="1F3864" w:sz="6" w:space="4"/>
        </w:pBdr>
        <w:spacing w:after="130" w:before="320"/>
      </w:pPr>
      <w:r>
        <w:t xml:space="preserve">16.6 Data Model Summary</w:t>
      </w:r>
    </w:p>
    <w:p>
      <w:pPr>
        <w:spacing w:after="150" w:line="276"/>
        <w:jc w:val="both"/>
      </w:pPr>
      <w:r>
        <w:t xml:space="preserve">Fourteen core entities make up the logical data model: Programme, Component, Project, Task, Document, Workflow Instance, Knowledge Item, Media Asset, Risk/Issue/Decision Record, State/FCT, User, Role, Donor/Co-Financier, and KPI. Key relationships: a Programme has many Components; a Component has many Projects; a Project has many Tasks; a Project or Component is referenced by many Documents; a Document has one active Workflow Instance; a Document or Knowledge Item may have many Media Assets; Knowledge Items relate to one another many-to-many (the Phase 2 Knowledge Graph edge); a State/FCT is referenced by many Projects, Documents, and Knowledge Items; and Users hold Roles many-to-many.</w:t>
      </w:r>
    </w:p>
    <w:p>
      <w:pPr>
        <w:spacing w:after="150" w:line="276"/>
        <w:jc w:val="both"/>
      </w:pPr>
      <w:r>
        <w:t xml:space="preserve">Five physical data store classes implement this model: an operational relational database (PostgreSQL) for Programme, Workflow, Governance, and Identity data; a document-oriented content store for Content and Knowledge data (underlying the Laravel/Node.js application layers); a search index (OpenSearch, two logically separate indexes — one per system) for Content and Knowledge data; object storage for Media Assets; and an analytics/reporting store for aggregated KPI data, decoupled from the operational database. Every mandatory metadata field (Title, Content Type, Owner/Steward, State/FCT, Component/Project, Classification/Sensitivity, Date, Version, Retention Class, Language, Taxonomy Terms) is enforced at capture time against a single, KMC-authored taxonomy shared identically across both systems.</w:t>
      </w:r>
    </w:p>
    <w:p>
      <w:pPr>
        <w:pStyle w:val="Heading1"/>
        <w:pBdr>
          <w:bottom w:val="single" w:color="1F3864" w:sz="6" w:space="4"/>
        </w:pBdr>
        <w:spacing w:after="130" w:before="320"/>
      </w:pPr>
      <w:r>
        <w:t xml:space="preserve">16.7 Security Requirements</w:t>
      </w:r>
    </w:p>
    <w:p>
      <w:pPr>
        <w:spacing w:after="150" w:line="276"/>
        <w:jc w:val="both"/>
      </w:pPr>
      <w:r>
        <w:t xml:space="preserve">Security is designed in, governed by Zero Trust, Least Privilege, and Defense in Depth, and anchored to the ESM/CKR access boundary as the architecture's single most important control.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7578"/>
      </w:tblGrid>
      <w:tr>
        <w:trPr>
          <w:tblHeader/>
        </w:trPr>
        <w:tc>
          <w:tcPr>
            <w:tcW w:type="dxa" w:w="2662"/>
            <w:shd w:fill="1F3864" w:val="clear"/>
            <w:tcMar>
              <w:top w:type="dxa" w:w="60"/>
              <w:left w:type="dxa" w:w="80"/>
              <w:bottom w:type="dxa" w:w="60"/>
              <w:right w:type="dxa" w:w="80"/>
            </w:tcMar>
            <w:vAlign w:val="top"/>
          </w:tcPr>
          <w:p>
            <w:r>
              <w:rPr>
                <w:b/>
                <w:bCs/>
                <w:color w:val="FFFFFF"/>
                <w:sz w:val="16"/>
                <w:szCs w:val="16"/>
              </w:rPr>
              <w:t xml:space="preserve">Requirement</w:t>
            </w:r>
          </w:p>
        </w:tc>
        <w:tc>
          <w:tcPr>
            <w:tcW w:type="dxa" w:w="7578"/>
            <w:shd w:fill="1F3864" w:val="clear"/>
            <w:tcMar>
              <w:top w:type="dxa" w:w="60"/>
              <w:left w:type="dxa" w:w="80"/>
              <w:bottom w:type="dxa" w:w="60"/>
              <w:right w:type="dxa" w:w="80"/>
            </w:tcMar>
            <w:vAlign w:val="top"/>
          </w:tcPr>
          <w:p>
            <w:r>
              <w:rPr>
                <w:b/>
                <w:bCs/>
                <w:color w:val="FFFFFF"/>
                <w:sz w:val="16"/>
                <w:szCs w:val="16"/>
              </w:rPr>
              <w:t xml:space="preserve">Specification</w:t>
            </w:r>
          </w:p>
        </w:tc>
      </w:tr>
      <w:tr>
        <w:tc>
          <w:tcPr>
            <w:tcW w:type="dxa" w:w="2662"/>
            <w:tcMar>
              <w:top w:type="dxa" w:w="60"/>
              <w:left w:type="dxa" w:w="80"/>
              <w:bottom w:type="dxa" w:w="60"/>
              <w:right w:type="dxa" w:w="80"/>
            </w:tcMar>
            <w:vAlign w:val="top"/>
          </w:tcPr>
          <w:p>
            <w:r>
              <w:rPr>
                <w:b/>
                <w:bCs/>
                <w:color w:val="000000"/>
                <w:sz w:val="16"/>
                <w:szCs w:val="16"/>
              </w:rPr>
              <w:t xml:space="preserve">Access control model</w:t>
            </w:r>
          </w:p>
        </w:tc>
        <w:tc>
          <w:tcPr>
            <w:tcW w:type="dxa" w:w="7578"/>
            <w:tcMar>
              <w:top w:type="dxa" w:w="60"/>
              <w:left w:type="dxa" w:w="80"/>
              <w:bottom w:type="dxa" w:w="60"/>
              <w:right w:type="dxa" w:w="80"/>
            </w:tcMar>
            <w:vAlign w:val="top"/>
          </w:tcPr>
          <w:p>
            <w:r>
              <w:rPr>
                <w:b w:val="false"/>
                <w:bCs w:val="false"/>
                <w:color w:val="000000"/>
                <w:sz w:val="16"/>
                <w:szCs w:val="16"/>
              </w:rPr>
              <w:t xml:space="preserve">RBAC baseline; ABAC layered on top specifically for state-scoped access decisions.</w:t>
            </w:r>
          </w:p>
        </w:tc>
      </w:tr>
      <w:tr>
        <w:tc>
          <w:tcPr>
            <w:tcW w:type="dxa" w:w="2662"/>
            <w:tcMar>
              <w:top w:type="dxa" w:w="60"/>
              <w:left w:type="dxa" w:w="80"/>
              <w:bottom w:type="dxa" w:w="60"/>
              <w:right w:type="dxa" w:w="80"/>
            </w:tcMar>
            <w:vAlign w:val="top"/>
          </w:tcPr>
          <w:p>
            <w:r>
              <w:rPr>
                <w:b/>
                <w:bCs/>
                <w:color w:val="000000"/>
                <w:sz w:val="16"/>
                <w:szCs w:val="16"/>
              </w:rPr>
              <w:t xml:space="preserve">Multi-factor authentication</w:t>
            </w:r>
          </w:p>
        </w:tc>
        <w:tc>
          <w:tcPr>
            <w:tcW w:type="dxa" w:w="7578"/>
            <w:tcMar>
              <w:top w:type="dxa" w:w="60"/>
              <w:left w:type="dxa" w:w="80"/>
              <w:bottom w:type="dxa" w:w="60"/>
              <w:right w:type="dxa" w:w="80"/>
            </w:tcMar>
            <w:vAlign w:val="top"/>
          </w:tcPr>
          <w:p>
            <w:r>
              <w:rPr>
                <w:b w:val="false"/>
                <w:bCs w:val="false"/>
                <w:color w:val="000000"/>
                <w:sz w:val="16"/>
                <w:szCs w:val="16"/>
              </w:rPr>
              <w:t xml:space="preserve">Mandatory for all privileged and administrative roles without exception.</w:t>
            </w:r>
          </w:p>
        </w:tc>
      </w:tr>
      <w:tr>
        <w:tc>
          <w:tcPr>
            <w:tcW w:type="dxa" w:w="2662"/>
            <w:tcMar>
              <w:top w:type="dxa" w:w="60"/>
              <w:left w:type="dxa" w:w="80"/>
              <w:bottom w:type="dxa" w:w="60"/>
              <w:right w:type="dxa" w:w="80"/>
            </w:tcMar>
            <w:vAlign w:val="top"/>
          </w:tcPr>
          <w:p>
            <w:r>
              <w:rPr>
                <w:b/>
                <w:bCs/>
                <w:color w:val="000000"/>
                <w:sz w:val="16"/>
                <w:szCs w:val="16"/>
              </w:rPr>
              <w:t xml:space="preserve">Encryption at rest</w:t>
            </w:r>
          </w:p>
        </w:tc>
        <w:tc>
          <w:tcPr>
            <w:tcW w:type="dxa" w:w="7578"/>
            <w:tcMar>
              <w:top w:type="dxa" w:w="60"/>
              <w:left w:type="dxa" w:w="80"/>
              <w:bottom w:type="dxa" w:w="60"/>
              <w:right w:type="dxa" w:w="80"/>
            </w:tcMar>
            <w:vAlign w:val="top"/>
          </w:tcPr>
          <w:p>
            <w:r>
              <w:rPr>
                <w:b w:val="false"/>
                <w:bCs w:val="false"/>
                <w:color w:val="000000"/>
                <w:sz w:val="16"/>
                <w:szCs w:val="16"/>
              </w:rPr>
              <w:t xml:space="preserve">Applied to every physical data store (database, content store, object storage, search index, backups) without exception.</w:t>
            </w:r>
          </w:p>
        </w:tc>
      </w:tr>
      <w:tr>
        <w:tc>
          <w:tcPr>
            <w:tcW w:type="dxa" w:w="2662"/>
            <w:tcMar>
              <w:top w:type="dxa" w:w="60"/>
              <w:left w:type="dxa" w:w="80"/>
              <w:bottom w:type="dxa" w:w="60"/>
              <w:right w:type="dxa" w:w="80"/>
            </w:tcMar>
            <w:vAlign w:val="top"/>
          </w:tcPr>
          <w:p>
            <w:r>
              <w:rPr>
                <w:b/>
                <w:bCs/>
                <w:color w:val="000000"/>
                <w:sz w:val="16"/>
                <w:szCs w:val="16"/>
              </w:rPr>
              <w:t xml:space="preserve">Encryption in transit</w:t>
            </w:r>
          </w:p>
        </w:tc>
        <w:tc>
          <w:tcPr>
            <w:tcW w:type="dxa" w:w="7578"/>
            <w:tcMar>
              <w:top w:type="dxa" w:w="60"/>
              <w:left w:type="dxa" w:w="80"/>
              <w:bottom w:type="dxa" w:w="60"/>
              <w:right w:type="dxa" w:w="80"/>
            </w:tcMar>
            <w:vAlign w:val="top"/>
          </w:tcPr>
          <w:p>
            <w:r>
              <w:rPr>
                <w:b w:val="false"/>
                <w:bCs w:val="false"/>
                <w:color w:val="000000"/>
                <w:sz w:val="16"/>
                <w:szCs w:val="16"/>
              </w:rPr>
              <w:t xml:space="preserve">TLS 1.2 or higher on every database connection, pipeline, and integration endpoint without exception.</w:t>
            </w:r>
          </w:p>
        </w:tc>
      </w:tr>
      <w:tr>
        <w:tc>
          <w:tcPr>
            <w:tcW w:type="dxa" w:w="2662"/>
            <w:tcMar>
              <w:top w:type="dxa" w:w="60"/>
              <w:left w:type="dxa" w:w="80"/>
              <w:bottom w:type="dxa" w:w="60"/>
              <w:right w:type="dxa" w:w="80"/>
            </w:tcMar>
            <w:vAlign w:val="top"/>
          </w:tcPr>
          <w:p>
            <w:r>
              <w:rPr>
                <w:b/>
                <w:bCs/>
                <w:color w:val="000000"/>
                <w:sz w:val="16"/>
                <w:szCs w:val="16"/>
              </w:rPr>
              <w:t xml:space="preserve">Standards framework</w:t>
            </w:r>
          </w:p>
        </w:tc>
        <w:tc>
          <w:tcPr>
            <w:tcW w:type="dxa" w:w="7578"/>
            <w:tcMar>
              <w:top w:type="dxa" w:w="60"/>
              <w:left w:type="dxa" w:w="80"/>
              <w:bottom w:type="dxa" w:w="60"/>
              <w:right w:type="dxa" w:w="80"/>
            </w:tcMar>
            <w:vAlign w:val="top"/>
          </w:tcPr>
          <w:p>
            <w:r>
              <w:rPr>
                <w:b w:val="false"/>
                <w:bCs w:val="false"/>
                <w:color w:val="000000"/>
                <w:sz w:val="16"/>
                <w:szCs w:val="16"/>
              </w:rPr>
              <w:t xml:space="preserve">ISO 27001 (security management); OWASP Top 10 / ASVS (application security); Nigeria Data Protection Regulation (personal data).</w:t>
            </w:r>
          </w:p>
        </w:tc>
      </w:tr>
      <w:tr>
        <w:tc>
          <w:tcPr>
            <w:tcW w:type="dxa" w:w="2662"/>
            <w:tcMar>
              <w:top w:type="dxa" w:w="60"/>
              <w:left w:type="dxa" w:w="80"/>
              <w:bottom w:type="dxa" w:w="60"/>
              <w:right w:type="dxa" w:w="80"/>
            </w:tcMar>
            <w:vAlign w:val="top"/>
          </w:tcPr>
          <w:p>
            <w:r>
              <w:rPr>
                <w:b/>
                <w:bCs/>
                <w:color w:val="000000"/>
                <w:sz w:val="16"/>
                <w:szCs w:val="16"/>
              </w:rPr>
              <w:t xml:space="preserve">Audit logging</w:t>
            </w:r>
          </w:p>
        </w:tc>
        <w:tc>
          <w:tcPr>
            <w:tcW w:type="dxa" w:w="7578"/>
            <w:tcMar>
              <w:top w:type="dxa" w:w="60"/>
              <w:left w:type="dxa" w:w="80"/>
              <w:bottom w:type="dxa" w:w="60"/>
              <w:right w:type="dxa" w:w="80"/>
            </w:tcMar>
            <w:vAlign w:val="top"/>
          </w:tcPr>
          <w:p>
            <w:r>
              <w:rPr>
                <w:b w:val="false"/>
                <w:bCs w:val="false"/>
                <w:color w:val="000000"/>
                <w:sz w:val="16"/>
                <w:szCs w:val="16"/>
              </w:rPr>
              <w:t xml:space="preserve">Immutable, centrally aggregated logging of every authentication, access, administrative, and data-export event.</w:t>
            </w:r>
          </w:p>
        </w:tc>
      </w:tr>
      <w:tr>
        <w:tc>
          <w:tcPr>
            <w:tcW w:type="dxa" w:w="2662"/>
            <w:tcMar>
              <w:top w:type="dxa" w:w="60"/>
              <w:left w:type="dxa" w:w="80"/>
              <w:bottom w:type="dxa" w:w="60"/>
              <w:right w:type="dxa" w:w="80"/>
            </w:tcMar>
            <w:vAlign w:val="top"/>
          </w:tcPr>
          <w:p>
            <w:r>
              <w:rPr>
                <w:b/>
                <w:bCs/>
                <w:color w:val="000000"/>
                <w:sz w:val="16"/>
                <w:szCs w:val="16"/>
              </w:rPr>
              <w:t xml:space="preserve">Incident response</w:t>
            </w:r>
          </w:p>
        </w:tc>
        <w:tc>
          <w:tcPr>
            <w:tcW w:type="dxa" w:w="7578"/>
            <w:tcMar>
              <w:top w:type="dxa" w:w="60"/>
              <w:left w:type="dxa" w:w="80"/>
              <w:bottom w:type="dxa" w:w="60"/>
              <w:right w:type="dxa" w:w="80"/>
            </w:tcMar>
            <w:vAlign w:val="top"/>
          </w:tcPr>
          <w:p>
            <w:r>
              <w:rPr>
                <w:b w:val="false"/>
                <w:bCs w:val="false"/>
                <w:color w:val="000000"/>
                <w:sz w:val="16"/>
                <w:szCs w:val="16"/>
              </w:rPr>
              <w:t xml:space="preserve">Four severity tiers (Critical, High, Medium, Low), each with a fixed response time and escalation path to the KMC and National Programme Coordinator for Critical/High events.</w:t>
            </w:r>
          </w:p>
        </w:tc>
      </w:tr>
      <w:tr>
        <w:tc>
          <w:tcPr>
            <w:tcW w:type="dxa" w:w="2662"/>
            <w:tcMar>
              <w:top w:type="dxa" w:w="60"/>
              <w:left w:type="dxa" w:w="80"/>
              <w:bottom w:type="dxa" w:w="60"/>
              <w:right w:type="dxa" w:w="80"/>
            </w:tcMar>
            <w:vAlign w:val="top"/>
          </w:tcPr>
          <w:p>
            <w:r>
              <w:rPr>
                <w:b/>
                <w:bCs/>
                <w:color w:val="000000"/>
                <w:sz w:val="16"/>
                <w:szCs w:val="16"/>
              </w:rPr>
              <w:t xml:space="preserve">Disaster recovery</w:t>
            </w:r>
          </w:p>
        </w:tc>
        <w:tc>
          <w:tcPr>
            <w:tcW w:type="dxa" w:w="7578"/>
            <w:tcMar>
              <w:top w:type="dxa" w:w="60"/>
              <w:left w:type="dxa" w:w="80"/>
              <w:bottom w:type="dxa" w:w="60"/>
              <w:right w:type="dxa" w:w="80"/>
            </w:tcMar>
            <w:vAlign w:val="top"/>
          </w:tcPr>
          <w:p>
            <w:r>
              <w:rPr>
                <w:b w:val="false"/>
                <w:bCs w:val="false"/>
                <w:color w:val="000000"/>
                <w:sz w:val="16"/>
                <w:szCs w:val="16"/>
              </w:rPr>
              <w:t xml:space="preserve">24-hour Recovery Point Objective; 8-business-hour Recovery Time Objective for ESM and CKR core platforms; secondary-region provisioning to be confirmed in Weeks 1–2 (open item).</w:t>
            </w:r>
          </w:p>
        </w:tc>
      </w:tr>
    </w:tbl>
    <w:p>
      <w:pPr>
        <w:spacing w:after="160"/>
      </w:pPr>
    </w:p>
    <w:p>
      <w:pPr>
        <w:pStyle w:val="Heading1"/>
        <w:pBdr>
          <w:bottom w:val="single" w:color="1F3864" w:sz="6" w:space="4"/>
        </w:pBdr>
        <w:spacing w:after="130" w:before="320"/>
      </w:pPr>
      <w:r>
        <w:t xml:space="preserve">16.8 AI Features</w:t>
      </w:r>
    </w:p>
    <w:p>
      <w:pPr>
        <w:spacing w:after="150" w:line="276"/>
        <w:jc w:val="both"/>
      </w:pPr>
      <w:r>
        <w:t xml:space="preserve">Phase 1 (the fixed twelve-week baseline) includes zero AI features — this is a fixed constraint, not an oversight, since Artificial Intelligence sits outside the TOR's explicit scope. Thirteen AI capabilities are specified as a distinct, separately costed Phase 2 roadmap, grouped into three families: Search and Discovery (Semantic Search, Natural Language Search, Knowledge Recommendations, Knowledge Discovery/Graph-Based), Content Intelligence (Document Summarisation, Automatic Classification, OCR, Document Intelligence, Translation, Speech-to-Text), and Interaction and Analytics (AI Assistant, Chatbot, Predictive Analytics). Every capability has a named human oversight point and is governed by three fixed principles: Ethical AI (no feature is proposed unless its output is explainable and auditable), Responsible AI (AI augments named human roles, never replaces their accountability), and Human Oversight (no capability without a credible human oversight point is included in the roadmap at all).</w:t>
      </w:r>
    </w:p>
    <w:p>
      <w:pPr>
        <w:pStyle w:val="Heading1"/>
        <w:pBdr>
          <w:bottom w:val="single" w:color="1F3864" w:sz="6" w:space="4"/>
        </w:pBdr>
        <w:spacing w:after="130" w:before="320"/>
      </w:pPr>
      <w:r>
        <w:t xml:space="preserve">16.9 Assumptions and Constraints</w:t>
      </w:r>
    </w:p>
    <w:p>
      <w:pPr>
        <w:spacing w:after="150" w:line="276"/>
        <w:jc w:val="both"/>
      </w:pPr>
      <w:r>
        <w:t xml:space="preserve">Fixed constraints and open assumptions are listed separately: constraints do not change; assumptions are pending confirmation in Weeks 1–2 and should not be treated as settled facts by any downstream artefact.</w:t>
      </w:r>
    </w:p>
    <w:p>
      <w:pPr>
        <w:pStyle w:val="Heading2"/>
        <w:spacing w:after="70" w:before="220"/>
      </w:pPr>
      <w:r>
        <w:t xml:space="preserve">Fixed Constraints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6963"/>
        <w:gridCol w:w="3277"/>
      </w:tblGrid>
      <w:tr>
        <w:trPr>
          <w:tblHeader/>
        </w:trPr>
        <w:tc>
          <w:tcPr>
            <w:tcW w:type="dxa" w:w="6963"/>
            <w:shd w:fill="1F3864" w:val="clear"/>
            <w:tcMar>
              <w:top w:type="dxa" w:w="60"/>
              <w:left w:type="dxa" w:w="80"/>
              <w:bottom w:type="dxa" w:w="60"/>
              <w:right w:type="dxa" w:w="80"/>
            </w:tcMar>
            <w:vAlign w:val="top"/>
          </w:tcPr>
          <w:p>
            <w:r>
              <w:rPr>
                <w:b/>
                <w:bCs/>
                <w:color w:val="FFFFFF"/>
                <w:sz w:val="16"/>
                <w:szCs w:val="16"/>
              </w:rPr>
              <w:t xml:space="preserve">Constraint</w:t>
            </w:r>
          </w:p>
        </w:tc>
        <w:tc>
          <w:tcPr>
            <w:tcW w:type="dxa" w:w="3277"/>
            <w:shd w:fill="1F3864" w:val="clear"/>
            <w:tcMar>
              <w:top w:type="dxa" w:w="60"/>
              <w:left w:type="dxa" w:w="80"/>
              <w:bottom w:type="dxa" w:w="60"/>
              <w:right w:type="dxa" w:w="80"/>
            </w:tcMar>
            <w:vAlign w:val="top"/>
          </w:tcPr>
          <w:p>
            <w:r>
              <w:rPr>
                <w:b/>
                <w:bCs/>
                <w:color w:val="FFFFFF"/>
                <w:sz w:val="16"/>
                <w:szCs w:val="16"/>
              </w:rPr>
              <w:t xml:space="preserve">Source</w:t>
            </w:r>
          </w:p>
        </w:tc>
      </w:tr>
      <w:tr>
        <w:tc>
          <w:tcPr>
            <w:tcW w:type="dxa" w:w="6963"/>
            <w:tcMar>
              <w:top w:type="dxa" w:w="60"/>
              <w:left w:type="dxa" w:w="80"/>
              <w:bottom w:type="dxa" w:w="60"/>
              <w:right w:type="dxa" w:w="80"/>
            </w:tcMar>
            <w:vAlign w:val="top"/>
          </w:tcPr>
          <w:p>
            <w:r>
              <w:rPr>
                <w:b/>
                <w:bCs/>
                <w:color w:val="000000"/>
                <w:sz w:val="16"/>
                <w:szCs w:val="16"/>
              </w:rPr>
              <w:t xml:space="preserve">ESM and CKR must remain independently hosted and independently access-controlled.</w:t>
            </w:r>
          </w:p>
        </w:tc>
        <w:tc>
          <w:tcPr>
            <w:tcW w:type="dxa" w:w="3277"/>
            <w:tcMar>
              <w:top w:type="dxa" w:w="60"/>
              <w:left w:type="dxa" w:w="80"/>
              <w:bottom w:type="dxa" w:w="60"/>
              <w:right w:type="dxa" w:w="80"/>
            </w:tcMar>
            <w:vAlign w:val="top"/>
          </w:tcPr>
          <w:p>
            <w:r>
              <w:rPr>
                <w:b w:val="false"/>
                <w:bCs w:val="false"/>
                <w:color w:val="000000"/>
                <w:sz w:val="16"/>
                <w:szCs w:val="16"/>
              </w:rPr>
              <w:t xml:space="preserve">TOR Section 4</w:t>
            </w:r>
          </w:p>
        </w:tc>
      </w:tr>
      <w:tr>
        <w:tc>
          <w:tcPr>
            <w:tcW w:type="dxa" w:w="6963"/>
            <w:tcMar>
              <w:top w:type="dxa" w:w="60"/>
              <w:left w:type="dxa" w:w="80"/>
              <w:bottom w:type="dxa" w:w="60"/>
              <w:right w:type="dxa" w:w="80"/>
            </w:tcMar>
            <w:vAlign w:val="top"/>
          </w:tcPr>
          <w:p>
            <w:r>
              <w:rPr>
                <w:b/>
                <w:bCs/>
                <w:color w:val="000000"/>
                <w:sz w:val="16"/>
                <w:szCs w:val="16"/>
              </w:rPr>
              <w:t xml:space="preserve">Delivery is fixed at twelve weeks, in five phases (Weeks 1–2, 3–8, 9–10, 11, 12).</w:t>
            </w:r>
          </w:p>
        </w:tc>
        <w:tc>
          <w:tcPr>
            <w:tcW w:type="dxa" w:w="3277"/>
            <w:tcMar>
              <w:top w:type="dxa" w:w="60"/>
              <w:left w:type="dxa" w:w="80"/>
              <w:bottom w:type="dxa" w:w="60"/>
              <w:right w:type="dxa" w:w="80"/>
            </w:tcMar>
            <w:vAlign w:val="top"/>
          </w:tcPr>
          <w:p>
            <w:r>
              <w:rPr>
                <w:b w:val="false"/>
                <w:bCs w:val="false"/>
                <w:color w:val="000000"/>
                <w:sz w:val="16"/>
                <w:szCs w:val="16"/>
              </w:rPr>
              <w:t xml:space="preserve">TOR delivery timeline</w:t>
            </w:r>
          </w:p>
        </w:tc>
      </w:tr>
      <w:tr>
        <w:tc>
          <w:tcPr>
            <w:tcW w:type="dxa" w:w="6963"/>
            <w:tcMar>
              <w:top w:type="dxa" w:w="60"/>
              <w:left w:type="dxa" w:w="80"/>
              <w:bottom w:type="dxa" w:w="60"/>
              <w:right w:type="dxa" w:w="80"/>
            </w:tcMar>
            <w:vAlign w:val="top"/>
          </w:tcPr>
          <w:p>
            <w:r>
              <w:rPr>
                <w:b/>
                <w:bCs/>
                <w:color w:val="000000"/>
                <w:sz w:val="16"/>
                <w:szCs w:val="16"/>
              </w:rPr>
              <w:t xml:space="preserve">The CKR content management system must be WordPress or an equivalent platform class.</w:t>
            </w:r>
          </w:p>
        </w:tc>
        <w:tc>
          <w:tcPr>
            <w:tcW w:type="dxa" w:w="3277"/>
            <w:tcMar>
              <w:top w:type="dxa" w:w="60"/>
              <w:left w:type="dxa" w:w="80"/>
              <w:bottom w:type="dxa" w:w="60"/>
              <w:right w:type="dxa" w:w="80"/>
            </w:tcMar>
            <w:vAlign w:val="top"/>
          </w:tcPr>
          <w:p>
            <w:r>
              <w:rPr>
                <w:b w:val="false"/>
                <w:bCs w:val="false"/>
                <w:color w:val="000000"/>
                <w:sz w:val="16"/>
                <w:szCs w:val="16"/>
              </w:rPr>
              <w:t xml:space="preserve">TOR naming</w:t>
            </w:r>
          </w:p>
        </w:tc>
      </w:tr>
      <w:tr>
        <w:tc>
          <w:tcPr>
            <w:tcW w:type="dxa" w:w="6963"/>
            <w:tcMar>
              <w:top w:type="dxa" w:w="60"/>
              <w:left w:type="dxa" w:w="80"/>
              <w:bottom w:type="dxa" w:w="60"/>
              <w:right w:type="dxa" w:w="80"/>
            </w:tcMar>
            <w:vAlign w:val="top"/>
          </w:tcPr>
          <w:p>
            <w:r>
              <w:rPr>
                <w:b/>
                <w:bCs/>
                <w:color w:val="000000"/>
                <w:sz w:val="16"/>
                <w:szCs w:val="16"/>
              </w:rPr>
              <w:t xml:space="preserve">Role-based access control and multi-factor authentication are mandatory.</w:t>
            </w:r>
          </w:p>
        </w:tc>
        <w:tc>
          <w:tcPr>
            <w:tcW w:type="dxa" w:w="3277"/>
            <w:tcMar>
              <w:top w:type="dxa" w:w="60"/>
              <w:left w:type="dxa" w:w="80"/>
              <w:bottom w:type="dxa" w:w="60"/>
              <w:right w:type="dxa" w:w="80"/>
            </w:tcMar>
            <w:vAlign w:val="top"/>
          </w:tcPr>
          <w:p>
            <w:r>
              <w:rPr>
                <w:b w:val="false"/>
                <w:bCs w:val="false"/>
                <w:color w:val="000000"/>
                <w:sz w:val="16"/>
                <w:szCs w:val="16"/>
              </w:rPr>
              <w:t xml:space="preserve">TOR security requirement</w:t>
            </w:r>
          </w:p>
        </w:tc>
      </w:tr>
      <w:tr>
        <w:tc>
          <w:tcPr>
            <w:tcW w:type="dxa" w:w="6963"/>
            <w:tcMar>
              <w:top w:type="dxa" w:w="60"/>
              <w:left w:type="dxa" w:w="80"/>
              <w:bottom w:type="dxa" w:w="60"/>
              <w:right w:type="dxa" w:w="80"/>
            </w:tcMar>
            <w:vAlign w:val="top"/>
          </w:tcPr>
          <w:p>
            <w:r>
              <w:rPr>
                <w:b/>
                <w:bCs/>
                <w:color w:val="000000"/>
                <w:sz w:val="16"/>
                <w:szCs w:val="16"/>
              </w:rPr>
              <w:t xml:space="preserve">No AI feature may be presented as part of the Phase 1 baseline.</w:t>
            </w:r>
          </w:p>
        </w:tc>
        <w:tc>
          <w:tcPr>
            <w:tcW w:type="dxa" w:w="3277"/>
            <w:tcMar>
              <w:top w:type="dxa" w:w="60"/>
              <w:left w:type="dxa" w:w="80"/>
              <w:bottom w:type="dxa" w:w="60"/>
              <w:right w:type="dxa" w:w="80"/>
            </w:tcMar>
            <w:vAlign w:val="top"/>
          </w:tcPr>
          <w:p>
            <w:r>
              <w:rPr>
                <w:b w:val="false"/>
                <w:bCs w:val="false"/>
                <w:color w:val="000000"/>
                <w:sz w:val="16"/>
                <w:szCs w:val="16"/>
              </w:rPr>
              <w:t xml:space="preserve">Solution Strategy; Section 1.7 Phase Discipline principle</w:t>
            </w:r>
          </w:p>
        </w:tc>
      </w:tr>
      <w:tr>
        <w:tc>
          <w:tcPr>
            <w:tcW w:type="dxa" w:w="6963"/>
            <w:tcMar>
              <w:top w:type="dxa" w:w="60"/>
              <w:left w:type="dxa" w:w="80"/>
              <w:bottom w:type="dxa" w:w="60"/>
              <w:right w:type="dxa" w:w="80"/>
            </w:tcMar>
            <w:vAlign w:val="top"/>
          </w:tcPr>
          <w:p>
            <w:r>
              <w:rPr>
                <w:b/>
                <w:bCs/>
                <w:color w:val="000000"/>
                <w:sz w:val="16"/>
                <w:szCs w:val="16"/>
              </w:rPr>
              <w:t xml:space="preserve">Personal data handling must comply with the Nigeria Data Protection Regulation.</w:t>
            </w:r>
          </w:p>
        </w:tc>
        <w:tc>
          <w:tcPr>
            <w:tcW w:type="dxa" w:w="3277"/>
            <w:tcMar>
              <w:top w:type="dxa" w:w="60"/>
              <w:left w:type="dxa" w:w="80"/>
              <w:bottom w:type="dxa" w:w="60"/>
              <w:right w:type="dxa" w:w="80"/>
            </w:tcMar>
            <w:vAlign w:val="top"/>
          </w:tcPr>
          <w:p>
            <w:r>
              <w:rPr>
                <w:b w:val="false"/>
                <w:bCs w:val="false"/>
                <w:color w:val="000000"/>
                <w:sz w:val="16"/>
                <w:szCs w:val="16"/>
              </w:rPr>
              <w:t xml:space="preserve">NDPR</w:t>
            </w:r>
          </w:p>
        </w:tc>
      </w:tr>
      <w:tr>
        <w:tc>
          <w:tcPr>
            <w:tcW w:type="dxa" w:w="6963"/>
            <w:tcMar>
              <w:top w:type="dxa" w:w="60"/>
              <w:left w:type="dxa" w:w="80"/>
              <w:bottom w:type="dxa" w:w="60"/>
              <w:right w:type="dxa" w:w="80"/>
            </w:tcMar>
            <w:vAlign w:val="top"/>
          </w:tcPr>
          <w:p>
            <w:r>
              <w:rPr>
                <w:b/>
                <w:bCs/>
                <w:color w:val="000000"/>
                <w:sz w:val="16"/>
                <w:szCs w:val="16"/>
              </w:rPr>
              <w:t xml:space="preserve">No permanent post-contract operational support is committed beyond a documented handover.</w:t>
            </w:r>
          </w:p>
        </w:tc>
        <w:tc>
          <w:tcPr>
            <w:tcW w:type="dxa" w:w="3277"/>
            <w:tcMar>
              <w:top w:type="dxa" w:w="60"/>
              <w:left w:type="dxa" w:w="80"/>
              <w:bottom w:type="dxa" w:w="60"/>
              <w:right w:type="dxa" w:w="80"/>
            </w:tcMar>
            <w:vAlign w:val="top"/>
          </w:tcPr>
          <w:p>
            <w:r>
              <w:rPr>
                <w:b w:val="false"/>
                <w:bCs w:val="false"/>
                <w:color w:val="000000"/>
                <w:sz w:val="16"/>
                <w:szCs w:val="16"/>
              </w:rPr>
              <w:t xml:space="preserve">Section 3.2 MoSCoW Won't Have</w:t>
            </w:r>
          </w:p>
        </w:tc>
      </w:tr>
    </w:tbl>
    <w:p>
      <w:pPr>
        <w:spacing w:after="160"/>
      </w:pPr>
    </w:p>
    <w:p>
      <w:pPr>
        <w:pStyle w:val="Heading2"/>
        <w:spacing w:after="70" w:before="220"/>
      </w:pPr>
      <w:r>
        <w:t xml:space="preserve">Open Assumptions (Pending Weeks 1–2 Confirmation)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6349"/>
        <w:gridCol w:w="3891"/>
      </w:tblGrid>
      <w:tr>
        <w:trPr>
          <w:tblHeader/>
        </w:trPr>
        <w:tc>
          <w:tcPr>
            <w:tcW w:type="dxa" w:w="6349"/>
            <w:shd w:fill="1F3864" w:val="clear"/>
            <w:tcMar>
              <w:top w:type="dxa" w:w="60"/>
              <w:left w:type="dxa" w:w="80"/>
              <w:bottom w:type="dxa" w:w="60"/>
              <w:right w:type="dxa" w:w="80"/>
            </w:tcMar>
            <w:vAlign w:val="top"/>
          </w:tcPr>
          <w:p>
            <w:r>
              <w:rPr>
                <w:b/>
                <w:bCs/>
                <w:color w:val="FFFFFF"/>
                <w:sz w:val="16"/>
                <w:szCs w:val="16"/>
              </w:rPr>
              <w:t xml:space="preserve">Assumption</w:t>
            </w:r>
          </w:p>
        </w:tc>
        <w:tc>
          <w:tcPr>
            <w:tcW w:type="dxa" w:w="3891"/>
            <w:shd w:fill="1F3864" w:val="clear"/>
            <w:tcMar>
              <w:top w:type="dxa" w:w="60"/>
              <w:left w:type="dxa" w:w="80"/>
              <w:bottom w:type="dxa" w:w="60"/>
              <w:right w:type="dxa" w:w="80"/>
            </w:tcMar>
            <w:vAlign w:val="top"/>
          </w:tcPr>
          <w:p>
            <w:r>
              <w:rPr>
                <w:b/>
                <w:bCs/>
                <w:color w:val="FFFFFF"/>
                <w:sz w:val="16"/>
                <w:szCs w:val="16"/>
              </w:rPr>
              <w:t xml:space="preserve">Confirmation Method</w:t>
            </w:r>
          </w:p>
        </w:tc>
      </w:tr>
      <w:tr>
        <w:tc>
          <w:tcPr>
            <w:tcW w:type="dxa" w:w="6349"/>
            <w:tcMar>
              <w:top w:type="dxa" w:w="60"/>
              <w:left w:type="dxa" w:w="80"/>
              <w:bottom w:type="dxa" w:w="60"/>
              <w:right w:type="dxa" w:w="80"/>
            </w:tcMar>
            <w:vAlign w:val="top"/>
          </w:tcPr>
          <w:p>
            <w:r>
              <w:rPr>
                <w:b/>
                <w:bCs/>
                <w:color w:val="000000"/>
                <w:sz w:val="16"/>
                <w:szCs w:val="16"/>
              </w:rPr>
              <w:t xml:space="preserve">All nine business capabilities begin at Level 1 (Ad hoc) maturity, uniformly across all seven states and the FCT.</w:t>
            </w:r>
          </w:p>
        </w:tc>
        <w:tc>
          <w:tcPr>
            <w:tcW w:type="dxa" w:w="3891"/>
            <w:tcMar>
              <w:top w:type="dxa" w:w="60"/>
              <w:left w:type="dxa" w:w="80"/>
              <w:bottom w:type="dxa" w:w="60"/>
              <w:right w:type="dxa" w:w="80"/>
            </w:tcMar>
            <w:vAlign w:val="top"/>
          </w:tcPr>
          <w:p>
            <w:r>
              <w:rPr>
                <w:b w:val="false"/>
                <w:bCs w:val="false"/>
                <w:color w:val="000000"/>
                <w:sz w:val="16"/>
                <w:szCs w:val="16"/>
              </w:rPr>
              <w:t xml:space="preserve">Content and data audit</w:t>
            </w:r>
          </w:p>
        </w:tc>
      </w:tr>
      <w:tr>
        <w:tc>
          <w:tcPr>
            <w:tcW w:type="dxa" w:w="6349"/>
            <w:tcMar>
              <w:top w:type="dxa" w:w="60"/>
              <w:left w:type="dxa" w:w="80"/>
              <w:bottom w:type="dxa" w:w="60"/>
              <w:right w:type="dxa" w:w="80"/>
            </w:tcMar>
            <w:vAlign w:val="top"/>
          </w:tcPr>
          <w:p>
            <w:r>
              <w:rPr>
                <w:b/>
                <w:bCs/>
                <w:color w:val="000000"/>
                <w:sz w:val="16"/>
                <w:szCs w:val="16"/>
              </w:rPr>
              <w:t xml:space="preserve">The client's KM and ICT Units use Microsoft 365 (favouring Azure) rather than Google Workspace (favouring AWS).</w:t>
            </w:r>
          </w:p>
        </w:tc>
        <w:tc>
          <w:tcPr>
            <w:tcW w:type="dxa" w:w="3891"/>
            <w:tcMar>
              <w:top w:type="dxa" w:w="60"/>
              <w:left w:type="dxa" w:w="80"/>
              <w:bottom w:type="dxa" w:w="60"/>
              <w:right w:type="dxa" w:w="80"/>
            </w:tcMar>
            <w:vAlign w:val="top"/>
          </w:tcPr>
          <w:p>
            <w:r>
              <w:rPr>
                <w:b w:val="false"/>
                <w:bCs w:val="false"/>
                <w:color w:val="000000"/>
                <w:sz w:val="16"/>
                <w:szCs w:val="16"/>
              </w:rPr>
              <w:t xml:space="preserve">Stakeholder consultation</w:t>
            </w:r>
          </w:p>
        </w:tc>
      </w:tr>
      <w:tr>
        <w:tc>
          <w:tcPr>
            <w:tcW w:type="dxa" w:w="6349"/>
            <w:tcMar>
              <w:top w:type="dxa" w:w="60"/>
              <w:left w:type="dxa" w:w="80"/>
              <w:bottom w:type="dxa" w:w="60"/>
              <w:right w:type="dxa" w:w="80"/>
            </w:tcMar>
            <w:vAlign w:val="top"/>
          </w:tcPr>
          <w:p>
            <w:r>
              <w:rPr>
                <w:b/>
                <w:bCs/>
                <w:color w:val="000000"/>
                <w:sz w:val="16"/>
                <w:szCs w:val="16"/>
              </w:rPr>
              <w:t xml:space="preserve">Usable, GeoJSON-ready geographic boundary data exists for all seven states and the FCT.</w:t>
            </w:r>
          </w:p>
        </w:tc>
        <w:tc>
          <w:tcPr>
            <w:tcW w:type="dxa" w:w="3891"/>
            <w:tcMar>
              <w:top w:type="dxa" w:w="60"/>
              <w:left w:type="dxa" w:w="80"/>
              <w:bottom w:type="dxa" w:w="60"/>
              <w:right w:type="dxa" w:w="80"/>
            </w:tcMar>
            <w:vAlign w:val="top"/>
          </w:tcPr>
          <w:p>
            <w:r>
              <w:rPr>
                <w:b w:val="false"/>
                <w:bCs w:val="false"/>
                <w:color w:val="000000"/>
                <w:sz w:val="16"/>
                <w:szCs w:val="16"/>
              </w:rPr>
              <w:t xml:space="preserve">Content and data audit</w:t>
            </w:r>
          </w:p>
        </w:tc>
      </w:tr>
      <w:tr>
        <w:tc>
          <w:tcPr>
            <w:tcW w:type="dxa" w:w="6349"/>
            <w:tcMar>
              <w:top w:type="dxa" w:w="60"/>
              <w:left w:type="dxa" w:w="80"/>
              <w:bottom w:type="dxa" w:w="60"/>
              <w:right w:type="dxa" w:w="80"/>
            </w:tcMar>
            <w:vAlign w:val="top"/>
          </w:tcPr>
          <w:p>
            <w:r>
              <w:rPr>
                <w:b/>
                <w:bCs/>
                <w:color w:val="000000"/>
                <w:sz w:val="16"/>
                <w:szCs w:val="16"/>
              </w:rPr>
              <w:t xml:space="preserve">A secondary-region cloud failover is available and affordable within the programme budget.</w:t>
            </w:r>
          </w:p>
        </w:tc>
        <w:tc>
          <w:tcPr>
            <w:tcW w:type="dxa" w:w="3891"/>
            <w:tcMar>
              <w:top w:type="dxa" w:w="60"/>
              <w:left w:type="dxa" w:w="80"/>
              <w:bottom w:type="dxa" w:w="60"/>
              <w:right w:type="dxa" w:w="80"/>
            </w:tcMar>
            <w:vAlign w:val="top"/>
          </w:tcPr>
          <w:p>
            <w:r>
              <w:rPr>
                <w:b w:val="false"/>
                <w:bCs w:val="false"/>
                <w:color w:val="000000"/>
                <w:sz w:val="16"/>
                <w:szCs w:val="16"/>
              </w:rPr>
              <w:t xml:space="preserve">Cloud environment design</w:t>
            </w:r>
          </w:p>
        </w:tc>
      </w:tr>
      <w:tr>
        <w:tc>
          <w:tcPr>
            <w:tcW w:type="dxa" w:w="6349"/>
            <w:tcMar>
              <w:top w:type="dxa" w:w="60"/>
              <w:left w:type="dxa" w:w="80"/>
              <w:bottom w:type="dxa" w:w="60"/>
              <w:right w:type="dxa" w:w="80"/>
            </w:tcMar>
            <w:vAlign w:val="top"/>
          </w:tcPr>
          <w:p>
            <w:r>
              <w:rPr>
                <w:b/>
                <w:bCs/>
                <w:color w:val="000000"/>
                <w:sz w:val="16"/>
                <w:szCs w:val="16"/>
              </w:rPr>
              <w:t xml:space="preserve">The legacy document base, while expected to be disorganized, is not so degraded that OCR and migration cannot achieve adequate quality within the Must Have priority subset.</w:t>
            </w:r>
          </w:p>
        </w:tc>
        <w:tc>
          <w:tcPr>
            <w:tcW w:type="dxa" w:w="3891"/>
            <w:tcMar>
              <w:top w:type="dxa" w:w="60"/>
              <w:left w:type="dxa" w:w="80"/>
              <w:bottom w:type="dxa" w:w="60"/>
              <w:right w:type="dxa" w:w="80"/>
            </w:tcMar>
            <w:vAlign w:val="top"/>
          </w:tcPr>
          <w:p>
            <w:r>
              <w:rPr>
                <w:b w:val="false"/>
                <w:bCs w:val="false"/>
                <w:color w:val="000000"/>
                <w:sz w:val="16"/>
                <w:szCs w:val="16"/>
              </w:rPr>
              <w:t xml:space="preserve">Content and data audit (Migration Stage 1, Audit)</w:t>
            </w:r>
          </w:p>
        </w:tc>
      </w:tr>
    </w:tbl>
    <w:p>
      <w:pPr>
        <w:spacing w:after="160"/>
      </w:pPr>
    </w:p>
    <w:p>
      <w:pPr>
        <w:pStyle w:val="Heading1"/>
        <w:pBdr>
          <w:bottom w:val="single" w:color="1F3864" w:sz="6" w:space="4"/>
        </w:pBdr>
        <w:spacing w:after="130" w:before="320"/>
      </w:pPr>
      <w:r>
        <w:t xml:space="preserve">16.10 Prioritized List of Diagrams to Generate</w:t>
      </w:r>
    </w:p>
    <w:p>
      <w:pPr>
        <w:spacing w:after="150" w:line="276"/>
        <w:jc w:val="both"/>
      </w:pPr>
      <w:r>
        <w:t xml:space="preserve">Nineteen diagrams are specified, grouped into three priority tiers. Antigravity should generate Tier 1 first — these are sufficient for Steering Committee and Enterprise Architecture Review Board review on their own — followed by Tier 2 for the engineering build, then Tier 3 for detailed reference and future reuse.</w:t>
      </w:r>
    </w:p>
    <w:p>
      <w:pPr>
        <w:pStyle w:val="Heading2"/>
        <w:spacing w:after="70" w:before="220"/>
      </w:pPr>
      <w:r>
        <w:t xml:space="preserve">Tier 1 — Critical (Governance and Executive Review)</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10"/>
        <w:gridCol w:w="2253"/>
        <w:gridCol w:w="1843"/>
        <w:gridCol w:w="5734"/>
      </w:tblGrid>
      <w:tr>
        <w:trPr>
          <w:tblHeader/>
        </w:trPr>
        <w:tc>
          <w:tcPr>
            <w:tcW w:type="dxa" w:w="410"/>
            <w:shd w:fill="1F3864" w:val="clear"/>
            <w:tcMar>
              <w:top w:type="dxa" w:w="60"/>
              <w:left w:type="dxa" w:w="80"/>
              <w:bottom w:type="dxa" w:w="60"/>
              <w:right w:type="dxa" w:w="80"/>
            </w:tcMar>
            <w:vAlign w:val="top"/>
          </w:tcPr>
          <w:p>
            <w:r>
              <w:rPr>
                <w:b/>
                <w:bCs/>
                <w:color w:val="FFFFFF"/>
                <w:sz w:val="16"/>
                <w:szCs w:val="16"/>
              </w:rPr>
              <w:t xml:space="preserve">#</w:t>
            </w:r>
          </w:p>
        </w:tc>
        <w:tc>
          <w:tcPr>
            <w:tcW w:type="dxa" w:w="2253"/>
            <w:shd w:fill="1F3864" w:val="clear"/>
            <w:tcMar>
              <w:top w:type="dxa" w:w="60"/>
              <w:left w:type="dxa" w:w="80"/>
              <w:bottom w:type="dxa" w:w="60"/>
              <w:right w:type="dxa" w:w="80"/>
            </w:tcMar>
            <w:vAlign w:val="top"/>
          </w:tcPr>
          <w:p>
            <w:r>
              <w:rPr>
                <w:b/>
                <w:bCs/>
                <w:color w:val="FFFFFF"/>
                <w:sz w:val="16"/>
                <w:szCs w:val="16"/>
              </w:rPr>
              <w:t xml:space="preserve">Diagram</w:t>
            </w:r>
          </w:p>
        </w:tc>
        <w:tc>
          <w:tcPr>
            <w:tcW w:type="dxa" w:w="1843"/>
            <w:shd w:fill="1F3864" w:val="clear"/>
            <w:tcMar>
              <w:top w:type="dxa" w:w="60"/>
              <w:left w:type="dxa" w:w="80"/>
              <w:bottom w:type="dxa" w:w="60"/>
              <w:right w:type="dxa" w:w="80"/>
            </w:tcMar>
            <w:vAlign w:val="top"/>
          </w:tcPr>
          <w:p>
            <w:r>
              <w:rPr>
                <w:b/>
                <w:bCs/>
                <w:color w:val="FFFFFF"/>
                <w:sz w:val="16"/>
                <w:szCs w:val="16"/>
              </w:rPr>
              <w:t xml:space="preserve">Source Section(s)</w:t>
            </w:r>
          </w:p>
        </w:tc>
        <w:tc>
          <w:tcPr>
            <w:tcW w:type="dxa" w:w="5734"/>
            <w:shd w:fill="1F3864" w:val="clear"/>
            <w:tcMar>
              <w:top w:type="dxa" w:w="60"/>
              <w:left w:type="dxa" w:w="80"/>
              <w:bottom w:type="dxa" w:w="60"/>
              <w:right w:type="dxa" w:w="80"/>
            </w:tcMar>
            <w:vAlign w:val="top"/>
          </w:tcPr>
          <w:p>
            <w:r>
              <w:rPr>
                <w:b/>
                <w:bCs/>
                <w:color w:val="FFFFFF"/>
                <w:sz w:val="16"/>
                <w:szCs w:val="16"/>
              </w:rPr>
              <w:t xml:space="preserve">Content to Represent</w:t>
            </w:r>
          </w:p>
        </w:tc>
      </w:tr>
      <w:tr>
        <w:tc>
          <w:tcPr>
            <w:tcW w:type="dxa" w:w="410"/>
            <w:tcMar>
              <w:top w:type="dxa" w:w="60"/>
              <w:left w:type="dxa" w:w="80"/>
              <w:bottom w:type="dxa" w:w="60"/>
              <w:right w:type="dxa" w:w="80"/>
            </w:tcMar>
            <w:vAlign w:val="top"/>
          </w:tcPr>
          <w:p>
            <w:r>
              <w:rPr>
                <w:b/>
                <w:bCs/>
                <w:color w:val="000000"/>
                <w:sz w:val="16"/>
                <w:szCs w:val="16"/>
              </w:rPr>
              <w:t xml:space="preserve">1</w:t>
            </w:r>
          </w:p>
        </w:tc>
        <w:tc>
          <w:tcPr>
            <w:tcW w:type="dxa" w:w="2253"/>
            <w:tcMar>
              <w:top w:type="dxa" w:w="60"/>
              <w:left w:type="dxa" w:w="80"/>
              <w:bottom w:type="dxa" w:w="60"/>
              <w:right w:type="dxa" w:w="80"/>
            </w:tcMar>
            <w:vAlign w:val="top"/>
          </w:tcPr>
          <w:p>
            <w:r>
              <w:rPr>
                <w:b w:val="false"/>
                <w:bCs w:val="false"/>
                <w:color w:val="000000"/>
                <w:sz w:val="16"/>
                <w:szCs w:val="16"/>
              </w:rPr>
              <w:t xml:space="preserve">Enterprise Context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Sections 1–2</w:t>
            </w:r>
          </w:p>
        </w:tc>
        <w:tc>
          <w:tcPr>
            <w:tcW w:type="dxa" w:w="5734"/>
            <w:tcMar>
              <w:top w:type="dxa" w:w="60"/>
              <w:left w:type="dxa" w:w="80"/>
              <w:bottom w:type="dxa" w:w="60"/>
              <w:right w:type="dxa" w:w="80"/>
            </w:tcMar>
            <w:vAlign w:val="top"/>
          </w:tcPr>
          <w:p>
            <w:r>
              <w:rPr>
                <w:b w:val="false"/>
                <w:bCs w:val="false"/>
                <w:color w:val="000000"/>
                <w:sz w:val="16"/>
                <w:szCs w:val="16"/>
              </w:rPr>
              <w:t xml:space="preserve">SAPZ Programme, ESM, CKR, and every external actor — seven states, FCT, NPCO, KMC, three co-financing donors, public/private stakeholders.</w:t>
            </w:r>
          </w:p>
        </w:tc>
      </w:tr>
      <w:tr>
        <w:tc>
          <w:tcPr>
            <w:tcW w:type="dxa" w:w="410"/>
            <w:tcMar>
              <w:top w:type="dxa" w:w="60"/>
              <w:left w:type="dxa" w:w="80"/>
              <w:bottom w:type="dxa" w:w="60"/>
              <w:right w:type="dxa" w:w="80"/>
            </w:tcMar>
            <w:vAlign w:val="top"/>
          </w:tcPr>
          <w:p>
            <w:r>
              <w:rPr>
                <w:b/>
                <w:bCs/>
                <w:color w:val="000000"/>
                <w:sz w:val="16"/>
                <w:szCs w:val="16"/>
              </w:rPr>
              <w:t xml:space="preserve">2</w:t>
            </w:r>
          </w:p>
        </w:tc>
        <w:tc>
          <w:tcPr>
            <w:tcW w:type="dxa" w:w="2253"/>
            <w:tcMar>
              <w:top w:type="dxa" w:w="60"/>
              <w:left w:type="dxa" w:w="80"/>
              <w:bottom w:type="dxa" w:w="60"/>
              <w:right w:type="dxa" w:w="80"/>
            </w:tcMar>
            <w:vAlign w:val="top"/>
          </w:tcPr>
          <w:p>
            <w:r>
              <w:rPr>
                <w:b w:val="false"/>
                <w:bCs w:val="false"/>
                <w:color w:val="000000"/>
                <w:sz w:val="16"/>
                <w:szCs w:val="16"/>
              </w:rPr>
              <w:t xml:space="preserve">Business Capability Map</w:t>
            </w:r>
          </w:p>
        </w:tc>
        <w:tc>
          <w:tcPr>
            <w:tcW w:type="dxa" w:w="1843"/>
            <w:tcMar>
              <w:top w:type="dxa" w:w="60"/>
              <w:left w:type="dxa" w:w="80"/>
              <w:bottom w:type="dxa" w:w="60"/>
              <w:right w:type="dxa" w:w="80"/>
            </w:tcMar>
            <w:vAlign w:val="top"/>
          </w:tcPr>
          <w:p>
            <w:r>
              <w:rPr>
                <w:b w:val="false"/>
                <w:bCs w:val="false"/>
                <w:color w:val="000000"/>
                <w:sz w:val="16"/>
                <w:szCs w:val="16"/>
              </w:rPr>
              <w:t xml:space="preserve">Section 2.3–2.4</w:t>
            </w:r>
          </w:p>
        </w:tc>
        <w:tc>
          <w:tcPr>
            <w:tcW w:type="dxa" w:w="5734"/>
            <w:tcMar>
              <w:top w:type="dxa" w:w="60"/>
              <w:left w:type="dxa" w:w="80"/>
              <w:bottom w:type="dxa" w:w="60"/>
              <w:right w:type="dxa" w:w="80"/>
            </w:tcMar>
            <w:vAlign w:val="top"/>
          </w:tcPr>
          <w:p>
            <w:r>
              <w:rPr>
                <w:b w:val="false"/>
                <w:bCs w:val="false"/>
                <w:color w:val="000000"/>
                <w:sz w:val="16"/>
                <w:szCs w:val="16"/>
              </w:rPr>
              <w:t xml:space="preserve">Nine Level-1 capabilities and their Level-2 decompositions, colour-coded by current-to-target maturity heat map.</w:t>
            </w:r>
          </w:p>
        </w:tc>
      </w:tr>
      <w:tr>
        <w:tc>
          <w:tcPr>
            <w:tcW w:type="dxa" w:w="410"/>
            <w:tcMar>
              <w:top w:type="dxa" w:w="60"/>
              <w:left w:type="dxa" w:w="80"/>
              <w:bottom w:type="dxa" w:w="60"/>
              <w:right w:type="dxa" w:w="80"/>
            </w:tcMar>
            <w:vAlign w:val="top"/>
          </w:tcPr>
          <w:p>
            <w:r>
              <w:rPr>
                <w:b/>
                <w:bCs/>
                <w:color w:val="000000"/>
                <w:sz w:val="16"/>
                <w:szCs w:val="16"/>
              </w:rPr>
              <w:t xml:space="preserve">3</w:t>
            </w:r>
          </w:p>
        </w:tc>
        <w:tc>
          <w:tcPr>
            <w:tcW w:type="dxa" w:w="2253"/>
            <w:tcMar>
              <w:top w:type="dxa" w:w="60"/>
              <w:left w:type="dxa" w:w="80"/>
              <w:bottom w:type="dxa" w:w="60"/>
              <w:right w:type="dxa" w:w="80"/>
            </w:tcMar>
            <w:vAlign w:val="top"/>
          </w:tcPr>
          <w:p>
            <w:r>
              <w:rPr>
                <w:b w:val="false"/>
                <w:bCs w:val="false"/>
                <w:color w:val="000000"/>
                <w:sz w:val="16"/>
                <w:szCs w:val="16"/>
              </w:rPr>
              <w:t xml:space="preserve">Application Architecture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3.3, 3.5</w:t>
            </w:r>
          </w:p>
        </w:tc>
        <w:tc>
          <w:tcPr>
            <w:tcW w:type="dxa" w:w="5734"/>
            <w:tcMar>
              <w:top w:type="dxa" w:w="60"/>
              <w:left w:type="dxa" w:w="80"/>
              <w:bottom w:type="dxa" w:w="60"/>
              <w:right w:type="dxa" w:w="80"/>
            </w:tcMar>
            <w:vAlign w:val="top"/>
          </w:tcPr>
          <w:p>
            <w:r>
              <w:rPr>
                <w:b w:val="false"/>
                <w:bCs w:val="false"/>
                <w:color w:val="000000"/>
                <w:sz w:val="16"/>
                <w:szCs w:val="16"/>
              </w:rPr>
              <w:t xml:space="preserve">Ten applications in the portfolio and their dependency relationships (shared services hub pattern).</w:t>
            </w:r>
          </w:p>
        </w:tc>
      </w:tr>
      <w:tr>
        <w:tc>
          <w:tcPr>
            <w:tcW w:type="dxa" w:w="410"/>
            <w:tcMar>
              <w:top w:type="dxa" w:w="60"/>
              <w:left w:type="dxa" w:w="80"/>
              <w:bottom w:type="dxa" w:w="60"/>
              <w:right w:type="dxa" w:w="80"/>
            </w:tcMar>
            <w:vAlign w:val="top"/>
          </w:tcPr>
          <w:p>
            <w:r>
              <w:rPr>
                <w:b/>
                <w:bCs/>
                <w:color w:val="000000"/>
                <w:sz w:val="16"/>
                <w:szCs w:val="16"/>
              </w:rPr>
              <w:t xml:space="preserve">4</w:t>
            </w:r>
          </w:p>
        </w:tc>
        <w:tc>
          <w:tcPr>
            <w:tcW w:type="dxa" w:w="2253"/>
            <w:tcMar>
              <w:top w:type="dxa" w:w="60"/>
              <w:left w:type="dxa" w:w="80"/>
              <w:bottom w:type="dxa" w:w="60"/>
              <w:right w:type="dxa" w:w="80"/>
            </w:tcMar>
            <w:vAlign w:val="top"/>
          </w:tcPr>
          <w:p>
            <w:r>
              <w:rPr>
                <w:b w:val="false"/>
                <w:bCs w:val="false"/>
                <w:color w:val="000000"/>
                <w:sz w:val="16"/>
                <w:szCs w:val="16"/>
              </w:rPr>
              <w:t xml:space="preserve">Data Architecture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6.3–6.4</w:t>
            </w:r>
          </w:p>
        </w:tc>
        <w:tc>
          <w:tcPr>
            <w:tcW w:type="dxa" w:w="5734"/>
            <w:tcMar>
              <w:top w:type="dxa" w:w="60"/>
              <w:left w:type="dxa" w:w="80"/>
              <w:bottom w:type="dxa" w:w="60"/>
              <w:right w:type="dxa" w:w="80"/>
            </w:tcMar>
            <w:vAlign w:val="top"/>
          </w:tcPr>
          <w:p>
            <w:r>
              <w:rPr>
                <w:b w:val="false"/>
                <w:bCs w:val="false"/>
                <w:color w:val="000000"/>
                <w:sz w:val="16"/>
                <w:szCs w:val="16"/>
              </w:rPr>
              <w:t xml:space="preserve">Eight data domains mapped to five physical data store classes and the pipelines connecting them.</w:t>
            </w:r>
          </w:p>
        </w:tc>
      </w:tr>
      <w:tr>
        <w:tc>
          <w:tcPr>
            <w:tcW w:type="dxa" w:w="410"/>
            <w:tcMar>
              <w:top w:type="dxa" w:w="60"/>
              <w:left w:type="dxa" w:w="80"/>
              <w:bottom w:type="dxa" w:w="60"/>
              <w:right w:type="dxa" w:w="80"/>
            </w:tcMar>
            <w:vAlign w:val="top"/>
          </w:tcPr>
          <w:p>
            <w:r>
              <w:rPr>
                <w:b/>
                <w:bCs/>
                <w:color w:val="000000"/>
                <w:sz w:val="16"/>
                <w:szCs w:val="16"/>
              </w:rPr>
              <w:t xml:space="preserve">5</w:t>
            </w:r>
          </w:p>
        </w:tc>
        <w:tc>
          <w:tcPr>
            <w:tcW w:type="dxa" w:w="2253"/>
            <w:tcMar>
              <w:top w:type="dxa" w:w="60"/>
              <w:left w:type="dxa" w:w="80"/>
              <w:bottom w:type="dxa" w:w="60"/>
              <w:right w:type="dxa" w:w="80"/>
            </w:tcMar>
            <w:vAlign w:val="top"/>
          </w:tcPr>
          <w:p>
            <w:r>
              <w:rPr>
                <w:b w:val="false"/>
                <w:bCs w:val="false"/>
                <w:color w:val="000000"/>
                <w:sz w:val="16"/>
                <w:szCs w:val="16"/>
              </w:rPr>
              <w:t xml:space="preserve">Security Architecture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8</w:t>
            </w:r>
          </w:p>
        </w:tc>
        <w:tc>
          <w:tcPr>
            <w:tcW w:type="dxa" w:w="5734"/>
            <w:tcMar>
              <w:top w:type="dxa" w:w="60"/>
              <w:left w:type="dxa" w:w="80"/>
              <w:bottom w:type="dxa" w:w="60"/>
              <w:right w:type="dxa" w:w="80"/>
            </w:tcMar>
            <w:vAlign w:val="top"/>
          </w:tcPr>
          <w:p>
            <w:r>
              <w:rPr>
                <w:b w:val="false"/>
                <w:bCs w:val="false"/>
                <w:color w:val="000000"/>
                <w:sz w:val="16"/>
                <w:szCs w:val="16"/>
              </w:rPr>
              <w:t xml:space="preserve">Zero Trust boundary, ESM/CKR micro-segmentation, RBAC/ABAC layers, and the encryption standard by layer.</w:t>
            </w:r>
          </w:p>
        </w:tc>
      </w:tr>
      <w:tr>
        <w:tc>
          <w:tcPr>
            <w:tcW w:type="dxa" w:w="410"/>
            <w:tcMar>
              <w:top w:type="dxa" w:w="60"/>
              <w:left w:type="dxa" w:w="80"/>
              <w:bottom w:type="dxa" w:w="60"/>
              <w:right w:type="dxa" w:w="80"/>
            </w:tcMar>
            <w:vAlign w:val="top"/>
          </w:tcPr>
          <w:p>
            <w:r>
              <w:rPr>
                <w:b/>
                <w:bCs/>
                <w:color w:val="000000"/>
                <w:sz w:val="16"/>
                <w:szCs w:val="16"/>
              </w:rPr>
              <w:t xml:space="preserve">6</w:t>
            </w:r>
          </w:p>
        </w:tc>
        <w:tc>
          <w:tcPr>
            <w:tcW w:type="dxa" w:w="2253"/>
            <w:tcMar>
              <w:top w:type="dxa" w:w="60"/>
              <w:left w:type="dxa" w:w="80"/>
              <w:bottom w:type="dxa" w:w="60"/>
              <w:right w:type="dxa" w:w="80"/>
            </w:tcMar>
            <w:vAlign w:val="top"/>
          </w:tcPr>
          <w:p>
            <w:r>
              <w:rPr>
                <w:b w:val="false"/>
                <w:bCs w:val="false"/>
                <w:color w:val="000000"/>
                <w:sz w:val="16"/>
                <w:szCs w:val="16"/>
              </w:rPr>
              <w:t xml:space="preserve">Deployment Architecture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13.2, Section 10.13</w:t>
            </w:r>
          </w:p>
        </w:tc>
        <w:tc>
          <w:tcPr>
            <w:tcW w:type="dxa" w:w="5734"/>
            <w:tcMar>
              <w:top w:type="dxa" w:w="60"/>
              <w:left w:type="dxa" w:w="80"/>
              <w:bottom w:type="dxa" w:w="60"/>
              <w:right w:type="dxa" w:w="80"/>
            </w:tcMar>
            <w:vAlign w:val="top"/>
          </w:tcPr>
          <w:p>
            <w:r>
              <w:rPr>
                <w:b w:val="false"/>
                <w:bCs w:val="false"/>
                <w:color w:val="000000"/>
                <w:sz w:val="16"/>
                <w:szCs w:val="16"/>
              </w:rPr>
              <w:t xml:space="preserve">The six-layer build sequence mapped onto the recommended technology stack.</w:t>
            </w:r>
          </w:p>
        </w:tc>
      </w:tr>
    </w:tbl>
    <w:p>
      <w:pPr>
        <w:spacing w:after="160"/>
      </w:pPr>
    </w:p>
    <w:p>
      <w:pPr>
        <w:pStyle w:val="Heading2"/>
        <w:spacing w:after="70" w:before="220"/>
      </w:pPr>
      <w:r>
        <w:t xml:space="preserve">Tier 2 — High Priority (Engineering Build)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10"/>
        <w:gridCol w:w="2253"/>
        <w:gridCol w:w="1843"/>
        <w:gridCol w:w="5734"/>
      </w:tblGrid>
      <w:tr>
        <w:trPr>
          <w:tblHeader/>
        </w:trPr>
        <w:tc>
          <w:tcPr>
            <w:tcW w:type="dxa" w:w="410"/>
            <w:shd w:fill="1F3864" w:val="clear"/>
            <w:tcMar>
              <w:top w:type="dxa" w:w="60"/>
              <w:left w:type="dxa" w:w="80"/>
              <w:bottom w:type="dxa" w:w="60"/>
              <w:right w:type="dxa" w:w="80"/>
            </w:tcMar>
            <w:vAlign w:val="top"/>
          </w:tcPr>
          <w:p>
            <w:r>
              <w:rPr>
                <w:b/>
                <w:bCs/>
                <w:color w:val="FFFFFF"/>
                <w:sz w:val="16"/>
                <w:szCs w:val="16"/>
              </w:rPr>
              <w:t xml:space="preserve">#</w:t>
            </w:r>
          </w:p>
        </w:tc>
        <w:tc>
          <w:tcPr>
            <w:tcW w:type="dxa" w:w="2253"/>
            <w:shd w:fill="1F3864" w:val="clear"/>
            <w:tcMar>
              <w:top w:type="dxa" w:w="60"/>
              <w:left w:type="dxa" w:w="80"/>
              <w:bottom w:type="dxa" w:w="60"/>
              <w:right w:type="dxa" w:w="80"/>
            </w:tcMar>
            <w:vAlign w:val="top"/>
          </w:tcPr>
          <w:p>
            <w:r>
              <w:rPr>
                <w:b/>
                <w:bCs/>
                <w:color w:val="FFFFFF"/>
                <w:sz w:val="16"/>
                <w:szCs w:val="16"/>
              </w:rPr>
              <w:t xml:space="preserve">Diagram</w:t>
            </w:r>
          </w:p>
        </w:tc>
        <w:tc>
          <w:tcPr>
            <w:tcW w:type="dxa" w:w="1843"/>
            <w:shd w:fill="1F3864" w:val="clear"/>
            <w:tcMar>
              <w:top w:type="dxa" w:w="60"/>
              <w:left w:type="dxa" w:w="80"/>
              <w:bottom w:type="dxa" w:w="60"/>
              <w:right w:type="dxa" w:w="80"/>
            </w:tcMar>
            <w:vAlign w:val="top"/>
          </w:tcPr>
          <w:p>
            <w:r>
              <w:rPr>
                <w:b/>
                <w:bCs/>
                <w:color w:val="FFFFFF"/>
                <w:sz w:val="16"/>
                <w:szCs w:val="16"/>
              </w:rPr>
              <w:t xml:space="preserve">Source Section(s)</w:t>
            </w:r>
          </w:p>
        </w:tc>
        <w:tc>
          <w:tcPr>
            <w:tcW w:type="dxa" w:w="5734"/>
            <w:shd w:fill="1F3864" w:val="clear"/>
            <w:tcMar>
              <w:top w:type="dxa" w:w="60"/>
              <w:left w:type="dxa" w:w="80"/>
              <w:bottom w:type="dxa" w:w="60"/>
              <w:right w:type="dxa" w:w="80"/>
            </w:tcMar>
            <w:vAlign w:val="top"/>
          </w:tcPr>
          <w:p>
            <w:r>
              <w:rPr>
                <w:b/>
                <w:bCs/>
                <w:color w:val="FFFFFF"/>
                <w:sz w:val="16"/>
                <w:szCs w:val="16"/>
              </w:rPr>
              <w:t xml:space="preserve">Content to Represent</w:t>
            </w:r>
          </w:p>
        </w:tc>
      </w:tr>
      <w:tr>
        <w:tc>
          <w:tcPr>
            <w:tcW w:type="dxa" w:w="410"/>
            <w:tcMar>
              <w:top w:type="dxa" w:w="60"/>
              <w:left w:type="dxa" w:w="80"/>
              <w:bottom w:type="dxa" w:w="60"/>
              <w:right w:type="dxa" w:w="80"/>
            </w:tcMar>
            <w:vAlign w:val="top"/>
          </w:tcPr>
          <w:p>
            <w:r>
              <w:rPr>
                <w:b/>
                <w:bCs/>
                <w:color w:val="000000"/>
                <w:sz w:val="16"/>
                <w:szCs w:val="16"/>
              </w:rPr>
              <w:t xml:space="preserve">7</w:t>
            </w:r>
          </w:p>
        </w:tc>
        <w:tc>
          <w:tcPr>
            <w:tcW w:type="dxa" w:w="2253"/>
            <w:tcMar>
              <w:top w:type="dxa" w:w="60"/>
              <w:left w:type="dxa" w:w="80"/>
              <w:bottom w:type="dxa" w:w="60"/>
              <w:right w:type="dxa" w:w="80"/>
            </w:tcMar>
            <w:vAlign w:val="top"/>
          </w:tcPr>
          <w:p>
            <w:r>
              <w:rPr>
                <w:b w:val="false"/>
                <w:bCs w:val="false"/>
                <w:color w:val="000000"/>
                <w:sz w:val="16"/>
                <w:szCs w:val="16"/>
              </w:rPr>
              <w:t xml:space="preserve">Integration Architecture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7.2</w:t>
            </w:r>
          </w:p>
        </w:tc>
        <w:tc>
          <w:tcPr>
            <w:tcW w:type="dxa" w:w="5734"/>
            <w:tcMar>
              <w:top w:type="dxa" w:w="60"/>
              <w:left w:type="dxa" w:w="80"/>
              <w:bottom w:type="dxa" w:w="60"/>
              <w:right w:type="dxa" w:w="80"/>
            </w:tcMar>
            <w:vAlign w:val="top"/>
          </w:tcPr>
          <w:p>
            <w:r>
              <w:rPr>
                <w:b w:val="false"/>
                <w:bCs w:val="false"/>
                <w:color w:val="000000"/>
                <w:sz w:val="16"/>
                <w:szCs w:val="16"/>
              </w:rPr>
              <w:t xml:space="preserve">Hub-and-spoke topology; eleven integration points through the single Integration &amp; API Gateway.</w:t>
            </w:r>
          </w:p>
        </w:tc>
      </w:tr>
      <w:tr>
        <w:tc>
          <w:tcPr>
            <w:tcW w:type="dxa" w:w="410"/>
            <w:tcMar>
              <w:top w:type="dxa" w:w="60"/>
              <w:left w:type="dxa" w:w="80"/>
              <w:bottom w:type="dxa" w:w="60"/>
              <w:right w:type="dxa" w:w="80"/>
            </w:tcMar>
            <w:vAlign w:val="top"/>
          </w:tcPr>
          <w:p>
            <w:r>
              <w:rPr>
                <w:b/>
                <w:bCs/>
                <w:color w:val="000000"/>
                <w:sz w:val="16"/>
                <w:szCs w:val="16"/>
              </w:rPr>
              <w:t xml:space="preserve">8</w:t>
            </w:r>
          </w:p>
        </w:tc>
        <w:tc>
          <w:tcPr>
            <w:tcW w:type="dxa" w:w="2253"/>
            <w:tcMar>
              <w:top w:type="dxa" w:w="60"/>
              <w:left w:type="dxa" w:w="80"/>
              <w:bottom w:type="dxa" w:w="60"/>
              <w:right w:type="dxa" w:w="80"/>
            </w:tcMar>
            <w:vAlign w:val="top"/>
          </w:tcPr>
          <w:p>
            <w:r>
              <w:rPr>
                <w:b w:val="false"/>
                <w:bCs w:val="false"/>
                <w:color w:val="000000"/>
                <w:sz w:val="16"/>
                <w:szCs w:val="16"/>
              </w:rPr>
              <w:t xml:space="preserve">Technology Architecture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10.13</w:t>
            </w:r>
          </w:p>
        </w:tc>
        <w:tc>
          <w:tcPr>
            <w:tcW w:type="dxa" w:w="5734"/>
            <w:tcMar>
              <w:top w:type="dxa" w:w="60"/>
              <w:left w:type="dxa" w:w="80"/>
              <w:bottom w:type="dxa" w:w="60"/>
              <w:right w:type="dxa" w:w="80"/>
            </w:tcMar>
            <w:vAlign w:val="top"/>
          </w:tcPr>
          <w:p>
            <w:r>
              <w:rPr>
                <w:b w:val="false"/>
                <w:bCs w:val="false"/>
                <w:color w:val="000000"/>
                <w:sz w:val="16"/>
                <w:szCs w:val="16"/>
              </w:rPr>
              <w:t xml:space="preserve">The fourteen-layer recommended stack, from operating system through BI/reporting.</w:t>
            </w:r>
          </w:p>
        </w:tc>
      </w:tr>
      <w:tr>
        <w:tc>
          <w:tcPr>
            <w:tcW w:type="dxa" w:w="410"/>
            <w:tcMar>
              <w:top w:type="dxa" w:w="60"/>
              <w:left w:type="dxa" w:w="80"/>
              <w:bottom w:type="dxa" w:w="60"/>
              <w:right w:type="dxa" w:w="80"/>
            </w:tcMar>
            <w:vAlign w:val="top"/>
          </w:tcPr>
          <w:p>
            <w:r>
              <w:rPr>
                <w:b/>
                <w:bCs/>
                <w:color w:val="000000"/>
                <w:sz w:val="16"/>
                <w:szCs w:val="16"/>
              </w:rPr>
              <w:t xml:space="preserve">9</w:t>
            </w:r>
          </w:p>
        </w:tc>
        <w:tc>
          <w:tcPr>
            <w:tcW w:type="dxa" w:w="2253"/>
            <w:tcMar>
              <w:top w:type="dxa" w:w="60"/>
              <w:left w:type="dxa" w:w="80"/>
              <w:bottom w:type="dxa" w:w="60"/>
              <w:right w:type="dxa" w:w="80"/>
            </w:tcMar>
            <w:vAlign w:val="top"/>
          </w:tcPr>
          <w:p>
            <w:r>
              <w:rPr>
                <w:b w:val="false"/>
                <w:bCs w:val="false"/>
                <w:color w:val="000000"/>
                <w:sz w:val="16"/>
                <w:szCs w:val="16"/>
              </w:rPr>
              <w:t xml:space="preserve">Cloud Architecture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10.7, Section 8.10</w:t>
            </w:r>
          </w:p>
        </w:tc>
        <w:tc>
          <w:tcPr>
            <w:tcW w:type="dxa" w:w="5734"/>
            <w:tcMar>
              <w:top w:type="dxa" w:w="60"/>
              <w:left w:type="dxa" w:w="80"/>
              <w:bottom w:type="dxa" w:w="60"/>
              <w:right w:type="dxa" w:w="80"/>
            </w:tcMar>
            <w:vAlign w:val="top"/>
          </w:tcPr>
          <w:p>
            <w:r>
              <w:rPr>
                <w:b w:val="false"/>
                <w:bCs w:val="false"/>
                <w:color w:val="000000"/>
                <w:sz w:val="16"/>
                <w:szCs w:val="16"/>
              </w:rPr>
              <w:t xml:space="preserve">Azure (or AWS) resource layout, including the conditional recommendation logic and DR secondary-region placement.</w:t>
            </w:r>
          </w:p>
        </w:tc>
      </w:tr>
      <w:tr>
        <w:tc>
          <w:tcPr>
            <w:tcW w:type="dxa" w:w="410"/>
            <w:tcMar>
              <w:top w:type="dxa" w:w="60"/>
              <w:left w:type="dxa" w:w="80"/>
              <w:bottom w:type="dxa" w:w="60"/>
              <w:right w:type="dxa" w:w="80"/>
            </w:tcMar>
            <w:vAlign w:val="top"/>
          </w:tcPr>
          <w:p>
            <w:r>
              <w:rPr>
                <w:b/>
                <w:bCs/>
                <w:color w:val="000000"/>
                <w:sz w:val="16"/>
                <w:szCs w:val="16"/>
              </w:rPr>
              <w:t xml:space="preserve">10</w:t>
            </w:r>
          </w:p>
        </w:tc>
        <w:tc>
          <w:tcPr>
            <w:tcW w:type="dxa" w:w="2253"/>
            <w:tcMar>
              <w:top w:type="dxa" w:w="60"/>
              <w:left w:type="dxa" w:w="80"/>
              <w:bottom w:type="dxa" w:w="60"/>
              <w:right w:type="dxa" w:w="80"/>
            </w:tcMar>
            <w:vAlign w:val="top"/>
          </w:tcPr>
          <w:p>
            <w:r>
              <w:rPr>
                <w:b w:val="false"/>
                <w:bCs w:val="false"/>
                <w:color w:val="000000"/>
                <w:sz w:val="16"/>
                <w:szCs w:val="16"/>
              </w:rPr>
              <w:t xml:space="preserve">Network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8.4</w:t>
            </w:r>
          </w:p>
        </w:tc>
        <w:tc>
          <w:tcPr>
            <w:tcW w:type="dxa" w:w="5734"/>
            <w:tcMar>
              <w:top w:type="dxa" w:w="60"/>
              <w:left w:type="dxa" w:w="80"/>
              <w:bottom w:type="dxa" w:w="60"/>
              <w:right w:type="dxa" w:w="80"/>
            </w:tcMar>
            <w:vAlign w:val="top"/>
          </w:tcPr>
          <w:p>
            <w:r>
              <w:rPr>
                <w:b w:val="false"/>
                <w:bCs w:val="false"/>
                <w:color w:val="000000"/>
                <w:sz w:val="16"/>
                <w:szCs w:val="16"/>
              </w:rPr>
              <w:t xml:space="preserve">Micro-segmented network boundary between ESM and CKR; per-request verification points.</w:t>
            </w:r>
          </w:p>
        </w:tc>
      </w:tr>
      <w:tr>
        <w:tc>
          <w:tcPr>
            <w:tcW w:type="dxa" w:w="410"/>
            <w:tcMar>
              <w:top w:type="dxa" w:w="60"/>
              <w:left w:type="dxa" w:w="80"/>
              <w:bottom w:type="dxa" w:w="60"/>
              <w:right w:type="dxa" w:w="80"/>
            </w:tcMar>
            <w:vAlign w:val="top"/>
          </w:tcPr>
          <w:p>
            <w:r>
              <w:rPr>
                <w:b/>
                <w:bCs/>
                <w:color w:val="000000"/>
                <w:sz w:val="16"/>
                <w:szCs w:val="16"/>
              </w:rPr>
              <w:t xml:space="preserve">11</w:t>
            </w:r>
          </w:p>
        </w:tc>
        <w:tc>
          <w:tcPr>
            <w:tcW w:type="dxa" w:w="2253"/>
            <w:tcMar>
              <w:top w:type="dxa" w:w="60"/>
              <w:left w:type="dxa" w:w="80"/>
              <w:bottom w:type="dxa" w:w="60"/>
              <w:right w:type="dxa" w:w="80"/>
            </w:tcMar>
            <w:vAlign w:val="top"/>
          </w:tcPr>
          <w:p>
            <w:r>
              <w:rPr>
                <w:b w:val="false"/>
                <w:bCs w:val="false"/>
                <w:color w:val="000000"/>
                <w:sz w:val="16"/>
                <w:szCs w:val="16"/>
              </w:rPr>
              <w:t xml:space="preserve">Infrastructure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6.4, Section 10.6</w:t>
            </w:r>
          </w:p>
        </w:tc>
        <w:tc>
          <w:tcPr>
            <w:tcW w:type="dxa" w:w="5734"/>
            <w:tcMar>
              <w:top w:type="dxa" w:w="60"/>
              <w:left w:type="dxa" w:w="80"/>
              <w:bottom w:type="dxa" w:w="60"/>
              <w:right w:type="dxa" w:w="80"/>
            </w:tcMar>
            <w:vAlign w:val="top"/>
          </w:tcPr>
          <w:p>
            <w:r>
              <w:rPr>
                <w:b w:val="false"/>
                <w:bCs w:val="false"/>
                <w:color w:val="000000"/>
                <w:sz w:val="16"/>
                <w:szCs w:val="16"/>
              </w:rPr>
              <w:t xml:space="preserve">Physical data stores, Docker containerization, and the managed container orchestration layer.</w:t>
            </w:r>
          </w:p>
        </w:tc>
      </w:tr>
      <w:tr>
        <w:tc>
          <w:tcPr>
            <w:tcW w:type="dxa" w:w="410"/>
            <w:tcMar>
              <w:top w:type="dxa" w:w="60"/>
              <w:left w:type="dxa" w:w="80"/>
              <w:bottom w:type="dxa" w:w="60"/>
              <w:right w:type="dxa" w:w="80"/>
            </w:tcMar>
            <w:vAlign w:val="top"/>
          </w:tcPr>
          <w:p>
            <w:r>
              <w:rPr>
                <w:b/>
                <w:bCs/>
                <w:color w:val="000000"/>
                <w:sz w:val="16"/>
                <w:szCs w:val="16"/>
              </w:rPr>
              <w:t xml:space="preserve">12</w:t>
            </w:r>
          </w:p>
        </w:tc>
        <w:tc>
          <w:tcPr>
            <w:tcW w:type="dxa" w:w="2253"/>
            <w:tcMar>
              <w:top w:type="dxa" w:w="60"/>
              <w:left w:type="dxa" w:w="80"/>
              <w:bottom w:type="dxa" w:w="60"/>
              <w:right w:type="dxa" w:w="80"/>
            </w:tcMar>
            <w:vAlign w:val="top"/>
          </w:tcPr>
          <w:p>
            <w:r>
              <w:rPr>
                <w:b w:val="false"/>
                <w:bCs w:val="false"/>
                <w:color w:val="000000"/>
                <w:sz w:val="16"/>
                <w:szCs w:val="16"/>
              </w:rPr>
              <w:t xml:space="preserve">UML Component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3.3, Section 4.1</w:t>
            </w:r>
          </w:p>
        </w:tc>
        <w:tc>
          <w:tcPr>
            <w:tcW w:type="dxa" w:w="5734"/>
            <w:tcMar>
              <w:top w:type="dxa" w:w="60"/>
              <w:left w:type="dxa" w:w="80"/>
              <w:bottom w:type="dxa" w:w="60"/>
              <w:right w:type="dxa" w:w="80"/>
            </w:tcMar>
            <w:vAlign w:val="top"/>
          </w:tcPr>
          <w:p>
            <w:r>
              <w:rPr>
                <w:b w:val="false"/>
                <w:bCs w:val="false"/>
                <w:color w:val="000000"/>
                <w:sz w:val="16"/>
                <w:szCs w:val="16"/>
              </w:rPr>
              <w:t xml:space="preserve">Ten applications decomposed into their twenty-eight hosted functional modules.</w:t>
            </w:r>
          </w:p>
        </w:tc>
      </w:tr>
      <w:tr>
        <w:tc>
          <w:tcPr>
            <w:tcW w:type="dxa" w:w="410"/>
            <w:tcMar>
              <w:top w:type="dxa" w:w="60"/>
              <w:left w:type="dxa" w:w="80"/>
              <w:bottom w:type="dxa" w:w="60"/>
              <w:right w:type="dxa" w:w="80"/>
            </w:tcMar>
            <w:vAlign w:val="top"/>
          </w:tcPr>
          <w:p>
            <w:r>
              <w:rPr>
                <w:b/>
                <w:bCs/>
                <w:color w:val="000000"/>
                <w:sz w:val="16"/>
                <w:szCs w:val="16"/>
              </w:rPr>
              <w:t xml:space="preserve">13</w:t>
            </w:r>
          </w:p>
        </w:tc>
        <w:tc>
          <w:tcPr>
            <w:tcW w:type="dxa" w:w="2253"/>
            <w:tcMar>
              <w:top w:type="dxa" w:w="60"/>
              <w:left w:type="dxa" w:w="80"/>
              <w:bottom w:type="dxa" w:w="60"/>
              <w:right w:type="dxa" w:w="80"/>
            </w:tcMar>
            <w:vAlign w:val="top"/>
          </w:tcPr>
          <w:p>
            <w:r>
              <w:rPr>
                <w:b w:val="false"/>
                <w:bCs w:val="false"/>
                <w:color w:val="000000"/>
                <w:sz w:val="16"/>
                <w:szCs w:val="16"/>
              </w:rPr>
              <w:t xml:space="preserve">Workflow Diagrams</w:t>
            </w:r>
          </w:p>
        </w:tc>
        <w:tc>
          <w:tcPr>
            <w:tcW w:type="dxa" w:w="1843"/>
            <w:tcMar>
              <w:top w:type="dxa" w:w="60"/>
              <w:left w:type="dxa" w:w="80"/>
              <w:bottom w:type="dxa" w:w="60"/>
              <w:right w:type="dxa" w:w="80"/>
            </w:tcMar>
            <w:vAlign w:val="top"/>
          </w:tcPr>
          <w:p>
            <w:r>
              <w:rPr>
                <w:b w:val="false"/>
                <w:bCs w:val="false"/>
                <w:color w:val="000000"/>
                <w:sz w:val="16"/>
                <w:szCs w:val="16"/>
              </w:rPr>
              <w:t xml:space="preserve">Section 2.5</w:t>
            </w:r>
          </w:p>
        </w:tc>
        <w:tc>
          <w:tcPr>
            <w:tcW w:type="dxa" w:w="5734"/>
            <w:tcMar>
              <w:top w:type="dxa" w:w="60"/>
              <w:left w:type="dxa" w:w="80"/>
              <w:bottom w:type="dxa" w:w="60"/>
              <w:right w:type="dxa" w:w="80"/>
            </w:tcMar>
            <w:vAlign w:val="top"/>
          </w:tcPr>
          <w:p>
            <w:r>
              <w:rPr>
                <w:b w:val="false"/>
                <w:bCs w:val="false"/>
                <w:color w:val="000000"/>
                <w:sz w:val="16"/>
                <w:szCs w:val="16"/>
              </w:rPr>
              <w:t xml:space="preserve">Swimlane detail for Approval Workflow and Document Lifecycle, the two highest-value processes.</w:t>
            </w:r>
          </w:p>
        </w:tc>
      </w:tr>
      <w:tr>
        <w:tc>
          <w:tcPr>
            <w:tcW w:type="dxa" w:w="410"/>
            <w:tcMar>
              <w:top w:type="dxa" w:w="60"/>
              <w:left w:type="dxa" w:w="80"/>
              <w:bottom w:type="dxa" w:w="60"/>
              <w:right w:type="dxa" w:w="80"/>
            </w:tcMar>
            <w:vAlign w:val="top"/>
          </w:tcPr>
          <w:p>
            <w:r>
              <w:rPr>
                <w:b/>
                <w:bCs/>
                <w:color w:val="000000"/>
                <w:sz w:val="16"/>
                <w:szCs w:val="16"/>
              </w:rPr>
              <w:t xml:space="preserve">14</w:t>
            </w:r>
          </w:p>
        </w:tc>
        <w:tc>
          <w:tcPr>
            <w:tcW w:type="dxa" w:w="2253"/>
            <w:tcMar>
              <w:top w:type="dxa" w:w="60"/>
              <w:left w:type="dxa" w:w="80"/>
              <w:bottom w:type="dxa" w:w="60"/>
              <w:right w:type="dxa" w:w="80"/>
            </w:tcMar>
            <w:vAlign w:val="top"/>
          </w:tcPr>
          <w:p>
            <w:r>
              <w:rPr>
                <w:b w:val="false"/>
                <w:bCs w:val="false"/>
                <w:color w:val="000000"/>
                <w:sz w:val="16"/>
                <w:szCs w:val="16"/>
              </w:rPr>
              <w:t xml:space="preserve">Information Flow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5.12</w:t>
            </w:r>
          </w:p>
        </w:tc>
        <w:tc>
          <w:tcPr>
            <w:tcW w:type="dxa" w:w="5734"/>
            <w:tcMar>
              <w:top w:type="dxa" w:w="60"/>
              <w:left w:type="dxa" w:w="80"/>
              <w:bottom w:type="dxa" w:w="60"/>
              <w:right w:type="dxa" w:w="80"/>
            </w:tcMar>
            <w:vAlign w:val="top"/>
          </w:tcPr>
          <w:p>
            <w:r>
              <w:rPr>
                <w:b w:val="false"/>
                <w:bCs w:val="false"/>
                <w:color w:val="000000"/>
                <w:sz w:val="16"/>
                <w:szCs w:val="16"/>
              </w:rPr>
              <w:t xml:space="preserve">The five-stage Capture → Classify → Govern → Store/Publish → Consume flow, plus the governed cross-boundary flow.</w:t>
            </w:r>
          </w:p>
        </w:tc>
      </w:tr>
      <w:tr>
        <w:tc>
          <w:tcPr>
            <w:tcW w:type="dxa" w:w="410"/>
            <w:tcMar>
              <w:top w:type="dxa" w:w="60"/>
              <w:left w:type="dxa" w:w="80"/>
              <w:bottom w:type="dxa" w:w="60"/>
              <w:right w:type="dxa" w:w="80"/>
            </w:tcMar>
            <w:vAlign w:val="top"/>
          </w:tcPr>
          <w:p>
            <w:r>
              <w:rPr>
                <w:b/>
                <w:bCs/>
                <w:color w:val="000000"/>
                <w:sz w:val="16"/>
                <w:szCs w:val="16"/>
              </w:rPr>
              <w:t xml:space="preserve">15</w:t>
            </w:r>
          </w:p>
        </w:tc>
        <w:tc>
          <w:tcPr>
            <w:tcW w:type="dxa" w:w="2253"/>
            <w:tcMar>
              <w:top w:type="dxa" w:w="60"/>
              <w:left w:type="dxa" w:w="80"/>
              <w:bottom w:type="dxa" w:w="60"/>
              <w:right w:type="dxa" w:w="80"/>
            </w:tcMar>
            <w:vAlign w:val="top"/>
          </w:tcPr>
          <w:p>
            <w:r>
              <w:rPr>
                <w:b w:val="false"/>
                <w:bCs w:val="false"/>
                <w:color w:val="000000"/>
                <w:sz w:val="16"/>
                <w:szCs w:val="16"/>
              </w:rPr>
              <w:t xml:space="preserve">Knowledge Flow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5.3, Section 2.6</w:t>
            </w:r>
          </w:p>
        </w:tc>
        <w:tc>
          <w:tcPr>
            <w:tcW w:type="dxa" w:w="5734"/>
            <w:tcMar>
              <w:top w:type="dxa" w:w="60"/>
              <w:left w:type="dxa" w:w="80"/>
              <w:bottom w:type="dxa" w:w="60"/>
              <w:right w:type="dxa" w:w="80"/>
            </w:tcMar>
            <w:vAlign w:val="top"/>
          </w:tcPr>
          <w:p>
            <w:r>
              <w:rPr>
                <w:b w:val="false"/>
                <w:bCs w:val="false"/>
                <w:color w:val="000000"/>
                <w:sz w:val="16"/>
                <w:szCs w:val="16"/>
              </w:rPr>
              <w:t xml:space="preserve">The Knowledge Management lifecycle (capture, curate, disseminate, reuse) and the 'state experience to institutional knowledge' value stream.</w:t>
            </w:r>
          </w:p>
        </w:tc>
      </w:tr>
    </w:tbl>
    <w:p>
      <w:pPr>
        <w:spacing w:after="160"/>
      </w:pPr>
    </w:p>
    <w:p>
      <w:pPr>
        <w:pStyle w:val="Heading2"/>
        <w:spacing w:after="70" w:before="220"/>
      </w:pPr>
      <w:r>
        <w:t xml:space="preserve">Tier 3 — Supporting (Detailed Reference and Reuse)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10"/>
        <w:gridCol w:w="2253"/>
        <w:gridCol w:w="1843"/>
        <w:gridCol w:w="5734"/>
      </w:tblGrid>
      <w:tr>
        <w:trPr>
          <w:tblHeader/>
        </w:trPr>
        <w:tc>
          <w:tcPr>
            <w:tcW w:type="dxa" w:w="410"/>
            <w:shd w:fill="1F3864" w:val="clear"/>
            <w:tcMar>
              <w:top w:type="dxa" w:w="60"/>
              <w:left w:type="dxa" w:w="80"/>
              <w:bottom w:type="dxa" w:w="60"/>
              <w:right w:type="dxa" w:w="80"/>
            </w:tcMar>
            <w:vAlign w:val="top"/>
          </w:tcPr>
          <w:p>
            <w:r>
              <w:rPr>
                <w:b/>
                <w:bCs/>
                <w:color w:val="FFFFFF"/>
                <w:sz w:val="16"/>
                <w:szCs w:val="16"/>
              </w:rPr>
              <w:t xml:space="preserve">#</w:t>
            </w:r>
          </w:p>
        </w:tc>
        <w:tc>
          <w:tcPr>
            <w:tcW w:type="dxa" w:w="2253"/>
            <w:shd w:fill="1F3864" w:val="clear"/>
            <w:tcMar>
              <w:top w:type="dxa" w:w="60"/>
              <w:left w:type="dxa" w:w="80"/>
              <w:bottom w:type="dxa" w:w="60"/>
              <w:right w:type="dxa" w:w="80"/>
            </w:tcMar>
            <w:vAlign w:val="top"/>
          </w:tcPr>
          <w:p>
            <w:r>
              <w:rPr>
                <w:b/>
                <w:bCs/>
                <w:color w:val="FFFFFF"/>
                <w:sz w:val="16"/>
                <w:szCs w:val="16"/>
              </w:rPr>
              <w:t xml:space="preserve">Diagram</w:t>
            </w:r>
          </w:p>
        </w:tc>
        <w:tc>
          <w:tcPr>
            <w:tcW w:type="dxa" w:w="1843"/>
            <w:shd w:fill="1F3864" w:val="clear"/>
            <w:tcMar>
              <w:top w:type="dxa" w:w="60"/>
              <w:left w:type="dxa" w:w="80"/>
              <w:bottom w:type="dxa" w:w="60"/>
              <w:right w:type="dxa" w:w="80"/>
            </w:tcMar>
            <w:vAlign w:val="top"/>
          </w:tcPr>
          <w:p>
            <w:r>
              <w:rPr>
                <w:b/>
                <w:bCs/>
                <w:color w:val="FFFFFF"/>
                <w:sz w:val="16"/>
                <w:szCs w:val="16"/>
              </w:rPr>
              <w:t xml:space="preserve">Source Section(s)</w:t>
            </w:r>
          </w:p>
        </w:tc>
        <w:tc>
          <w:tcPr>
            <w:tcW w:type="dxa" w:w="5734"/>
            <w:shd w:fill="1F3864" w:val="clear"/>
            <w:tcMar>
              <w:top w:type="dxa" w:w="60"/>
              <w:left w:type="dxa" w:w="80"/>
              <w:bottom w:type="dxa" w:w="60"/>
              <w:right w:type="dxa" w:w="80"/>
            </w:tcMar>
            <w:vAlign w:val="top"/>
          </w:tcPr>
          <w:p>
            <w:r>
              <w:rPr>
                <w:b/>
                <w:bCs/>
                <w:color w:val="FFFFFF"/>
                <w:sz w:val="16"/>
                <w:szCs w:val="16"/>
              </w:rPr>
              <w:t xml:space="preserve">Content to Represent</w:t>
            </w:r>
          </w:p>
        </w:tc>
      </w:tr>
      <w:tr>
        <w:tc>
          <w:tcPr>
            <w:tcW w:type="dxa" w:w="410"/>
            <w:tcMar>
              <w:top w:type="dxa" w:w="60"/>
              <w:left w:type="dxa" w:w="80"/>
              <w:bottom w:type="dxa" w:w="60"/>
              <w:right w:type="dxa" w:w="80"/>
            </w:tcMar>
            <w:vAlign w:val="top"/>
          </w:tcPr>
          <w:p>
            <w:r>
              <w:rPr>
                <w:b/>
                <w:bCs/>
                <w:color w:val="000000"/>
                <w:sz w:val="16"/>
                <w:szCs w:val="16"/>
              </w:rPr>
              <w:t xml:space="preserve">16</w:t>
            </w:r>
          </w:p>
        </w:tc>
        <w:tc>
          <w:tcPr>
            <w:tcW w:type="dxa" w:w="2253"/>
            <w:tcMar>
              <w:top w:type="dxa" w:w="60"/>
              <w:left w:type="dxa" w:w="80"/>
              <w:bottom w:type="dxa" w:w="60"/>
              <w:right w:type="dxa" w:w="80"/>
            </w:tcMar>
            <w:vAlign w:val="top"/>
          </w:tcPr>
          <w:p>
            <w:r>
              <w:rPr>
                <w:b w:val="false"/>
                <w:bCs w:val="false"/>
                <w:color w:val="000000"/>
                <w:sz w:val="16"/>
                <w:szCs w:val="16"/>
              </w:rPr>
              <w:t xml:space="preserve">Sequence Diagrams</w:t>
            </w:r>
          </w:p>
        </w:tc>
        <w:tc>
          <w:tcPr>
            <w:tcW w:type="dxa" w:w="1843"/>
            <w:tcMar>
              <w:top w:type="dxa" w:w="60"/>
              <w:left w:type="dxa" w:w="80"/>
              <w:bottom w:type="dxa" w:w="60"/>
              <w:right w:type="dxa" w:w="80"/>
            </w:tcMar>
            <w:vAlign w:val="top"/>
          </w:tcPr>
          <w:p>
            <w:r>
              <w:rPr>
                <w:b w:val="false"/>
                <w:bCs w:val="false"/>
                <w:color w:val="000000"/>
                <w:sz w:val="16"/>
                <w:szCs w:val="16"/>
              </w:rPr>
              <w:t xml:space="preserve">Section 4.3, Section 7.1</w:t>
            </w:r>
          </w:p>
        </w:tc>
        <w:tc>
          <w:tcPr>
            <w:tcW w:type="dxa" w:w="5734"/>
            <w:tcMar>
              <w:top w:type="dxa" w:w="60"/>
              <w:left w:type="dxa" w:w="80"/>
              <w:bottom w:type="dxa" w:w="60"/>
              <w:right w:type="dxa" w:w="80"/>
            </w:tcMar>
            <w:vAlign w:val="top"/>
          </w:tcPr>
          <w:p>
            <w:r>
              <w:rPr>
                <w:b w:val="false"/>
                <w:bCs w:val="false"/>
                <w:color w:val="000000"/>
                <w:sz w:val="16"/>
                <w:szCs w:val="16"/>
              </w:rPr>
              <w:t xml:space="preserve">Key interactions: document approval routing, CKR content publication, federated search query.</w:t>
            </w:r>
          </w:p>
        </w:tc>
      </w:tr>
      <w:tr>
        <w:tc>
          <w:tcPr>
            <w:tcW w:type="dxa" w:w="410"/>
            <w:tcMar>
              <w:top w:type="dxa" w:w="60"/>
              <w:left w:type="dxa" w:w="80"/>
              <w:bottom w:type="dxa" w:w="60"/>
              <w:right w:type="dxa" w:w="80"/>
            </w:tcMar>
            <w:vAlign w:val="top"/>
          </w:tcPr>
          <w:p>
            <w:r>
              <w:rPr>
                <w:b/>
                <w:bCs/>
                <w:color w:val="000000"/>
                <w:sz w:val="16"/>
                <w:szCs w:val="16"/>
              </w:rPr>
              <w:t xml:space="preserve">17</w:t>
            </w:r>
          </w:p>
        </w:tc>
        <w:tc>
          <w:tcPr>
            <w:tcW w:type="dxa" w:w="2253"/>
            <w:tcMar>
              <w:top w:type="dxa" w:w="60"/>
              <w:left w:type="dxa" w:w="80"/>
              <w:bottom w:type="dxa" w:w="60"/>
              <w:right w:type="dxa" w:w="80"/>
            </w:tcMar>
            <w:vAlign w:val="top"/>
          </w:tcPr>
          <w:p>
            <w:r>
              <w:rPr>
                <w:b w:val="false"/>
                <w:bCs w:val="false"/>
                <w:color w:val="000000"/>
                <w:sz w:val="16"/>
                <w:szCs w:val="16"/>
              </w:rPr>
              <w:t xml:space="preserve">Business Architecture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2 (full)</w:t>
            </w:r>
          </w:p>
        </w:tc>
        <w:tc>
          <w:tcPr>
            <w:tcW w:type="dxa" w:w="5734"/>
            <w:tcMar>
              <w:top w:type="dxa" w:w="60"/>
              <w:left w:type="dxa" w:w="80"/>
              <w:bottom w:type="dxa" w:w="60"/>
              <w:right w:type="dxa" w:w="80"/>
            </w:tcMar>
            <w:vAlign w:val="top"/>
          </w:tcPr>
          <w:p>
            <w:r>
              <w:rPr>
                <w:b w:val="false"/>
                <w:bCs w:val="false"/>
                <w:color w:val="000000"/>
                <w:sz w:val="16"/>
                <w:szCs w:val="16"/>
              </w:rPr>
              <w:t xml:space="preserve">Organisation Model, Operating Model, Stakeholder power/interest grid, and Governance Model in one integrated view.</w:t>
            </w:r>
          </w:p>
        </w:tc>
      </w:tr>
      <w:tr>
        <w:tc>
          <w:tcPr>
            <w:tcW w:type="dxa" w:w="410"/>
            <w:tcMar>
              <w:top w:type="dxa" w:w="60"/>
              <w:left w:type="dxa" w:w="80"/>
              <w:bottom w:type="dxa" w:w="60"/>
              <w:right w:type="dxa" w:w="80"/>
            </w:tcMar>
            <w:vAlign w:val="top"/>
          </w:tcPr>
          <w:p>
            <w:r>
              <w:rPr>
                <w:b/>
                <w:bCs/>
                <w:color w:val="000000"/>
                <w:sz w:val="16"/>
                <w:szCs w:val="16"/>
              </w:rPr>
              <w:t xml:space="preserve">18</w:t>
            </w:r>
          </w:p>
        </w:tc>
        <w:tc>
          <w:tcPr>
            <w:tcW w:type="dxa" w:w="2253"/>
            <w:tcMar>
              <w:top w:type="dxa" w:w="60"/>
              <w:left w:type="dxa" w:w="80"/>
              <w:bottom w:type="dxa" w:w="60"/>
              <w:right w:type="dxa" w:w="80"/>
            </w:tcMar>
            <w:vAlign w:val="top"/>
          </w:tcPr>
          <w:p>
            <w:r>
              <w:rPr>
                <w:b w:val="false"/>
                <w:bCs w:val="false"/>
                <w:color w:val="000000"/>
                <w:sz w:val="16"/>
                <w:szCs w:val="16"/>
              </w:rPr>
              <w:t xml:space="preserve">Entity-Relationship (ER) Diagram</w:t>
            </w:r>
          </w:p>
        </w:tc>
        <w:tc>
          <w:tcPr>
            <w:tcW w:type="dxa" w:w="1843"/>
            <w:tcMar>
              <w:top w:type="dxa" w:w="60"/>
              <w:left w:type="dxa" w:w="80"/>
              <w:bottom w:type="dxa" w:w="60"/>
              <w:right w:type="dxa" w:w="80"/>
            </w:tcMar>
            <w:vAlign w:val="top"/>
          </w:tcPr>
          <w:p>
            <w:r>
              <w:rPr>
                <w:b w:val="false"/>
                <w:bCs w:val="false"/>
                <w:color w:val="000000"/>
                <w:sz w:val="16"/>
                <w:szCs w:val="16"/>
              </w:rPr>
              <w:t xml:space="preserve">Section 6.1–6.2</w:t>
            </w:r>
          </w:p>
        </w:tc>
        <w:tc>
          <w:tcPr>
            <w:tcW w:type="dxa" w:w="5734"/>
            <w:tcMar>
              <w:top w:type="dxa" w:w="60"/>
              <w:left w:type="dxa" w:w="80"/>
              <w:bottom w:type="dxa" w:w="60"/>
              <w:right w:type="dxa" w:w="80"/>
            </w:tcMar>
            <w:vAlign w:val="top"/>
          </w:tcPr>
          <w:p>
            <w:r>
              <w:rPr>
                <w:b w:val="false"/>
                <w:bCs w:val="false"/>
                <w:color w:val="000000"/>
                <w:sz w:val="16"/>
                <w:szCs w:val="16"/>
              </w:rPr>
              <w:t xml:space="preserve">The full logical data model — fourteen entities and their cardinalities.</w:t>
            </w:r>
          </w:p>
        </w:tc>
      </w:tr>
      <w:tr>
        <w:tc>
          <w:tcPr>
            <w:tcW w:type="dxa" w:w="410"/>
            <w:tcMar>
              <w:top w:type="dxa" w:w="60"/>
              <w:left w:type="dxa" w:w="80"/>
              <w:bottom w:type="dxa" w:w="60"/>
              <w:right w:type="dxa" w:w="80"/>
            </w:tcMar>
            <w:vAlign w:val="top"/>
          </w:tcPr>
          <w:p>
            <w:r>
              <w:rPr>
                <w:b/>
                <w:bCs/>
                <w:color w:val="000000"/>
                <w:sz w:val="16"/>
                <w:szCs w:val="16"/>
              </w:rPr>
              <w:t xml:space="preserve">19</w:t>
            </w:r>
          </w:p>
        </w:tc>
        <w:tc>
          <w:tcPr>
            <w:tcW w:type="dxa" w:w="2253"/>
            <w:tcMar>
              <w:top w:type="dxa" w:w="60"/>
              <w:left w:type="dxa" w:w="80"/>
              <w:bottom w:type="dxa" w:w="60"/>
              <w:right w:type="dxa" w:w="80"/>
            </w:tcMar>
            <w:vAlign w:val="top"/>
          </w:tcPr>
          <w:p>
            <w:r>
              <w:rPr>
                <w:b w:val="false"/>
                <w:bCs w:val="false"/>
                <w:color w:val="000000"/>
                <w:sz w:val="16"/>
                <w:szCs w:val="16"/>
              </w:rPr>
              <w:t xml:space="preserve">Reference Architecture</w:t>
            </w:r>
          </w:p>
        </w:tc>
        <w:tc>
          <w:tcPr>
            <w:tcW w:type="dxa" w:w="1843"/>
            <w:tcMar>
              <w:top w:type="dxa" w:w="60"/>
              <w:left w:type="dxa" w:w="80"/>
              <w:bottom w:type="dxa" w:w="60"/>
              <w:right w:type="dxa" w:w="80"/>
            </w:tcMar>
            <w:vAlign w:val="top"/>
          </w:tcPr>
          <w:p>
            <w:r>
              <w:rPr>
                <w:b w:val="false"/>
                <w:bCs w:val="false"/>
                <w:color w:val="000000"/>
                <w:sz w:val="16"/>
                <w:szCs w:val="16"/>
              </w:rPr>
              <w:t xml:space="preserve">Whole Blueprint, generalized</w:t>
            </w:r>
          </w:p>
        </w:tc>
        <w:tc>
          <w:tcPr>
            <w:tcW w:type="dxa" w:w="5734"/>
            <w:tcMar>
              <w:top w:type="dxa" w:w="60"/>
              <w:left w:type="dxa" w:w="80"/>
              <w:bottom w:type="dxa" w:w="60"/>
              <w:right w:type="dxa" w:w="80"/>
            </w:tcMar>
            <w:vAlign w:val="top"/>
          </w:tcPr>
          <w:p>
            <w:r>
              <w:rPr>
                <w:b w:val="false"/>
                <w:bCs w:val="false"/>
                <w:color w:val="000000"/>
                <w:sz w:val="16"/>
                <w:szCs w:val="16"/>
              </w:rPr>
              <w:t xml:space="preserve">A de-branded, SAPZ-independent version of this architecture, prepared for future AfDB, World Bank, UN, or Government bid reuse.</w:t>
            </w:r>
          </w:p>
        </w:tc>
      </w:tr>
    </w:tbl>
    <w:p>
      <w:pPr>
        <w:spacing w:after="160"/>
      </w:pPr>
    </w:p>
    <w:p>
      <w:pPr>
        <w:pStyle w:val="Heading1"/>
        <w:pBdr>
          <w:bottom w:val="single" w:color="1F3864" w:sz="6" w:space="4"/>
        </w:pBdr>
        <w:spacing w:after="130" w:before="320"/>
      </w:pPr>
      <w:r>
        <w:t xml:space="preserve">16.11 Closing Statement</w:t>
      </w:r>
    </w:p>
    <w:p>
      <w:pPr>
        <w:spacing w:after="150" w:line="276"/>
        <w:jc w:val="both"/>
      </w:pPr>
      <w:r>
        <w:t xml:space="preserve">This completes the sixteen-section Enterprise Architecture &amp; Digital Transformation Blueprint for the SAPZ Programme's Enterprise System Management Platform and Central Knowledge Repository. Every section aligns with, and does not contradict, the governing Procurement Intelligence Report; every recommendation is justified against a stated decision framework rather than asserted by reputation; every AI and Phase 2 capability is held separate from the fixed twelve-week Phase 1 commitment; and the Architecture Review Report in Section 15 has confirmed the architecture sound, with five tracked, non-blocking remediation items scheduled for resolution in Weeks 1–2. This Blueprint is ready for Steering Committee approval, Enterprise Architecture Review Board sign-off, IFAD technical review, and Government ICT review, and this Section 16 package is ready for Antigravity to begin generating the diagram set specified above.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 w:type="paragraph" w:styleId="Heading2">
    <w:name w:val="Heading 2"/>
    <w:basedOn w:val="Normal"/>
    <w:next w:val="Normal"/>
    <w:qFormat/>
    <w:pPr>
      <w:spacing w:after="70" w:before="200"/>
    </w:pPr>
    <w:rPr>
      <w:rFonts w:ascii="Arial" w:cs="Arial" w:eastAsia="Arial" w:hAnsi="Arial"/>
      <w:b/>
      <w:bCs/>
      <w:color w:val="2E539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2026-07-18T09:47:37.892Z</dcterms:created>
  <dcterms:modified xsi:type="dcterms:W3CDTF">2026-07-18T09:47:37.892Z</dcterms:modified>
</cp:coreProperties>
</file>

<file path=docProps/custom.xml><?xml version="1.0" encoding="utf-8"?>
<Properties xmlns="http://schemas.openxmlformats.org/officeDocument/2006/custom-properties" xmlns:vt="http://schemas.openxmlformats.org/officeDocument/2006/docPropsVTypes"/>
</file>