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5C2D91"/>
          <w:sz w:val="32"/>
          <w:szCs w:val="32"/>
        </w:rPr>
        <w:t xml:space="preserve">Database Design Specification (DDS)</w:t>
      </w:r>
    </w:p>
    <w:p>
      <w:pPr>
        <w:spacing w:after="60"/>
        <w:jc w:val="center"/>
      </w:pPr>
      <w:r>
        <w:rPr>
          <w:b/>
          <w:bCs/>
          <w:color w:val="7A43B6"/>
          <w:sz w:val="22"/>
          <w:szCs w:val="22"/>
        </w:rPr>
        <w:t xml:space="preserve">Enterprise System Management (ESM) Platform and Central Knowledge Repository (CKR)</w:t>
      </w:r>
    </w:p>
    <w:p>
      <w:pPr>
        <w:spacing w:after="40"/>
        <w:jc w:val="center"/>
      </w:pPr>
      <w:r>
        <w:rPr>
          <w:b/>
          <w:bCs/>
          <w:color w:val="7A43B6"/>
          <w:sz w:val="24"/>
          <w:szCs w:val="24"/>
        </w:rPr>
        <w:t xml:space="preserve">Part 1 — Executive Database Overview</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5C2D91" w:sz="6" w:space="4"/>
        </w:pBdr>
        <w:spacing w:after="130" w:before="320"/>
      </w:pPr>
      <w:r>
        <w:t xml:space="preserve">1.1 Purpose</w:t>
      </w:r>
    </w:p>
    <w:p>
      <w:pPr>
        <w:spacing w:after="150" w:line="276"/>
        <w:jc w:val="both"/>
      </w:pPr>
      <w:r>
        <w:t xml:space="preserve">This Database Design Specification (DDS) defines the complete physical and logical database schema required to implement the Enterprise System Management (ESM) Platform and Central Knowledge Repository (CKR), as specified in the Enterprise Architecture Blueprint, the Product Definition Document (PDD), and the 39-Part Software Requirements Specification (SRS). Those three documents are treated as authoritative inputs: every entity defined here traces to a business capability fixed in the PDD, a functional requirement fixed in the SRS, or a data-architecture decision fixed in the EA Blueprint. This DDS does not introduce new business scope — it converts already-approved requirements into an implementation-ready schema.</w:t>
      </w:r>
    </w:p>
    <w:p>
      <w:pPr>
        <w:spacing w:after="150" w:line="276"/>
        <w:jc w:val="both"/>
      </w:pPr>
      <w:r>
        <w:t xml:space="preserve">The DDS is written for database engineers, backend developers, DevOps engineers, and solution architects who will build, migrate, and operate the schema. It is deliberately more granular than SRS Part 30 (Database Requirements), which fixed the entity model and non-negotiable integrity rules at a summary level — this document supplies the column-level detail, indexing strategy, and operational procedures that SRS Part 30 explicitly deferred to "an Antigravity implementation deliverable."</w:t>
      </w:r>
    </w:p>
    <w:p>
      <w:pPr>
        <w:pStyle w:val="Heading1"/>
        <w:pBdr>
          <w:bottom w:val="single" w:color="5C2D91" w:sz="6" w:space="4"/>
        </w:pBdr>
        <w:spacing w:after="130" w:before="320"/>
      </w:pPr>
      <w:r>
        <w:t xml:space="preserve">1.2 Architecture</w:t>
      </w:r>
    </w:p>
    <w:p>
      <w:pPr>
        <w:spacing w:after="150" w:line="276"/>
        <w:jc w:val="both"/>
      </w:pPr>
      <w:r>
        <w:t xml:space="preserve">The data architecture follows the technology stack fixed in EA Blueprint Section 10.3: PostgreSQL as the primary relational database engine, OpenSearch as the dedicated search and full-text indexing layer (Part 12 of this DDS), and Redis as the caching and session layer. PostgreSQL was selected over SQL Server for zero licensing cost across a multi-year donor-funded programme lifecycle, open-standard compliance that avoids vendor lock-in, and adequate skill availability in the Nigerian market — the full comparison is documented in EA Blueprint Section 10.3 and is not repeated here.</w:t>
      </w:r>
    </w:p>
    <w:p>
      <w:pPr>
        <w:spacing w:after="150" w:line="276"/>
        <w:jc w:val="both"/>
      </w:pPr>
      <w:r>
        <w:t xml:space="preserve">The schema is a single logical PostgreSQL database serving both ESM and CKR, rather than two separate databases, because the two systems share core reference data (Users, Roles, Organizations, TaxonomyTerm) and because SRS Principle 5 ("The Two Systems are Managed as One Programme") requires consistent identity, taxonomy, and audit behaviour across both. Logical separation between ESM-internal and CKR-public data is enforced through PostgreSQL schemas (namespaces) and row-level security policies (Part 11 of this DDS), not through physically separate databases — this preserves the option of a shared taxonomy and a unified audit trail while still allowing CKR's public-facing tables to be exposed through a more restricted database role than ESM's internal tables.</w:t>
      </w:r>
    </w:p>
    <w:p>
      <w:pPr>
        <w:pStyle w:val="Heading1"/>
        <w:pBdr>
          <w:bottom w:val="single" w:color="5C2D91" w:sz="6" w:space="4"/>
        </w:pBdr>
        <w:spacing w:after="130" w:before="320"/>
      </w:pPr>
      <w:r>
        <w:t xml:space="preserve">1.3 Logical Model</w:t>
      </w:r>
    </w:p>
    <w:p>
      <w:pPr>
        <w:spacing w:after="150" w:line="276"/>
        <w:jc w:val="both"/>
      </w:pPr>
      <w:r>
        <w:t xml:space="preserve">The logical model organises all persisted business data into 24 domains (Section 2 of this DDS), comprising 62 entities (Section 3) and a complete field-level data dictionary (Section 4). The logical model is domain-driven rather than screen-driven: it mirrors the 20-module structure fixed in PDD Section 9 and SRS Parts 3-22, plus four cross-cutting domains (Identity &amp; Access, Organizations &amp; Reference, Governance Registers, Meetings &amp; Calendar) that span multiple modules and would otherwise be duplicated within each module's domain.</w:t>
      </w:r>
    </w:p>
    <w:p>
      <w:pPr>
        <w:spacing w:after="150" w:line="276"/>
        <w:jc w:val="both"/>
      </w:pPr>
      <w:r>
        <w:t xml:space="preserve">As of this version, the logical model comprises 62 entities across 24 domains, holding 335 explicitly modelled business fields, before the universal audit fields (Part 10) are appended to every transactional table.</w:t>
      </w:r>
    </w:p>
    <w:p>
      <w:pPr>
        <w:pStyle w:val="Heading1"/>
        <w:pBdr>
          <w:bottom w:val="single" w:color="5C2D91" w:sz="6" w:space="4"/>
        </w:pBdr>
        <w:spacing w:after="130" w:before="320"/>
      </w:pPr>
      <w:r>
        <w:t xml:space="preserve">1.4 Physical Model</w:t>
      </w:r>
    </w:p>
    <w:p>
      <w:pPr>
        <w:spacing w:after="150" w:line="276"/>
        <w:jc w:val="both"/>
      </w:pPr>
      <w:r>
        <w:t xml:space="preserve">The physical model translates the logical model into PostgreSQL DDL: concrete data types, storage parameters, and constraint syntax. Part 4 (Complete Data Dictionary) is the authoritative source for column-level physical detail; Part 8 (Constraints Specification) and Part 9 (Index Strategy) define the physical enforcement and performance layer. Physical implementation decisions not fixed by this DDS — such as table storage parameters, autovacuum tuning, and connection-pool sizing beyond the baseline in Part 16 — are left to the implementation team's operational judgement, consistent with the EA Blueprint's principle of fixing what must be consistent and leaving what is safely variable to implementation.</w:t>
      </w:r>
    </w:p>
    <w:p>
      <w:pPr>
        <w:spacing w:after="150" w:line="276"/>
        <w:jc w:val="both"/>
      </w:pPr>
      <w:r>
        <w:t xml:space="preserve">UUID primary keys (generated via PostgreSQL's gen_random_uuid(), requiring the pgcrypto extension) are used for all entities exposed through the API or referenced across module boundaries, avoiding the information leakage and merge-conflict risk of sequential integer keys in a distributed, multi-contributor engineering effort. Two exceptions are deliberate: AuditLog and AnalyticsSnapshot use BIGSERIAL primary keys, because these are high-volume, insert-only, internally-referenced tables where sequential keys materially simplify partitioning and provide a natural insertion-order index (Part 9).</w:t>
      </w:r>
    </w:p>
    <w:p>
      <w:pPr>
        <w:pStyle w:val="Heading1"/>
        <w:pBdr>
          <w:bottom w:val="single" w:color="5C2D91" w:sz="6" w:space="4"/>
        </w:pBdr>
        <w:spacing w:after="130" w:before="320"/>
      </w:pPr>
      <w:r>
        <w:t xml:space="preserve">1.5 Database Domains</w:t>
      </w:r>
    </w:p>
    <w:p>
      <w:pPr>
        <w:spacing w:after="150" w:line="276"/>
        <w:jc w:val="both"/>
      </w:pPr>
      <w:r>
        <w:t xml:space="preserve">The 24 domains, each detailed in Section 2, are summarised here as an index.</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385"/>
        <w:gridCol w:w="1462"/>
        <w:gridCol w:w="4594"/>
      </w:tblGrid>
      <w:tr>
        <w:trPr>
          <w:tblHeader/>
        </w:trPr>
        <w:tc>
          <w:tcPr>
            <w:tcW w:type="dxa" w:w="4385"/>
            <w:shd w:fill="5C2D91" w:val="clear"/>
            <w:tcMar>
              <w:top w:type="dxa" w:w="50"/>
              <w:left w:type="dxa" w:w="80"/>
              <w:bottom w:type="dxa" w:w="50"/>
              <w:right w:type="dxa" w:w="80"/>
            </w:tcMar>
            <w:vAlign w:val="top"/>
          </w:tcPr>
          <w:p>
            <w:r>
              <w:rPr>
                <w:b/>
                <w:bCs/>
                <w:color w:val="FFFFFF"/>
                <w:sz w:val="15"/>
                <w:szCs w:val="15"/>
              </w:rPr>
              <w:t xml:space="preserve">Domain</w:t>
            </w:r>
          </w:p>
        </w:tc>
        <w:tc>
          <w:tcPr>
            <w:tcW w:type="dxa" w:w="1462"/>
            <w:shd w:fill="5C2D91" w:val="clear"/>
            <w:tcMar>
              <w:top w:type="dxa" w:w="50"/>
              <w:left w:type="dxa" w:w="80"/>
              <w:bottom w:type="dxa" w:w="50"/>
              <w:right w:type="dxa" w:w="80"/>
            </w:tcMar>
            <w:vAlign w:val="top"/>
          </w:tcPr>
          <w:p>
            <w:r>
              <w:rPr>
                <w:b/>
                <w:bCs/>
                <w:color w:val="FFFFFF"/>
                <w:sz w:val="15"/>
                <w:szCs w:val="15"/>
              </w:rPr>
              <w:t xml:space="preserve">Entities</w:t>
            </w:r>
          </w:p>
        </w:tc>
        <w:tc>
          <w:tcPr>
            <w:tcW w:type="dxa" w:w="4594"/>
            <w:shd w:fill="5C2D91" w:val="clear"/>
            <w:tcMar>
              <w:top w:type="dxa" w:w="50"/>
              <w:left w:type="dxa" w:w="80"/>
              <w:bottom w:type="dxa" w:w="50"/>
              <w:right w:type="dxa" w:w="80"/>
            </w:tcMar>
            <w:vAlign w:val="top"/>
          </w:tcPr>
          <w:p>
            <w:r>
              <w:rPr>
                <w:b/>
                <w:bCs/>
                <w:color w:val="FFFFFF"/>
                <w:sz w:val="15"/>
                <w:szCs w:val="15"/>
              </w:rPr>
              <w:t xml:space="preserve">Primary SRS/PDD Reference</w:t>
            </w:r>
          </w:p>
        </w:tc>
      </w:tr>
      <w:tr>
        <w:tc>
          <w:tcPr>
            <w:tcW w:type="dxa" w:w="4385"/>
            <w:tcMar>
              <w:top w:type="dxa" w:w="50"/>
              <w:left w:type="dxa" w:w="80"/>
              <w:bottom w:type="dxa" w:w="50"/>
              <w:right w:type="dxa" w:w="80"/>
            </w:tcMar>
            <w:vAlign w:val="top"/>
          </w:tcPr>
          <w:p>
            <w:r>
              <w:rPr>
                <w:b/>
                <w:bCs/>
                <w:color w:val="000000"/>
                <w:sz w:val="16"/>
                <w:szCs w:val="16"/>
              </w:rPr>
              <w:t xml:space="preserve">Identity &amp; Access</w:t>
            </w:r>
          </w:p>
        </w:tc>
        <w:tc>
          <w:tcPr>
            <w:tcW w:type="dxa" w:w="1462"/>
            <w:tcMar>
              <w:top w:type="dxa" w:w="50"/>
              <w:left w:type="dxa" w:w="80"/>
              <w:bottom w:type="dxa" w:w="50"/>
              <w:right w:type="dxa" w:w="80"/>
            </w:tcMar>
            <w:vAlign w:val="top"/>
          </w:tcPr>
          <w:p>
            <w:r>
              <w:rPr>
                <w:b w:val="false"/>
                <w:bCs w:val="false"/>
                <w:color w:val="000000"/>
                <w:sz w:val="16"/>
                <w:szCs w:val="16"/>
              </w:rPr>
              <w:t xml:space="preserve">5</w:t>
            </w:r>
          </w:p>
        </w:tc>
        <w:tc>
          <w:tcPr>
            <w:tcW w:type="dxa" w:w="4594"/>
            <w:tcMar>
              <w:top w:type="dxa" w:w="50"/>
              <w:left w:type="dxa" w:w="80"/>
              <w:bottom w:type="dxa" w:w="50"/>
              <w:right w:type="dxa" w:w="80"/>
            </w:tcMar>
            <w:vAlign w:val="top"/>
          </w:tcPr>
          <w:p>
            <w:r>
              <w:rPr>
                <w:b w:val="false"/>
                <w:bCs w:val="false"/>
                <w:color w:val="000000"/>
                <w:sz w:val="16"/>
                <w:szCs w:val="16"/>
              </w:rPr>
              <w:t xml:space="preserve">SRS Part 2, Part 9, Part 10</w:t>
            </w:r>
          </w:p>
        </w:tc>
      </w:tr>
      <w:tr>
        <w:tc>
          <w:tcPr>
            <w:tcW w:type="dxa" w:w="4385"/>
            <w:tcMar>
              <w:top w:type="dxa" w:w="50"/>
              <w:left w:type="dxa" w:w="80"/>
              <w:bottom w:type="dxa" w:w="50"/>
              <w:right w:type="dxa" w:w="80"/>
            </w:tcMar>
            <w:vAlign w:val="top"/>
          </w:tcPr>
          <w:p>
            <w:r>
              <w:rPr>
                <w:b/>
                <w:bCs/>
                <w:color w:val="000000"/>
                <w:sz w:val="16"/>
                <w:szCs w:val="16"/>
              </w:rPr>
              <w:t xml:space="preserve">Organizations &amp; Reference</w:t>
            </w:r>
          </w:p>
        </w:tc>
        <w:tc>
          <w:tcPr>
            <w:tcW w:type="dxa" w:w="1462"/>
            <w:tcMar>
              <w:top w:type="dxa" w:w="50"/>
              <w:left w:type="dxa" w:w="80"/>
              <w:bottom w:type="dxa" w:w="50"/>
              <w:right w:type="dxa" w:w="80"/>
            </w:tcMar>
            <w:vAlign w:val="top"/>
          </w:tcPr>
          <w:p>
            <w:r>
              <w:rPr>
                <w:b w:val="false"/>
                <w:bCs w:val="false"/>
                <w:color w:val="000000"/>
                <w:sz w:val="16"/>
                <w:szCs w:val="16"/>
              </w:rPr>
              <w:t xml:space="preserve">3</w:t>
            </w:r>
          </w:p>
        </w:tc>
        <w:tc>
          <w:tcPr>
            <w:tcW w:type="dxa" w:w="4594"/>
            <w:tcMar>
              <w:top w:type="dxa" w:w="50"/>
              <w:left w:type="dxa" w:w="80"/>
              <w:bottom w:type="dxa" w:w="50"/>
              <w:right w:type="dxa" w:w="80"/>
            </w:tcMar>
            <w:vAlign w:val="top"/>
          </w:tcPr>
          <w:p>
            <w:r>
              <w:rPr>
                <w:b w:val="false"/>
                <w:bCs w:val="false"/>
                <w:color w:val="000000"/>
                <w:sz w:val="16"/>
                <w:szCs w:val="16"/>
              </w:rPr>
              <w:t xml:space="preserve">SRS Part 2, Part 10</w:t>
            </w:r>
          </w:p>
        </w:tc>
      </w:tr>
      <w:tr>
        <w:tc>
          <w:tcPr>
            <w:tcW w:type="dxa" w:w="4385"/>
            <w:tcMar>
              <w:top w:type="dxa" w:w="50"/>
              <w:left w:type="dxa" w:w="80"/>
              <w:bottom w:type="dxa" w:w="50"/>
              <w:right w:type="dxa" w:w="80"/>
            </w:tcMar>
            <w:vAlign w:val="top"/>
          </w:tcPr>
          <w:p>
            <w:r>
              <w:rPr>
                <w:b/>
                <w:bCs/>
                <w:color w:val="000000"/>
                <w:sz w:val="16"/>
                <w:szCs w:val="16"/>
              </w:rPr>
              <w:t xml:space="preserve">Executive Oversight</w:t>
            </w:r>
          </w:p>
        </w:tc>
        <w:tc>
          <w:tcPr>
            <w:tcW w:type="dxa" w:w="1462"/>
            <w:tcMar>
              <w:top w:type="dxa" w:w="50"/>
              <w:left w:type="dxa" w:w="80"/>
              <w:bottom w:type="dxa" w:w="50"/>
              <w:right w:type="dxa" w:w="80"/>
            </w:tcMar>
            <w:vAlign w:val="top"/>
          </w:tcPr>
          <w:p>
            <w:r>
              <w:rPr>
                <w:b w:val="false"/>
                <w:bCs w:val="false"/>
                <w:color w:val="000000"/>
                <w:sz w:val="16"/>
                <w:szCs w:val="16"/>
              </w:rPr>
              <w:t xml:space="preserve">2</w:t>
            </w:r>
          </w:p>
        </w:tc>
        <w:tc>
          <w:tcPr>
            <w:tcW w:type="dxa" w:w="4594"/>
            <w:tcMar>
              <w:top w:type="dxa" w:w="50"/>
              <w:left w:type="dxa" w:w="80"/>
              <w:bottom w:type="dxa" w:w="50"/>
              <w:right w:type="dxa" w:w="80"/>
            </w:tcMar>
            <w:vAlign w:val="top"/>
          </w:tcPr>
          <w:p>
            <w:r>
              <w:rPr>
                <w:b w:val="false"/>
                <w:bCs w:val="false"/>
                <w:color w:val="000000"/>
                <w:sz w:val="16"/>
                <w:szCs w:val="16"/>
              </w:rPr>
              <w:t xml:space="preserve">SRS Part 3</w:t>
            </w:r>
          </w:p>
        </w:tc>
      </w:tr>
      <w:tr>
        <w:tc>
          <w:tcPr>
            <w:tcW w:type="dxa" w:w="4385"/>
            <w:tcMar>
              <w:top w:type="dxa" w:w="50"/>
              <w:left w:type="dxa" w:w="80"/>
              <w:bottom w:type="dxa" w:w="50"/>
              <w:right w:type="dxa" w:w="80"/>
            </w:tcMar>
            <w:vAlign w:val="top"/>
          </w:tcPr>
          <w:p>
            <w:r>
              <w:rPr>
                <w:b/>
                <w:bCs/>
                <w:color w:val="000000"/>
                <w:sz w:val="16"/>
                <w:szCs w:val="16"/>
              </w:rPr>
              <w:t xml:space="preserve">Programme Management</w:t>
            </w:r>
          </w:p>
        </w:tc>
        <w:tc>
          <w:tcPr>
            <w:tcW w:type="dxa" w:w="1462"/>
            <w:tcMar>
              <w:top w:type="dxa" w:w="50"/>
              <w:left w:type="dxa" w:w="80"/>
              <w:bottom w:type="dxa" w:w="50"/>
              <w:right w:type="dxa" w:w="80"/>
            </w:tcMar>
            <w:vAlign w:val="top"/>
          </w:tcPr>
          <w:p>
            <w:r>
              <w:rPr>
                <w:b w:val="false"/>
                <w:bCs w:val="false"/>
                <w:color w:val="000000"/>
                <w:sz w:val="16"/>
                <w:szCs w:val="16"/>
              </w:rPr>
              <w:t xml:space="preserve">3</w:t>
            </w:r>
          </w:p>
        </w:tc>
        <w:tc>
          <w:tcPr>
            <w:tcW w:type="dxa" w:w="4594"/>
            <w:tcMar>
              <w:top w:type="dxa" w:w="50"/>
              <w:left w:type="dxa" w:w="80"/>
              <w:bottom w:type="dxa" w:w="50"/>
              <w:right w:type="dxa" w:w="80"/>
            </w:tcMar>
            <w:vAlign w:val="top"/>
          </w:tcPr>
          <w:p>
            <w:r>
              <w:rPr>
                <w:b w:val="false"/>
                <w:bCs w:val="false"/>
                <w:color w:val="000000"/>
                <w:sz w:val="16"/>
                <w:szCs w:val="16"/>
              </w:rPr>
              <w:t xml:space="preserve">SRS Part 4</w:t>
            </w:r>
          </w:p>
        </w:tc>
      </w:tr>
      <w:tr>
        <w:tc>
          <w:tcPr>
            <w:tcW w:type="dxa" w:w="4385"/>
            <w:tcMar>
              <w:top w:type="dxa" w:w="50"/>
              <w:left w:type="dxa" w:w="80"/>
              <w:bottom w:type="dxa" w:w="50"/>
              <w:right w:type="dxa" w:w="80"/>
            </w:tcMar>
            <w:vAlign w:val="top"/>
          </w:tcPr>
          <w:p>
            <w:r>
              <w:rPr>
                <w:b/>
                <w:bCs/>
                <w:color w:val="000000"/>
                <w:sz w:val="16"/>
                <w:szCs w:val="16"/>
              </w:rPr>
              <w:t xml:space="preserve">Projects</w:t>
            </w:r>
          </w:p>
        </w:tc>
        <w:tc>
          <w:tcPr>
            <w:tcW w:type="dxa" w:w="1462"/>
            <w:tcMar>
              <w:top w:type="dxa" w:w="50"/>
              <w:left w:type="dxa" w:w="80"/>
              <w:bottom w:type="dxa" w:w="50"/>
              <w:right w:type="dxa" w:w="80"/>
            </w:tcMar>
            <w:vAlign w:val="top"/>
          </w:tcPr>
          <w:p>
            <w:r>
              <w:rPr>
                <w:b w:val="false"/>
                <w:bCs w:val="false"/>
                <w:color w:val="000000"/>
                <w:sz w:val="16"/>
                <w:szCs w:val="16"/>
              </w:rPr>
              <w:t xml:space="preserve">3</w:t>
            </w:r>
          </w:p>
        </w:tc>
        <w:tc>
          <w:tcPr>
            <w:tcW w:type="dxa" w:w="4594"/>
            <w:tcMar>
              <w:top w:type="dxa" w:w="50"/>
              <w:left w:type="dxa" w:w="80"/>
              <w:bottom w:type="dxa" w:w="50"/>
              <w:right w:type="dxa" w:w="80"/>
            </w:tcMar>
            <w:vAlign w:val="top"/>
          </w:tcPr>
          <w:p>
            <w:r>
              <w:rPr>
                <w:b w:val="false"/>
                <w:bCs w:val="false"/>
                <w:color w:val="000000"/>
                <w:sz w:val="16"/>
                <w:szCs w:val="16"/>
              </w:rPr>
              <w:t xml:space="preserve">SRS Part 5</w:t>
            </w:r>
          </w:p>
        </w:tc>
      </w:tr>
      <w:tr>
        <w:tc>
          <w:tcPr>
            <w:tcW w:type="dxa" w:w="4385"/>
            <w:tcMar>
              <w:top w:type="dxa" w:w="50"/>
              <w:left w:type="dxa" w:w="80"/>
              <w:bottom w:type="dxa" w:w="50"/>
              <w:right w:type="dxa" w:w="80"/>
            </w:tcMar>
            <w:vAlign w:val="top"/>
          </w:tcPr>
          <w:p>
            <w:r>
              <w:rPr>
                <w:b/>
                <w:bCs/>
                <w:color w:val="000000"/>
                <w:sz w:val="16"/>
                <w:szCs w:val="16"/>
              </w:rPr>
              <w:t xml:space="preserve">Tasks</w:t>
            </w:r>
          </w:p>
        </w:tc>
        <w:tc>
          <w:tcPr>
            <w:tcW w:type="dxa" w:w="1462"/>
            <w:tcMar>
              <w:top w:type="dxa" w:w="50"/>
              <w:left w:type="dxa" w:w="80"/>
              <w:bottom w:type="dxa" w:w="50"/>
              <w:right w:type="dxa" w:w="80"/>
            </w:tcMar>
            <w:vAlign w:val="top"/>
          </w:tcPr>
          <w:p>
            <w:r>
              <w:rPr>
                <w:b w:val="false"/>
                <w:bCs w:val="false"/>
                <w:color w:val="000000"/>
                <w:sz w:val="16"/>
                <w:szCs w:val="16"/>
              </w:rPr>
              <w:t xml:space="preserve">3</w:t>
            </w:r>
          </w:p>
        </w:tc>
        <w:tc>
          <w:tcPr>
            <w:tcW w:type="dxa" w:w="4594"/>
            <w:tcMar>
              <w:top w:type="dxa" w:w="50"/>
              <w:left w:type="dxa" w:w="80"/>
              <w:bottom w:type="dxa" w:w="50"/>
              <w:right w:type="dxa" w:w="80"/>
            </w:tcMar>
            <w:vAlign w:val="top"/>
          </w:tcPr>
          <w:p>
            <w:r>
              <w:rPr>
                <w:b w:val="false"/>
                <w:bCs w:val="false"/>
                <w:color w:val="000000"/>
                <w:sz w:val="16"/>
                <w:szCs w:val="16"/>
              </w:rPr>
              <w:t xml:space="preserve">SRS Part 6</w:t>
            </w:r>
          </w:p>
        </w:tc>
      </w:tr>
      <w:tr>
        <w:tc>
          <w:tcPr>
            <w:tcW w:type="dxa" w:w="4385"/>
            <w:tcMar>
              <w:top w:type="dxa" w:w="50"/>
              <w:left w:type="dxa" w:w="80"/>
              <w:bottom w:type="dxa" w:w="50"/>
              <w:right w:type="dxa" w:w="80"/>
            </w:tcMar>
            <w:vAlign w:val="top"/>
          </w:tcPr>
          <w:p>
            <w:r>
              <w:rPr>
                <w:b/>
                <w:bCs/>
                <w:color w:val="000000"/>
                <w:sz w:val="16"/>
                <w:szCs w:val="16"/>
              </w:rPr>
              <w:t xml:space="preserve">Workflow</w:t>
            </w:r>
          </w:p>
        </w:tc>
        <w:tc>
          <w:tcPr>
            <w:tcW w:type="dxa" w:w="1462"/>
            <w:tcMar>
              <w:top w:type="dxa" w:w="50"/>
              <w:left w:type="dxa" w:w="80"/>
              <w:bottom w:type="dxa" w:w="50"/>
              <w:right w:type="dxa" w:w="80"/>
            </w:tcMar>
            <w:vAlign w:val="top"/>
          </w:tcPr>
          <w:p>
            <w:r>
              <w:rPr>
                <w:b w:val="false"/>
                <w:bCs w:val="false"/>
                <w:color w:val="000000"/>
                <w:sz w:val="16"/>
                <w:szCs w:val="16"/>
              </w:rPr>
              <w:t xml:space="preserve">3</w:t>
            </w:r>
          </w:p>
        </w:tc>
        <w:tc>
          <w:tcPr>
            <w:tcW w:type="dxa" w:w="4594"/>
            <w:tcMar>
              <w:top w:type="dxa" w:w="50"/>
              <w:left w:type="dxa" w:w="80"/>
              <w:bottom w:type="dxa" w:w="50"/>
              <w:right w:type="dxa" w:w="80"/>
            </w:tcMar>
            <w:vAlign w:val="top"/>
          </w:tcPr>
          <w:p>
            <w:r>
              <w:rPr>
                <w:b w:val="false"/>
                <w:bCs w:val="false"/>
                <w:color w:val="000000"/>
                <w:sz w:val="16"/>
                <w:szCs w:val="16"/>
              </w:rPr>
              <w:t xml:space="preserve">SRS Part 7</w:t>
            </w:r>
          </w:p>
        </w:tc>
      </w:tr>
      <w:tr>
        <w:tc>
          <w:tcPr>
            <w:tcW w:type="dxa" w:w="4385"/>
            <w:tcMar>
              <w:top w:type="dxa" w:w="50"/>
              <w:left w:type="dxa" w:w="80"/>
              <w:bottom w:type="dxa" w:w="50"/>
              <w:right w:type="dxa" w:w="80"/>
            </w:tcMar>
            <w:vAlign w:val="top"/>
          </w:tcPr>
          <w:p>
            <w:r>
              <w:rPr>
                <w:b/>
                <w:bCs/>
                <w:color w:val="000000"/>
                <w:sz w:val="16"/>
                <w:szCs w:val="16"/>
              </w:rPr>
              <w:t xml:space="preserve">Approvals</w:t>
            </w:r>
          </w:p>
        </w:tc>
        <w:tc>
          <w:tcPr>
            <w:tcW w:type="dxa" w:w="1462"/>
            <w:tcMar>
              <w:top w:type="dxa" w:w="50"/>
              <w:left w:type="dxa" w:w="80"/>
              <w:bottom w:type="dxa" w:w="50"/>
              <w:right w:type="dxa" w:w="80"/>
            </w:tcMar>
            <w:vAlign w:val="top"/>
          </w:tcPr>
          <w:p>
            <w:r>
              <w:rPr>
                <w:b w:val="false"/>
                <w:bCs w:val="false"/>
                <w:color w:val="000000"/>
                <w:sz w:val="16"/>
                <w:szCs w:val="16"/>
              </w:rPr>
              <w:t xml:space="preserve">2</w:t>
            </w:r>
          </w:p>
        </w:tc>
        <w:tc>
          <w:tcPr>
            <w:tcW w:type="dxa" w:w="4594"/>
            <w:tcMar>
              <w:top w:type="dxa" w:w="50"/>
              <w:left w:type="dxa" w:w="80"/>
              <w:bottom w:type="dxa" w:w="50"/>
              <w:right w:type="dxa" w:w="80"/>
            </w:tcMar>
            <w:vAlign w:val="top"/>
          </w:tcPr>
          <w:p>
            <w:r>
              <w:rPr>
                <w:b w:val="false"/>
                <w:bCs w:val="false"/>
                <w:color w:val="000000"/>
                <w:sz w:val="16"/>
                <w:szCs w:val="16"/>
              </w:rPr>
              <w:t xml:space="preserve">SRS Part 8</w:t>
            </w:r>
          </w:p>
        </w:tc>
      </w:tr>
      <w:tr>
        <w:tc>
          <w:tcPr>
            <w:tcW w:type="dxa" w:w="4385"/>
            <w:tcMar>
              <w:top w:type="dxa" w:w="50"/>
              <w:left w:type="dxa" w:w="80"/>
              <w:bottom w:type="dxa" w:w="50"/>
              <w:right w:type="dxa" w:w="80"/>
            </w:tcMar>
            <w:vAlign w:val="top"/>
          </w:tcPr>
          <w:p>
            <w:r>
              <w:rPr>
                <w:b/>
                <w:bCs/>
                <w:color w:val="000000"/>
                <w:sz w:val="16"/>
                <w:szCs w:val="16"/>
              </w:rPr>
              <w:t xml:space="preserve">Security</w:t>
            </w:r>
          </w:p>
        </w:tc>
        <w:tc>
          <w:tcPr>
            <w:tcW w:type="dxa" w:w="1462"/>
            <w:tcMar>
              <w:top w:type="dxa" w:w="50"/>
              <w:left w:type="dxa" w:w="80"/>
              <w:bottom w:type="dxa" w:w="50"/>
              <w:right w:type="dxa" w:w="80"/>
            </w:tcMar>
            <w:vAlign w:val="top"/>
          </w:tcPr>
          <w:p>
            <w:r>
              <w:rPr>
                <w:b w:val="false"/>
                <w:bCs w:val="false"/>
                <w:color w:val="000000"/>
                <w:sz w:val="16"/>
                <w:szCs w:val="16"/>
              </w:rPr>
              <w:t xml:space="preserve">2</w:t>
            </w:r>
          </w:p>
        </w:tc>
        <w:tc>
          <w:tcPr>
            <w:tcW w:type="dxa" w:w="4594"/>
            <w:tcMar>
              <w:top w:type="dxa" w:w="50"/>
              <w:left w:type="dxa" w:w="80"/>
              <w:bottom w:type="dxa" w:w="50"/>
              <w:right w:type="dxa" w:w="80"/>
            </w:tcMar>
            <w:vAlign w:val="top"/>
          </w:tcPr>
          <w:p>
            <w:r>
              <w:rPr>
                <w:b w:val="false"/>
                <w:bCs w:val="false"/>
                <w:color w:val="000000"/>
                <w:sz w:val="16"/>
                <w:szCs w:val="16"/>
              </w:rPr>
              <w:t xml:space="preserve">SRS Part 9, Part 32</w:t>
            </w:r>
          </w:p>
        </w:tc>
      </w:tr>
      <w:tr>
        <w:tc>
          <w:tcPr>
            <w:tcW w:type="dxa" w:w="4385"/>
            <w:tcMar>
              <w:top w:type="dxa" w:w="50"/>
              <w:left w:type="dxa" w:w="80"/>
              <w:bottom w:type="dxa" w:w="50"/>
              <w:right w:type="dxa" w:w="80"/>
            </w:tcMar>
            <w:vAlign w:val="top"/>
          </w:tcPr>
          <w:p>
            <w:r>
              <w:rPr>
                <w:b/>
                <w:bCs/>
                <w:color w:val="000000"/>
                <w:sz w:val="16"/>
                <w:szCs w:val="16"/>
              </w:rPr>
              <w:t xml:space="preserve">Administration</w:t>
            </w:r>
          </w:p>
        </w:tc>
        <w:tc>
          <w:tcPr>
            <w:tcW w:type="dxa" w:w="1462"/>
            <w:tcMar>
              <w:top w:type="dxa" w:w="50"/>
              <w:left w:type="dxa" w:w="80"/>
              <w:bottom w:type="dxa" w:w="50"/>
              <w:right w:type="dxa" w:w="80"/>
            </w:tcMar>
            <w:vAlign w:val="top"/>
          </w:tcPr>
          <w:p>
            <w:r>
              <w:rPr>
                <w:b w:val="false"/>
                <w:bCs w:val="false"/>
                <w:color w:val="000000"/>
                <w:sz w:val="16"/>
                <w:szCs w:val="16"/>
              </w:rPr>
              <w:t xml:space="preserve">2</w:t>
            </w:r>
          </w:p>
        </w:tc>
        <w:tc>
          <w:tcPr>
            <w:tcW w:type="dxa" w:w="4594"/>
            <w:tcMar>
              <w:top w:type="dxa" w:w="50"/>
              <w:left w:type="dxa" w:w="80"/>
              <w:bottom w:type="dxa" w:w="50"/>
              <w:right w:type="dxa" w:w="80"/>
            </w:tcMar>
            <w:vAlign w:val="top"/>
          </w:tcPr>
          <w:p>
            <w:r>
              <w:rPr>
                <w:b w:val="false"/>
                <w:bCs w:val="false"/>
                <w:color w:val="000000"/>
                <w:sz w:val="16"/>
                <w:szCs w:val="16"/>
              </w:rPr>
              <w:t xml:space="preserve">SRS Part 10</w:t>
            </w:r>
          </w:p>
        </w:tc>
      </w:tr>
      <w:tr>
        <w:tc>
          <w:tcPr>
            <w:tcW w:type="dxa" w:w="4385"/>
            <w:tcMar>
              <w:top w:type="dxa" w:w="50"/>
              <w:left w:type="dxa" w:w="80"/>
              <w:bottom w:type="dxa" w:w="50"/>
              <w:right w:type="dxa" w:w="80"/>
            </w:tcMar>
            <w:vAlign w:val="top"/>
          </w:tcPr>
          <w:p>
            <w:r>
              <w:rPr>
                <w:b/>
                <w:bCs/>
                <w:color w:val="000000"/>
                <w:sz w:val="16"/>
                <w:szCs w:val="16"/>
              </w:rPr>
              <w:t xml:space="preserve">Documents</w:t>
            </w:r>
          </w:p>
        </w:tc>
        <w:tc>
          <w:tcPr>
            <w:tcW w:type="dxa" w:w="1462"/>
            <w:tcMar>
              <w:top w:type="dxa" w:w="50"/>
              <w:left w:type="dxa" w:w="80"/>
              <w:bottom w:type="dxa" w:w="50"/>
              <w:right w:type="dxa" w:w="80"/>
            </w:tcMar>
            <w:vAlign w:val="top"/>
          </w:tcPr>
          <w:p>
            <w:r>
              <w:rPr>
                <w:b w:val="false"/>
                <w:bCs w:val="false"/>
                <w:color w:val="000000"/>
                <w:sz w:val="16"/>
                <w:szCs w:val="16"/>
              </w:rPr>
              <w:t xml:space="preserve">3</w:t>
            </w:r>
          </w:p>
        </w:tc>
        <w:tc>
          <w:tcPr>
            <w:tcW w:type="dxa" w:w="4594"/>
            <w:tcMar>
              <w:top w:type="dxa" w:w="50"/>
              <w:left w:type="dxa" w:w="80"/>
              <w:bottom w:type="dxa" w:w="50"/>
              <w:right w:type="dxa" w:w="80"/>
            </w:tcMar>
            <w:vAlign w:val="top"/>
          </w:tcPr>
          <w:p>
            <w:r>
              <w:rPr>
                <w:b w:val="false"/>
                <w:bCs w:val="false"/>
                <w:color w:val="000000"/>
                <w:sz w:val="16"/>
                <w:szCs w:val="16"/>
              </w:rPr>
              <w:t xml:space="preserve">SRS Part 11</w:t>
            </w:r>
          </w:p>
        </w:tc>
      </w:tr>
      <w:tr>
        <w:tc>
          <w:tcPr>
            <w:tcW w:type="dxa" w:w="4385"/>
            <w:tcMar>
              <w:top w:type="dxa" w:w="50"/>
              <w:left w:type="dxa" w:w="80"/>
              <w:bottom w:type="dxa" w:w="50"/>
              <w:right w:type="dxa" w:w="80"/>
            </w:tcMar>
            <w:vAlign w:val="top"/>
          </w:tcPr>
          <w:p>
            <w:r>
              <w:rPr>
                <w:b/>
                <w:bCs/>
                <w:color w:val="000000"/>
                <w:sz w:val="16"/>
                <w:szCs w:val="16"/>
              </w:rPr>
              <w:t xml:space="preserve">Knowledge Repository</w:t>
            </w:r>
          </w:p>
        </w:tc>
        <w:tc>
          <w:tcPr>
            <w:tcW w:type="dxa" w:w="1462"/>
            <w:tcMar>
              <w:top w:type="dxa" w:w="50"/>
              <w:left w:type="dxa" w:w="80"/>
              <w:bottom w:type="dxa" w:w="50"/>
              <w:right w:type="dxa" w:w="80"/>
            </w:tcMar>
            <w:vAlign w:val="top"/>
          </w:tcPr>
          <w:p>
            <w:r>
              <w:rPr>
                <w:b w:val="false"/>
                <w:bCs w:val="false"/>
                <w:color w:val="000000"/>
                <w:sz w:val="16"/>
                <w:szCs w:val="16"/>
              </w:rPr>
              <w:t xml:space="preserve">3</w:t>
            </w:r>
          </w:p>
        </w:tc>
        <w:tc>
          <w:tcPr>
            <w:tcW w:type="dxa" w:w="4594"/>
            <w:tcMar>
              <w:top w:type="dxa" w:w="50"/>
              <w:left w:type="dxa" w:w="80"/>
              <w:bottom w:type="dxa" w:w="50"/>
              <w:right w:type="dxa" w:w="80"/>
            </w:tcMar>
            <w:vAlign w:val="top"/>
          </w:tcPr>
          <w:p>
            <w:r>
              <w:rPr>
                <w:b w:val="false"/>
                <w:bCs w:val="false"/>
                <w:color w:val="000000"/>
                <w:sz w:val="16"/>
                <w:szCs w:val="16"/>
              </w:rPr>
              <w:t xml:space="preserve">SRS Part 12</w:t>
            </w:r>
          </w:p>
        </w:tc>
      </w:tr>
      <w:tr>
        <w:tc>
          <w:tcPr>
            <w:tcW w:type="dxa" w:w="4385"/>
            <w:tcMar>
              <w:top w:type="dxa" w:w="50"/>
              <w:left w:type="dxa" w:w="80"/>
              <w:bottom w:type="dxa" w:w="50"/>
              <w:right w:type="dxa" w:w="80"/>
            </w:tcMar>
            <w:vAlign w:val="top"/>
          </w:tcPr>
          <w:p>
            <w:r>
              <w:rPr>
                <w:b/>
                <w:bCs/>
                <w:color w:val="000000"/>
                <w:sz w:val="16"/>
                <w:szCs w:val="16"/>
              </w:rPr>
              <w:t xml:space="preserve">Media</w:t>
            </w:r>
          </w:p>
        </w:tc>
        <w:tc>
          <w:tcPr>
            <w:tcW w:type="dxa" w:w="1462"/>
            <w:tcMar>
              <w:top w:type="dxa" w:w="50"/>
              <w:left w:type="dxa" w:w="80"/>
              <w:bottom w:type="dxa" w:w="50"/>
              <w:right w:type="dxa" w:w="80"/>
            </w:tcMar>
            <w:vAlign w:val="top"/>
          </w:tcPr>
          <w:p>
            <w:r>
              <w:rPr>
                <w:b w:val="false"/>
                <w:bCs w:val="false"/>
                <w:color w:val="000000"/>
                <w:sz w:val="16"/>
                <w:szCs w:val="16"/>
              </w:rPr>
              <w:t xml:space="preserve">2</w:t>
            </w:r>
          </w:p>
        </w:tc>
        <w:tc>
          <w:tcPr>
            <w:tcW w:type="dxa" w:w="4594"/>
            <w:tcMar>
              <w:top w:type="dxa" w:w="50"/>
              <w:left w:type="dxa" w:w="80"/>
              <w:bottom w:type="dxa" w:w="50"/>
              <w:right w:type="dxa" w:w="80"/>
            </w:tcMar>
            <w:vAlign w:val="top"/>
          </w:tcPr>
          <w:p>
            <w:r>
              <w:rPr>
                <w:b w:val="false"/>
                <w:bCs w:val="false"/>
                <w:color w:val="000000"/>
                <w:sz w:val="16"/>
                <w:szCs w:val="16"/>
              </w:rPr>
              <w:t xml:space="preserve">SRS Part 13</w:t>
            </w:r>
          </w:p>
        </w:tc>
      </w:tr>
      <w:tr>
        <w:tc>
          <w:tcPr>
            <w:tcW w:type="dxa" w:w="4385"/>
            <w:tcMar>
              <w:top w:type="dxa" w:w="50"/>
              <w:left w:type="dxa" w:w="80"/>
              <w:bottom w:type="dxa" w:w="50"/>
              <w:right w:type="dxa" w:w="80"/>
            </w:tcMar>
            <w:vAlign w:val="top"/>
          </w:tcPr>
          <w:p>
            <w:r>
              <w:rPr>
                <w:b/>
                <w:bCs/>
                <w:color w:val="000000"/>
                <w:sz w:val="16"/>
                <w:szCs w:val="16"/>
              </w:rPr>
              <w:t xml:space="preserve">Search</w:t>
            </w:r>
          </w:p>
        </w:tc>
        <w:tc>
          <w:tcPr>
            <w:tcW w:type="dxa" w:w="1462"/>
            <w:tcMar>
              <w:top w:type="dxa" w:w="50"/>
              <w:left w:type="dxa" w:w="80"/>
              <w:bottom w:type="dxa" w:w="50"/>
              <w:right w:type="dxa" w:w="80"/>
            </w:tcMar>
            <w:vAlign w:val="top"/>
          </w:tcPr>
          <w:p>
            <w:r>
              <w:rPr>
                <w:b w:val="false"/>
                <w:bCs w:val="false"/>
                <w:color w:val="000000"/>
                <w:sz w:val="16"/>
                <w:szCs w:val="16"/>
              </w:rPr>
              <w:t xml:space="preserve">2</w:t>
            </w:r>
          </w:p>
        </w:tc>
        <w:tc>
          <w:tcPr>
            <w:tcW w:type="dxa" w:w="4594"/>
            <w:tcMar>
              <w:top w:type="dxa" w:w="50"/>
              <w:left w:type="dxa" w:w="80"/>
              <w:bottom w:type="dxa" w:w="50"/>
              <w:right w:type="dxa" w:w="80"/>
            </w:tcMar>
            <w:vAlign w:val="top"/>
          </w:tcPr>
          <w:p>
            <w:r>
              <w:rPr>
                <w:b w:val="false"/>
                <w:bCs w:val="false"/>
                <w:color w:val="000000"/>
                <w:sz w:val="16"/>
                <w:szCs w:val="16"/>
              </w:rPr>
              <w:t xml:space="preserve">SRS Part 14, Part 31</w:t>
            </w:r>
          </w:p>
        </w:tc>
      </w:tr>
      <w:tr>
        <w:tc>
          <w:tcPr>
            <w:tcW w:type="dxa" w:w="4385"/>
            <w:tcMar>
              <w:top w:type="dxa" w:w="50"/>
              <w:left w:type="dxa" w:w="80"/>
              <w:bottom w:type="dxa" w:w="50"/>
              <w:right w:type="dxa" w:w="80"/>
            </w:tcMar>
            <w:vAlign w:val="top"/>
          </w:tcPr>
          <w:p>
            <w:r>
              <w:rPr>
                <w:b/>
                <w:bCs/>
                <w:color w:val="000000"/>
                <w:sz w:val="16"/>
                <w:szCs w:val="16"/>
              </w:rPr>
              <w:t xml:space="preserve">Reporting</w:t>
            </w:r>
          </w:p>
        </w:tc>
        <w:tc>
          <w:tcPr>
            <w:tcW w:type="dxa" w:w="1462"/>
            <w:tcMar>
              <w:top w:type="dxa" w:w="50"/>
              <w:left w:type="dxa" w:w="80"/>
              <w:bottom w:type="dxa" w:w="50"/>
              <w:right w:type="dxa" w:w="80"/>
            </w:tcMar>
            <w:vAlign w:val="top"/>
          </w:tcPr>
          <w:p>
            <w:r>
              <w:rPr>
                <w:b w:val="false"/>
                <w:bCs w:val="false"/>
                <w:color w:val="000000"/>
                <w:sz w:val="16"/>
                <w:szCs w:val="16"/>
              </w:rPr>
              <w:t xml:space="preserve">2</w:t>
            </w:r>
          </w:p>
        </w:tc>
        <w:tc>
          <w:tcPr>
            <w:tcW w:type="dxa" w:w="4594"/>
            <w:tcMar>
              <w:top w:type="dxa" w:w="50"/>
              <w:left w:type="dxa" w:w="80"/>
              <w:bottom w:type="dxa" w:w="50"/>
              <w:right w:type="dxa" w:w="80"/>
            </w:tcMar>
            <w:vAlign w:val="top"/>
          </w:tcPr>
          <w:p>
            <w:r>
              <w:rPr>
                <w:b w:val="false"/>
                <w:bCs w:val="false"/>
                <w:color w:val="000000"/>
                <w:sz w:val="16"/>
                <w:szCs w:val="16"/>
              </w:rPr>
              <w:t xml:space="preserve">SRS Part 15, Part 25</w:t>
            </w:r>
          </w:p>
        </w:tc>
      </w:tr>
      <w:tr>
        <w:tc>
          <w:tcPr>
            <w:tcW w:type="dxa" w:w="4385"/>
            <w:tcMar>
              <w:top w:type="dxa" w:w="50"/>
              <w:left w:type="dxa" w:w="80"/>
              <w:bottom w:type="dxa" w:w="50"/>
              <w:right w:type="dxa" w:w="80"/>
            </w:tcMar>
            <w:vAlign w:val="top"/>
          </w:tcPr>
          <w:p>
            <w:r>
              <w:rPr>
                <w:b/>
                <w:bCs/>
                <w:color w:val="000000"/>
                <w:sz w:val="16"/>
                <w:szCs w:val="16"/>
              </w:rPr>
              <w:t xml:space="preserve">Analytics</w:t>
            </w:r>
          </w:p>
        </w:tc>
        <w:tc>
          <w:tcPr>
            <w:tcW w:type="dxa" w:w="1462"/>
            <w:tcMar>
              <w:top w:type="dxa" w:w="50"/>
              <w:left w:type="dxa" w:w="80"/>
              <w:bottom w:type="dxa" w:w="50"/>
              <w:right w:type="dxa" w:w="80"/>
            </w:tcMar>
            <w:vAlign w:val="top"/>
          </w:tcPr>
          <w:p>
            <w:r>
              <w:rPr>
                <w:b w:val="false"/>
                <w:bCs w:val="false"/>
                <w:color w:val="000000"/>
                <w:sz w:val="16"/>
                <w:szCs w:val="16"/>
              </w:rPr>
              <w:t xml:space="preserve">2</w:t>
            </w:r>
          </w:p>
        </w:tc>
        <w:tc>
          <w:tcPr>
            <w:tcW w:type="dxa" w:w="4594"/>
            <w:tcMar>
              <w:top w:type="dxa" w:w="50"/>
              <w:left w:type="dxa" w:w="80"/>
              <w:bottom w:type="dxa" w:w="50"/>
              <w:right w:type="dxa" w:w="80"/>
            </w:tcMar>
            <w:vAlign w:val="top"/>
          </w:tcPr>
          <w:p>
            <w:r>
              <w:rPr>
                <w:b w:val="false"/>
                <w:bCs w:val="false"/>
                <w:color w:val="000000"/>
                <w:sz w:val="16"/>
                <w:szCs w:val="16"/>
              </w:rPr>
              <w:t xml:space="preserve">SRS Part 16, Part 24</w:t>
            </w:r>
          </w:p>
        </w:tc>
      </w:tr>
      <w:tr>
        <w:tc>
          <w:tcPr>
            <w:tcW w:type="dxa" w:w="4385"/>
            <w:tcMar>
              <w:top w:type="dxa" w:w="50"/>
              <w:left w:type="dxa" w:w="80"/>
              <w:bottom w:type="dxa" w:w="50"/>
              <w:right w:type="dxa" w:w="80"/>
            </w:tcMar>
            <w:vAlign w:val="top"/>
          </w:tcPr>
          <w:p>
            <w:r>
              <w:rPr>
                <w:b/>
                <w:bCs/>
                <w:color w:val="000000"/>
                <w:sz w:val="16"/>
                <w:szCs w:val="16"/>
              </w:rPr>
              <w:t xml:space="preserve">Notifications</w:t>
            </w:r>
          </w:p>
        </w:tc>
        <w:tc>
          <w:tcPr>
            <w:tcW w:type="dxa" w:w="1462"/>
            <w:tcMar>
              <w:top w:type="dxa" w:w="50"/>
              <w:left w:type="dxa" w:w="80"/>
              <w:bottom w:type="dxa" w:w="50"/>
              <w:right w:type="dxa" w:w="80"/>
            </w:tcMar>
            <w:vAlign w:val="top"/>
          </w:tcPr>
          <w:p>
            <w:r>
              <w:rPr>
                <w:b w:val="false"/>
                <w:bCs w:val="false"/>
                <w:color w:val="000000"/>
                <w:sz w:val="16"/>
                <w:szCs w:val="16"/>
              </w:rPr>
              <w:t xml:space="preserve">2</w:t>
            </w:r>
          </w:p>
        </w:tc>
        <w:tc>
          <w:tcPr>
            <w:tcW w:type="dxa" w:w="4594"/>
            <w:tcMar>
              <w:top w:type="dxa" w:w="50"/>
              <w:left w:type="dxa" w:w="80"/>
              <w:bottom w:type="dxa" w:w="50"/>
              <w:right w:type="dxa" w:w="80"/>
            </w:tcMar>
            <w:vAlign w:val="top"/>
          </w:tcPr>
          <w:p>
            <w:r>
              <w:rPr>
                <w:b w:val="false"/>
                <w:bCs w:val="false"/>
                <w:color w:val="000000"/>
                <w:sz w:val="16"/>
                <w:szCs w:val="16"/>
              </w:rPr>
              <w:t xml:space="preserve">SRS Part 17, Part 26</w:t>
            </w:r>
          </w:p>
        </w:tc>
      </w:tr>
      <w:tr>
        <w:tc>
          <w:tcPr>
            <w:tcW w:type="dxa" w:w="4385"/>
            <w:tcMar>
              <w:top w:type="dxa" w:w="50"/>
              <w:left w:type="dxa" w:w="80"/>
              <w:bottom w:type="dxa" w:w="50"/>
              <w:right w:type="dxa" w:w="80"/>
            </w:tcMar>
            <w:vAlign w:val="top"/>
          </w:tcPr>
          <w:p>
            <w:r>
              <w:rPr>
                <w:b/>
                <w:bCs/>
                <w:color w:val="000000"/>
                <w:sz w:val="16"/>
                <w:szCs w:val="16"/>
              </w:rPr>
              <w:t xml:space="preserve">Training</w:t>
            </w:r>
          </w:p>
        </w:tc>
        <w:tc>
          <w:tcPr>
            <w:tcW w:type="dxa" w:w="1462"/>
            <w:tcMar>
              <w:top w:type="dxa" w:w="50"/>
              <w:left w:type="dxa" w:w="80"/>
              <w:bottom w:type="dxa" w:w="50"/>
              <w:right w:type="dxa" w:w="80"/>
            </w:tcMar>
            <w:vAlign w:val="top"/>
          </w:tcPr>
          <w:p>
            <w:r>
              <w:rPr>
                <w:b w:val="false"/>
                <w:bCs w:val="false"/>
                <w:color w:val="000000"/>
                <w:sz w:val="16"/>
                <w:szCs w:val="16"/>
              </w:rPr>
              <w:t xml:space="preserve">3</w:t>
            </w:r>
          </w:p>
        </w:tc>
        <w:tc>
          <w:tcPr>
            <w:tcW w:type="dxa" w:w="4594"/>
            <w:tcMar>
              <w:top w:type="dxa" w:w="50"/>
              <w:left w:type="dxa" w:w="80"/>
              <w:bottom w:type="dxa" w:w="50"/>
              <w:right w:type="dxa" w:w="80"/>
            </w:tcMar>
            <w:vAlign w:val="top"/>
          </w:tcPr>
          <w:p>
            <w:r>
              <w:rPr>
                <w:b w:val="false"/>
                <w:bCs w:val="false"/>
                <w:color w:val="000000"/>
                <w:sz w:val="16"/>
                <w:szCs w:val="16"/>
              </w:rPr>
              <w:t xml:space="preserve">SRS Part 18</w:t>
            </w:r>
          </w:p>
        </w:tc>
      </w:tr>
      <w:tr>
        <w:tc>
          <w:tcPr>
            <w:tcW w:type="dxa" w:w="4385"/>
            <w:tcMar>
              <w:top w:type="dxa" w:w="50"/>
              <w:left w:type="dxa" w:w="80"/>
              <w:bottom w:type="dxa" w:w="50"/>
              <w:right w:type="dxa" w:w="80"/>
            </w:tcMar>
            <w:vAlign w:val="top"/>
          </w:tcPr>
          <w:p>
            <w:r>
              <w:rPr>
                <w:b/>
                <w:bCs/>
                <w:color w:val="000000"/>
                <w:sz w:val="16"/>
                <w:szCs w:val="16"/>
              </w:rPr>
              <w:t xml:space="preserve">Support</w:t>
            </w:r>
          </w:p>
        </w:tc>
        <w:tc>
          <w:tcPr>
            <w:tcW w:type="dxa" w:w="1462"/>
            <w:tcMar>
              <w:top w:type="dxa" w:w="50"/>
              <w:left w:type="dxa" w:w="80"/>
              <w:bottom w:type="dxa" w:w="50"/>
              <w:right w:type="dxa" w:w="80"/>
            </w:tcMar>
            <w:vAlign w:val="top"/>
          </w:tcPr>
          <w:p>
            <w:r>
              <w:rPr>
                <w:b w:val="false"/>
                <w:bCs w:val="false"/>
                <w:color w:val="000000"/>
                <w:sz w:val="16"/>
                <w:szCs w:val="16"/>
              </w:rPr>
              <w:t xml:space="preserve">2</w:t>
            </w:r>
          </w:p>
        </w:tc>
        <w:tc>
          <w:tcPr>
            <w:tcW w:type="dxa" w:w="4594"/>
            <w:tcMar>
              <w:top w:type="dxa" w:w="50"/>
              <w:left w:type="dxa" w:w="80"/>
              <w:bottom w:type="dxa" w:w="50"/>
              <w:right w:type="dxa" w:w="80"/>
            </w:tcMar>
            <w:vAlign w:val="top"/>
          </w:tcPr>
          <w:p>
            <w:r>
              <w:rPr>
                <w:b w:val="false"/>
                <w:bCs w:val="false"/>
                <w:color w:val="000000"/>
                <w:sz w:val="16"/>
                <w:szCs w:val="16"/>
              </w:rPr>
              <w:t xml:space="preserve">SRS Part 19</w:t>
            </w:r>
          </w:p>
        </w:tc>
      </w:tr>
      <w:tr>
        <w:tc>
          <w:tcPr>
            <w:tcW w:type="dxa" w:w="4385"/>
            <w:tcMar>
              <w:top w:type="dxa" w:w="50"/>
              <w:left w:type="dxa" w:w="80"/>
              <w:bottom w:type="dxa" w:w="50"/>
              <w:right w:type="dxa" w:w="80"/>
            </w:tcMar>
            <w:vAlign w:val="top"/>
          </w:tcPr>
          <w:p>
            <w:r>
              <w:rPr>
                <w:b/>
                <w:bCs/>
                <w:color w:val="000000"/>
                <w:sz w:val="16"/>
                <w:szCs w:val="16"/>
              </w:rPr>
              <w:t xml:space="preserve">Help Desk</w:t>
            </w:r>
          </w:p>
        </w:tc>
        <w:tc>
          <w:tcPr>
            <w:tcW w:type="dxa" w:w="1462"/>
            <w:tcMar>
              <w:top w:type="dxa" w:w="50"/>
              <w:left w:type="dxa" w:w="80"/>
              <w:bottom w:type="dxa" w:w="50"/>
              <w:right w:type="dxa" w:w="80"/>
            </w:tcMar>
            <w:vAlign w:val="top"/>
          </w:tcPr>
          <w:p>
            <w:r>
              <w:rPr>
                <w:b w:val="false"/>
                <w:bCs w:val="false"/>
                <w:color w:val="000000"/>
                <w:sz w:val="16"/>
                <w:szCs w:val="16"/>
              </w:rPr>
              <w:t xml:space="preserve">2</w:t>
            </w:r>
          </w:p>
        </w:tc>
        <w:tc>
          <w:tcPr>
            <w:tcW w:type="dxa" w:w="4594"/>
            <w:tcMar>
              <w:top w:type="dxa" w:w="50"/>
              <w:left w:type="dxa" w:w="80"/>
              <w:bottom w:type="dxa" w:w="50"/>
              <w:right w:type="dxa" w:w="80"/>
            </w:tcMar>
            <w:vAlign w:val="top"/>
          </w:tcPr>
          <w:p>
            <w:r>
              <w:rPr>
                <w:b w:val="false"/>
                <w:bCs w:val="false"/>
                <w:color w:val="000000"/>
                <w:sz w:val="16"/>
                <w:szCs w:val="16"/>
              </w:rPr>
              <w:t xml:space="preserve">SRS Part 20</w:t>
            </w:r>
          </w:p>
        </w:tc>
      </w:tr>
      <w:tr>
        <w:tc>
          <w:tcPr>
            <w:tcW w:type="dxa" w:w="4385"/>
            <w:tcMar>
              <w:top w:type="dxa" w:w="50"/>
              <w:left w:type="dxa" w:w="80"/>
              <w:bottom w:type="dxa" w:w="50"/>
              <w:right w:type="dxa" w:w="80"/>
            </w:tcMar>
            <w:vAlign w:val="top"/>
          </w:tcPr>
          <w:p>
            <w:r>
              <w:rPr>
                <w:b/>
                <w:bCs/>
                <w:color w:val="000000"/>
                <w:sz w:val="16"/>
                <w:szCs w:val="16"/>
              </w:rPr>
              <w:t xml:space="preserve">Public Portal</w:t>
            </w:r>
          </w:p>
        </w:tc>
        <w:tc>
          <w:tcPr>
            <w:tcW w:type="dxa" w:w="1462"/>
            <w:tcMar>
              <w:top w:type="dxa" w:w="50"/>
              <w:left w:type="dxa" w:w="80"/>
              <w:bottom w:type="dxa" w:w="50"/>
              <w:right w:type="dxa" w:w="80"/>
            </w:tcMar>
            <w:vAlign w:val="top"/>
          </w:tcPr>
          <w:p>
            <w:r>
              <w:rPr>
                <w:b w:val="false"/>
                <w:bCs w:val="false"/>
                <w:color w:val="000000"/>
                <w:sz w:val="16"/>
                <w:szCs w:val="16"/>
              </w:rPr>
              <w:t xml:space="preserve">3</w:t>
            </w:r>
          </w:p>
        </w:tc>
        <w:tc>
          <w:tcPr>
            <w:tcW w:type="dxa" w:w="4594"/>
            <w:tcMar>
              <w:top w:type="dxa" w:w="50"/>
              <w:left w:type="dxa" w:w="80"/>
              <w:bottom w:type="dxa" w:w="50"/>
              <w:right w:type="dxa" w:w="80"/>
            </w:tcMar>
            <w:vAlign w:val="top"/>
          </w:tcPr>
          <w:p>
            <w:r>
              <w:rPr>
                <w:b w:val="false"/>
                <w:bCs w:val="false"/>
                <w:color w:val="000000"/>
                <w:sz w:val="16"/>
                <w:szCs w:val="16"/>
              </w:rPr>
              <w:t xml:space="preserve">SRS Part 21</w:t>
            </w:r>
          </w:p>
        </w:tc>
      </w:tr>
      <w:tr>
        <w:tc>
          <w:tcPr>
            <w:tcW w:type="dxa" w:w="4385"/>
            <w:tcMar>
              <w:top w:type="dxa" w:w="50"/>
              <w:left w:type="dxa" w:w="80"/>
              <w:bottom w:type="dxa" w:w="50"/>
              <w:right w:type="dxa" w:w="80"/>
            </w:tcMar>
            <w:vAlign w:val="top"/>
          </w:tcPr>
          <w:p>
            <w:r>
              <w:rPr>
                <w:b/>
                <w:bCs/>
                <w:color w:val="000000"/>
                <w:sz w:val="16"/>
                <w:szCs w:val="16"/>
              </w:rPr>
              <w:t xml:space="preserve">AI Assistant (Phase 2)</w:t>
            </w:r>
          </w:p>
        </w:tc>
        <w:tc>
          <w:tcPr>
            <w:tcW w:type="dxa" w:w="1462"/>
            <w:tcMar>
              <w:top w:type="dxa" w:w="50"/>
              <w:left w:type="dxa" w:w="80"/>
              <w:bottom w:type="dxa" w:w="50"/>
              <w:right w:type="dxa" w:w="80"/>
            </w:tcMar>
            <w:vAlign w:val="top"/>
          </w:tcPr>
          <w:p>
            <w:r>
              <w:rPr>
                <w:b w:val="false"/>
                <w:bCs w:val="false"/>
                <w:color w:val="000000"/>
                <w:sz w:val="16"/>
                <w:szCs w:val="16"/>
              </w:rPr>
              <w:t xml:space="preserve">2</w:t>
            </w:r>
          </w:p>
        </w:tc>
        <w:tc>
          <w:tcPr>
            <w:tcW w:type="dxa" w:w="4594"/>
            <w:tcMar>
              <w:top w:type="dxa" w:w="50"/>
              <w:left w:type="dxa" w:w="80"/>
              <w:bottom w:type="dxa" w:w="50"/>
              <w:right w:type="dxa" w:w="80"/>
            </w:tcMar>
            <w:vAlign w:val="top"/>
          </w:tcPr>
          <w:p>
            <w:r>
              <w:rPr>
                <w:b w:val="false"/>
                <w:bCs w:val="false"/>
                <w:color w:val="000000"/>
                <w:sz w:val="16"/>
                <w:szCs w:val="16"/>
              </w:rPr>
              <w:t xml:space="preserve">SRS Part 22</w:t>
            </w:r>
          </w:p>
        </w:tc>
      </w:tr>
      <w:tr>
        <w:tc>
          <w:tcPr>
            <w:tcW w:type="dxa" w:w="4385"/>
            <w:tcMar>
              <w:top w:type="dxa" w:w="50"/>
              <w:left w:type="dxa" w:w="80"/>
              <w:bottom w:type="dxa" w:w="50"/>
              <w:right w:type="dxa" w:w="80"/>
            </w:tcMar>
            <w:vAlign w:val="top"/>
          </w:tcPr>
          <w:p>
            <w:r>
              <w:rPr>
                <w:b/>
                <w:bCs/>
                <w:color w:val="000000"/>
                <w:sz w:val="16"/>
                <w:szCs w:val="16"/>
              </w:rPr>
              <w:t xml:space="preserve">Governance Registers</w:t>
            </w:r>
          </w:p>
        </w:tc>
        <w:tc>
          <w:tcPr>
            <w:tcW w:type="dxa" w:w="1462"/>
            <w:tcMar>
              <w:top w:type="dxa" w:w="50"/>
              <w:left w:type="dxa" w:w="80"/>
              <w:bottom w:type="dxa" w:w="50"/>
              <w:right w:type="dxa" w:w="80"/>
            </w:tcMar>
            <w:vAlign w:val="top"/>
          </w:tcPr>
          <w:p>
            <w:r>
              <w:rPr>
                <w:b w:val="false"/>
                <w:bCs w:val="false"/>
                <w:color w:val="000000"/>
                <w:sz w:val="16"/>
                <w:szCs w:val="16"/>
              </w:rPr>
              <w:t xml:space="preserve">3</w:t>
            </w:r>
          </w:p>
        </w:tc>
        <w:tc>
          <w:tcPr>
            <w:tcW w:type="dxa" w:w="4594"/>
            <w:tcMar>
              <w:top w:type="dxa" w:w="50"/>
              <w:left w:type="dxa" w:w="80"/>
              <w:bottom w:type="dxa" w:w="50"/>
              <w:right w:type="dxa" w:w="80"/>
            </w:tcMar>
            <w:vAlign w:val="top"/>
          </w:tcPr>
          <w:p>
            <w:r>
              <w:rPr>
                <w:b w:val="false"/>
                <w:bCs w:val="false"/>
                <w:color w:val="000000"/>
                <w:sz w:val="16"/>
                <w:szCs w:val="16"/>
              </w:rPr>
              <w:t xml:space="preserve">PDD Section 9 (Menu Structure); SRS Part 4</w:t>
            </w:r>
          </w:p>
        </w:tc>
      </w:tr>
      <w:tr>
        <w:tc>
          <w:tcPr>
            <w:tcW w:type="dxa" w:w="4385"/>
            <w:tcMar>
              <w:top w:type="dxa" w:w="50"/>
              <w:left w:type="dxa" w:w="80"/>
              <w:bottom w:type="dxa" w:w="50"/>
              <w:right w:type="dxa" w:w="80"/>
            </w:tcMar>
            <w:vAlign w:val="top"/>
          </w:tcPr>
          <w:p>
            <w:r>
              <w:rPr>
                <w:b/>
                <w:bCs/>
                <w:color w:val="000000"/>
                <w:sz w:val="16"/>
                <w:szCs w:val="16"/>
              </w:rPr>
              <w:t xml:space="preserve">Meetings &amp; Calendar</w:t>
            </w:r>
          </w:p>
        </w:tc>
        <w:tc>
          <w:tcPr>
            <w:tcW w:type="dxa" w:w="1462"/>
            <w:tcMar>
              <w:top w:type="dxa" w:w="50"/>
              <w:left w:type="dxa" w:w="80"/>
              <w:bottom w:type="dxa" w:w="50"/>
              <w:right w:type="dxa" w:w="80"/>
            </w:tcMar>
            <w:vAlign w:val="top"/>
          </w:tcPr>
          <w:p>
            <w:r>
              <w:rPr>
                <w:b w:val="false"/>
                <w:bCs w:val="false"/>
                <w:color w:val="000000"/>
                <w:sz w:val="16"/>
                <w:szCs w:val="16"/>
              </w:rPr>
              <w:t xml:space="preserve">3</w:t>
            </w:r>
          </w:p>
        </w:tc>
        <w:tc>
          <w:tcPr>
            <w:tcW w:type="dxa" w:w="4594"/>
            <w:tcMar>
              <w:top w:type="dxa" w:w="50"/>
              <w:left w:type="dxa" w:w="80"/>
              <w:bottom w:type="dxa" w:w="50"/>
              <w:right w:type="dxa" w:w="80"/>
            </w:tcMar>
            <w:vAlign w:val="top"/>
          </w:tcPr>
          <w:p>
            <w:r>
              <w:rPr>
                <w:b w:val="false"/>
                <w:bCs w:val="false"/>
                <w:color w:val="000000"/>
                <w:sz w:val="16"/>
                <w:szCs w:val="16"/>
              </w:rPr>
              <w:t xml:space="preserve">PDD Section 7 (Journey 9); PDD Section 9</w:t>
            </w:r>
          </w:p>
        </w:tc>
      </w:tr>
    </w:tbl>
    <w:p>
      <w:pPr>
        <w:spacing w:after="160"/>
      </w:pPr>
    </w:p>
    <w:p>
      <w:pPr>
        <w:pStyle w:val="Heading1"/>
        <w:pBdr>
          <w:bottom w:val="single" w:color="5C2D91" w:sz="6" w:space="4"/>
        </w:pBdr>
        <w:spacing w:after="130" w:before="320"/>
      </w:pPr>
      <w:r>
        <w:t xml:space="preserve">1.6 Database Boundaries</w:t>
      </w:r>
    </w:p>
    <w:p>
      <w:pPr>
        <w:spacing w:after="150" w:line="276"/>
        <w:jc w:val="both"/>
      </w:pPr>
      <w:r>
        <w:t xml:space="preserve">This DDS's boundary is persisted, structured business data reachable through the PostgreSQL schema and its companion OpenSearch index (Part 12). Three categories of data are explicitly out of scope for this document: session and cache state held in Redis (operational, not business-of-record data, and disposable by design); binary file content itself, which is held in object storage (S3-compatible, per EA Blueprint Section 10) with only metadata and storage keys represented in PostgreSQL (see DocumentVersion.file_path, MediaAsset.file_path); and application-layer configuration such as environment variables and deployment secrets, which belong to the DevOps runbook, not the data model.</w:t>
      </w:r>
    </w:p>
    <w:p>
      <w:pPr>
        <w:spacing w:after="150" w:line="276"/>
        <w:jc w:val="both"/>
      </w:pPr>
      <w:r>
        <w:t xml:space="preserve">A second boundary decision concerns Phase 2 scope: the AI Assistant domain (Domain 22) is modelled at a minimal, forward-compatible level only. Its two entities, AIQueryLog and AIKnowledgeEmbedding, are included so that Phase 1 implementation does not foreclose Phase 2 options, but per SRS Part 22 and Part 38 (Future Enhancements), they are explicitly not built in Phase 1 and carry no Phase 1 implementation obligation.</w:t>
      </w:r>
    </w:p>
    <w:p>
      <w:pPr>
        <w:pStyle w:val="Heading1"/>
        <w:pBdr>
          <w:bottom w:val="single" w:color="5C2D91" w:sz="6" w:space="4"/>
        </w:pBdr>
        <w:spacing w:after="130" w:before="320"/>
      </w:pPr>
      <w:r>
        <w:t xml:space="preserve">1.7 High-Level Data Flow</w:t>
      </w:r>
    </w:p>
    <w:p>
      <w:pPr>
        <w:spacing w:after="150" w:line="276"/>
        <w:jc w:val="both"/>
      </w:pPr>
      <w:r>
        <w:t xml:space="preserve">Data enters the system through four channels: direct user input via the ESM/CKR web application (the dominant channel — Task, Document, KnowledgeArticle, WorkPlan creation and updates); the plan-to-task conversion process, where an approved WorkPlan is parsed to generate Task records (SRS Part 6); the WorkflowItem/WorkflowDecision approval engine, which does not originate business data but gates its status transitions; and scheduled system processes — AnalyticsSnapshot capture, SearchIndexEntry synchronisation to OpenSearch, and ReportExecutionLog generation.</w:t>
      </w:r>
    </w:p>
    <w:p>
      <w:pPr>
        <w:spacing w:after="150" w:line="276"/>
        <w:jc w:val="both"/>
      </w:pPr>
      <w:r>
        <w:t xml:space="preserve">Every write to a transactional entity is mirrored, asynchronously and near-real-time, into two places: the AuditLog (Domain 9), providing a tamper-evident record of who changed what and when, satisfying SRS Part 32's audit logging requirement; and, for search-eligible entities (Document, KnowledgeArticle, Task), the SearchIndexEntry projection in OpenSearch, satisfying the federated search requirement in SRS Part 14. Neither of these downstream writes blocks the primary transaction — both are eventually-consistent by design, consistent with the performance targets fixed in Part 33 of the SRS and Part 16 of this DDS.</w:t>
      </w:r>
    </w:p>
    <w:p>
      <w:pPr>
        <w:pStyle w:val="Heading1"/>
        <w:pBdr>
          <w:bottom w:val="single" w:color="5C2D91" w:sz="6" w:space="4"/>
        </w:pBdr>
        <w:spacing w:after="130" w:before="320"/>
      </w:pPr>
      <w:r>
        <w:t xml:space="preserve">1.8 Database Principles</w:t>
      </w:r>
    </w:p>
    <w:p>
      <w:pPr>
        <w:spacing w:after="110" w:line="264"/>
      </w:pPr>
      <w:r>
        <w:rPr>
          <w:b/>
          <w:bCs/>
        </w:rPr>
        <w:t xml:space="preserve">1. </w:t>
      </w:r>
      <w:r>
        <w:t xml:space="preserve">Third Normal Form (3NF) by default. Every entity in Section 3 is normalised to 3NF unless an explicit denormalisation is named and justified (the two named exceptions are SearchIndexEntry, a deliberately denormalised search projection, and AnalyticsSnapshot, a deliberately denormalised time-series projection — both are derived data, not primary sources of truth).</w:t>
      </w:r>
    </w:p>
    <w:p>
      <w:pPr>
        <w:spacing w:after="110" w:line="264"/>
      </w:pPr>
      <w:r>
        <w:rPr>
          <w:b/>
          <w:bCs/>
        </w:rPr>
        <w:t xml:space="preserve">2. </w:t>
      </w:r>
      <w:r>
        <w:t xml:space="preserve">Referential integrity is enforced at the database level via foreign key constraints (Part 8), not only in application code — SRS Part 30's constraint requirement is treated as binding, not aspirational.</w:t>
      </w:r>
    </w:p>
    <w:p>
      <w:pPr>
        <w:spacing w:after="110" w:line="264"/>
      </w:pPr>
      <w:r>
        <w:rPr>
          <w:b/>
          <w:bCs/>
        </w:rPr>
        <w:t xml:space="preserve">3. </w:t>
      </w:r>
      <w:r>
        <w:t xml:space="preserve">Soft delete by default for user-generated content. deleted_at is populated, not the row removed, for every entity where SRS or this DDS names a recoverability or audit requirement (Part 10) — hard deletes are reserved for genuinely disposable data (SavedSearch, expired MFAToken records) named explicitly in Section 3.</w:t>
      </w:r>
    </w:p>
    <w:p>
      <w:pPr>
        <w:spacing w:after="110" w:line="264"/>
      </w:pPr>
      <w:r>
        <w:rPr>
          <w:b/>
          <w:bCs/>
        </w:rPr>
        <w:t xml:space="preserve">4. </w:t>
      </w:r>
      <w:r>
        <w:t xml:space="preserve">Security classification is a first-class schema property, not an afterthought. Every entity in the Entity Catalogue (Section 3) carries an explicit security classification, and every sensitive field in the Data Dictionary (Section 4) is flagged, feeding directly into the Security Model (Part 11).</w:t>
      </w:r>
    </w:p>
    <w:p>
      <w:pPr>
        <w:spacing w:after="110" w:line="264"/>
      </w:pPr>
      <w:r>
        <w:rPr>
          <w:b/>
          <w:bCs/>
        </w:rPr>
        <w:t xml:space="preserve">5. </w:t>
      </w:r>
      <w:r>
        <w:t xml:space="preserve">Auditability is universal for transactional data. The six standard audit fields (Part 10) are non-optional on every transactional table; this is a schema-wide constraint enforced by convention in this DDS and by migration tooling at implementation time.</w:t>
      </w:r>
    </w:p>
    <w:p>
      <w:pPr>
        <w:spacing w:after="110" w:line="264"/>
      </w:pPr>
      <w:r>
        <w:rPr>
          <w:b/>
          <w:bCs/>
        </w:rPr>
        <w:t xml:space="preserve">6. </w:t>
      </w:r>
      <w:r>
        <w:t xml:space="preserve">Extensibility is planned, not retrofitted. Phase 2 domains (AI Assistant) and known future integrations (Part 17) are named in the schema now, at a minimal footprint, so that Phase 2 work extends rather than restructures the Phase 1 schema.</w:t>
      </w:r>
    </w:p>
    <w:p>
      <w:pPr>
        <w:spacing w:after="110" w:line="264"/>
      </w:pPr>
      <w:r>
        <w:rPr>
          <w:b/>
          <w:bCs/>
        </w:rPr>
        <w:t xml:space="preserve">7. </w:t>
      </w:r>
      <w:r>
        <w:t xml:space="preserve">Every design decision in this DDS is explained, not merely stated — consistent with the QA requirement that assumptions and trade-offs be visible to the reviewing engineering team, not buried in an unstated design choice.</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5C2D91"/>
      <w:sz w:val="24"/>
      <w:szCs w:val="24"/>
    </w:rPr>
  </w:style>
  <w:style w:type="paragraph" w:styleId="Heading2">
    <w:name w:val="Heading 2"/>
    <w:basedOn w:val="Normal"/>
    <w:next w:val="Normal"/>
    <w:qFormat/>
    <w:pPr>
      <w:spacing w:after="100" w:before="220"/>
    </w:pPr>
    <w:rPr>
      <w:rFonts w:ascii="Arial" w:cs="Arial" w:eastAsia="Arial" w:hAnsi="Arial"/>
      <w:b/>
      <w:bCs/>
      <w:color w:val="7A43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2026-07-19T08:42:10.964Z</dcterms:created>
  <dcterms:modified xsi:type="dcterms:W3CDTF">2026-07-19T08:42:10.965Z</dcterms:modified>
</cp:coreProperties>
</file>

<file path=docProps/custom.xml><?xml version="1.0" encoding="utf-8"?>
<Properties xmlns="http://schemas.openxmlformats.org/officeDocument/2006/custom-properties" xmlns:vt="http://schemas.openxmlformats.org/officeDocument/2006/docPropsVTypes"/>
</file>