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5C2D91"/>
          <w:sz w:val="32"/>
          <w:szCs w:val="32"/>
        </w:rPr>
        <w:t xml:space="preserve">Database Design Specification (DDS)</w:t>
      </w:r>
    </w:p>
    <w:p>
      <w:pPr>
        <w:spacing w:after="60"/>
        <w:jc w:val="center"/>
      </w:pPr>
      <w:r>
        <w:rPr>
          <w:b/>
          <w:bCs/>
          <w:color w:val="7A43B6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7A43B6"/>
          <w:sz w:val="24"/>
          <w:szCs w:val="24"/>
        </w:rPr>
        <w:t xml:space="preserve">Part 2 — Domain Model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5C2D91" w:sz="6" w:space="4"/>
        </w:pBdr>
        <w:spacing w:after="130" w:before="320"/>
      </w:pPr>
      <w:r>
        <w:t xml:space="preserve">2.1 Domain Model Overview</w:t>
      </w:r>
    </w:p>
    <w:p>
      <w:pPr>
        <w:spacing w:after="150" w:line="276"/>
        <w:jc w:val="both"/>
      </w:pPr>
      <w:r>
        <w:t xml:space="preserve">A domain, in this DDS, is a cohesive grouping of entities that share a business owner, a common lifecycle, and — in most cases — a direct correspondence to one SRS functional-requirements Part (Parts 3-22) or one PDD module. Twenty of the 24 domains below map one-to-one to the 20 modules fixed in PDD Section 9 and SRS Parts 3-22. The remaining four are cross-cutting domains that support multiple modules and would create duplicate, inconsistent entities if left un-consolidated: Identity &amp; Access (every module depends on User/Role), Organizations &amp; Reference (State and Organization are referenced from Projects, Risks, Documents, and more), Governance Registers (Risk/Issue/Decision span the Executive, Programme, and Project modules), and Meetings &amp; Calendar (spans Programme Management and cross-cutting scheduling).</w:t>
      </w:r>
    </w:p>
    <w:p>
      <w:pPr>
        <w:spacing w:after="150" w:line="276"/>
        <w:jc w:val="both"/>
      </w:pPr>
      <w:r>
        <w:t xml:space="preserve">Each domain section below states its purpose, lists its member entities with a one-line role description, and names the primary SRS/PDD source it implements. Full entity-level detail (keys, relationships, CRUD, security, retention) is in Section 3 (Entity Catalogue); full field-level detail is in Section 4 (Data Dictionary).</w:t>
      </w: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 Identity &amp; Access (Ref: SRS Part 2, Part 9, Part 10)</w:t>
      </w:r>
    </w:p>
    <w:p>
      <w:pPr>
        <w:spacing w:after="150" w:line="276"/>
        <w:jc w:val="both"/>
      </w:pPr>
      <w:r>
        <w:t xml:space="preserve">Authentication, authorisation, and the user/role/permission model shared by every module in both ESM and CKR.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ENT-IAM-01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Represents every authenticated individual who can log in to ESM or the CKR administration area.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ENT-IAM-02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Defines the ten role archetypes fixed in SRS Part 2 (Executive, National Coordinator, State Coordinator, Programme Officer, Finance Officer, M&amp;E Officer, ICT Administrator, Content Editor, Registered CKR User, Public Visitor).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ENT-IAM-03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Permission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Atomic permission unit (module + action) referenced by the Role-Permission Matrix in SRS Part 2.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ENT-IAM-04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RolePermission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Bridge table implementing the many-to-many Role ↔ Permission relationship (the Role-Permission Matrix).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ENT-IAM-05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MFAToken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Supports Multi-Factor Authentication enforcement for administrative and officer roles (SRS Part 32).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2.3 Organizations &amp; Reference (Ref: SRS Part 2, Part 10)</w:t>
      </w:r>
    </w:p>
    <w:p>
      <w:pPr>
        <w:spacing w:after="150" w:line="276"/>
        <w:jc w:val="both"/>
      </w:pPr>
      <w:r>
        <w:t xml:space="preserve">Programme organisational structure: states, organisations, and internal units, referenced throughout the schema for scoping.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ENT-ORG-01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State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seven SAPZ states plus FCT, the primary geographic scoping dimension used across Projects, Risks, Issues, and dashboards.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ENT-ORG-02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Organization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Represents external organisations relevant to the programme: implementing partners, donor bodies, private-sector actors.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ENT-ORG-03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OrgUnit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Internal NPCO organisational unit (national office, state programme office) used for User affiliation and workflow routing.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2.4 Executive Oversight (Ref: SRS Part 3)</w:t>
      </w:r>
    </w:p>
    <w:p>
      <w:pPr>
        <w:spacing w:after="150" w:line="276"/>
        <w:jc w:val="both"/>
      </w:pPr>
      <w:r>
        <w:t xml:space="preserve">Supports the Executive Dashboard and strategic-priority tracking used by the Executive persona.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ENT-EXE-01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StrategicPriority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Represents a named programme-level strategic priority tracked on the Executive Dashboard.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ENT-EXE-02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KPITarget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Numeric KPI target and current value pair driving the Executive Dashboard's headline metrics.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2.5 Programme Management (Ref: SRS Part 4)</w:t>
      </w:r>
    </w:p>
    <w:p>
      <w:pPr>
        <w:spacing w:after="150" w:line="276"/>
        <w:jc w:val="both"/>
      </w:pPr>
      <w:r>
        <w:t xml:space="preserve">Programme-level structure: the SAPZ Programme itself, its components, and work-plan submissions.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ENT-PRG-01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Programme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Root record representing the SAPZ Programme; in practice a single row, but modelled as an entity for future multi-programme extensibility.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ENT-PRG-02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ProgrammeComponent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named programme component/pillar (e.g. Infrastructure, Agribusiness Development, Institutional Support).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ENT-PRG-03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WorkPlan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submitted, versioned work plan document that is parsed to generate Task records (Principle behind the Task module's plan-to-task conversion).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2.6 Projects (Ref: SRS Part 5)</w:t>
      </w:r>
    </w:p>
    <w:p>
      <w:pPr>
        <w:spacing w:after="150" w:line="276"/>
        <w:jc w:val="both"/>
      </w:pPr>
      <w:r>
        <w:t xml:space="preserve">Project-level records: the core operational unit that Tasks, Documents, and Risks attach to.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ENT-PROJ-01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Project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Represents a discrete SAPZ project (e.g. a specific zone infrastructure build, a specific agribusiness support initiative).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ENT-PROJ-02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ProjectMilestone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tracked milestone within a Project's timeline, the basis for milestone-completion percentage rollups.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ENT-PROJ-03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ProjectTeamAssignment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Bridge table assigning Users to a Project team with a specific project-level role.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2.7 Tasks (Ref: SRS Part 6)</w:t>
      </w:r>
    </w:p>
    <w:p>
      <w:pPr>
        <w:spacing w:after="150" w:line="276"/>
        <w:jc w:val="both"/>
      </w:pPr>
      <w:r>
        <w:t xml:space="preserve">Task management, generated from approved WorkPlan records and tracked to completion.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ENT-TASK-01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Task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atomic unit of assigned work, generated from WorkPlan parsing or created directly.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ENT-TASK-02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TaskDependency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Self-referential link recording that one Task cannot start/complete until another completes.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ENT-TASK-03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TaskComment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Discussion/status-update thread attached to a Task.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2.8 Workflow (Ref: SRS Part 7)</w:t>
      </w:r>
    </w:p>
    <w:p>
      <w:pPr>
        <w:spacing w:after="150" w:line="276"/>
        <w:jc w:val="both"/>
      </w:pPr>
      <w:r>
        <w:t xml:space="preserve">The configurable, multi-tier approval engine (WF-01) that underlies Documents, WorkPlans, Decisions, and Projects.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ENT-WF-01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WorkflowTemplate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Configurable definition of an approval chain for a document class (SRS Part 7 requirement).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ENT-WF-02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WorkflowStage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Ordered tier within a WorkflowTemplate (e.g. State Coordinator → Regional → National → Director).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ENT-WF-03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WorkflowItem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 in-flight or completed instance of a WorkflowTemplate applied to a specific source record.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2.9 Approvals (Ref: SRS Part 8)</w:t>
      </w:r>
    </w:p>
    <w:p>
      <w:pPr>
        <w:spacing w:after="150" w:line="276"/>
        <w:jc w:val="both"/>
      </w:pPr>
      <w:r>
        <w:t xml:space="preserve">The immutable approval-decision audit trail and delegation support.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ENT-APR-01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WorkflowDecision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Immutable record of a single approve/reject/comment action taken on a WorkflowItem at a given tier (BR-APR-03).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ENT-APR-02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ApprovalDelegate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Temporary delegation of an approver's authority to another User (e.g. during leave).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2.10 Security (Ref: SRS Part 9, Part 32)</w:t>
      </w:r>
    </w:p>
    <w:p>
      <w:pPr>
        <w:spacing w:after="150" w:line="276"/>
        <w:jc w:val="both"/>
      </w:pPr>
      <w:r>
        <w:t xml:space="preserve">Platform-wide audit logging and security incident tracking (distinct from Identity &amp; Access's credential entities).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ENT-SEC-01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AuditLog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Immutable, tamper-evident log of every security-relevant action across both systems (SRS Part 32).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ENT-SEC-02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SecurityIncident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Tracks a detected or reported security incident from identification through NDPR-compliant breach notification (Part 11).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2.11 Administration (Ref: SRS Part 10)</w:t>
      </w:r>
    </w:p>
    <w:p>
      <w:pPr>
        <w:spacing w:after="150" w:line="276"/>
        <w:jc w:val="both"/>
      </w:pPr>
      <w:r>
        <w:t xml:space="preserve">System configuration, feature flags, and programme-wide announcements.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ENT-ADM-01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SystemSetting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Key-value configuration store for platform-wide settings not requiring code changes.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ENT-ADM-02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Announcement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Platform-wide or role-scoped announcement banner shown to users on login.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2.12 Documents (Ref: SRS Part 11)</w:t>
      </w:r>
    </w:p>
    <w:p>
      <w:pPr>
        <w:spacing w:after="150" w:line="276"/>
        <w:jc w:val="both"/>
      </w:pPr>
      <w:r>
        <w:t xml:space="preserve">The centralised document repository — ESM's core content-management domain.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ENT-DOC-01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managed document record: work plans, reports, memos, procurement documents.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ENT-DOC-02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DocumentVersion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One immutable version of a Document's binary content and metadata, supporting full version history and comparison.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ENT-DOC-03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DocumentCategory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Taxonomy of document classes: work plan, narrative report, financial report, memo, procurement document.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2.13 Knowledge Repository (Ref: SRS Part 12)</w:t>
      </w:r>
    </w:p>
    <w:p>
      <w:pPr>
        <w:spacing w:after="150" w:line="276"/>
        <w:jc w:val="both"/>
      </w:pPr>
      <w:r>
        <w:t xml:space="preserve">The CKR's core content domain — publications, case studies, tools, and multimedia knowledge assets.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ENT-KNOW-01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KnowledgeArticle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published CKR content item: publication, report, case study, tool/methodology, factsheet, or newsletter entry.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ENT-KNOW-02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TaxonomyTerm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Self-referential hierarchical taxonomy used to categorise and tag both Document and KnowledgeArticle records.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ENT-KNOW-03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KnowledgeReview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Tracks periodic editorial review of a KnowledgeArticle for currency (review_due_date on the article triggers this).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2.14 Media (Ref: SRS Part 13)</w:t>
      </w:r>
    </w:p>
    <w:p>
      <w:pPr>
        <w:spacing w:after="150" w:line="276"/>
        <w:jc w:val="both"/>
      </w:pPr>
      <w:r>
        <w:t xml:space="preserve">Media asset library supporting both ESM internal use and CKR public multimedia resources.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ENT-MED-01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MediaAsset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 image, video, or audio file with usage-rights metadata, embeddable into KnowledgeArticle content.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ENT-MED-02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MediaAlbum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Named grouping of related MediaAsset records (e.g. an event photo set).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2.15 Search (Ref: SRS Part 14, Part 31)</w:t>
      </w:r>
    </w:p>
    <w:p>
      <w:pPr>
        <w:spacing w:after="150" w:line="276"/>
        <w:jc w:val="both"/>
      </w:pPr>
      <w:r>
        <w:t xml:space="preserve">Federated full-text and metadata search across ESM and CKR content, backed by OpenSearch (EA Blueprint Section 10.3).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ENT-SRCH-01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SearchIndexEntry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Denormalised, search-optimised representation of a searchable entity (Document, KnowledgeArticle, Task), synchronised from source tables into OpenSearch.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ENT-SRCH-02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SavedSearch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User's saved search query and filter combination for quick re-execution.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2.16 Reporting (Ref: SRS Part 15, Part 25)</w:t>
      </w:r>
    </w:p>
    <w:p>
      <w:pPr>
        <w:spacing w:after="150" w:line="276"/>
        <w:jc w:val="both"/>
      </w:pPr>
      <w:r>
        <w:t xml:space="preserve">Configurable, on-demand and scheduled reporting definitions and execution history.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ENT-RPT-01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ReportDefinition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configured report template (parameters, columns, output format) matching the Report Catalogue (SRS Part 25).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ENT-RPT-02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ReportExecutionLog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Record of each report generation, whether on-demand or scheduled, including parameters used and output location.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2.17 Analytics (Ref: SRS Part 16, Part 24)</w:t>
      </w:r>
    </w:p>
    <w:p>
      <w:pPr>
        <w:spacing w:after="150" w:line="276"/>
        <w:jc w:val="both"/>
      </w:pPr>
      <w:r>
        <w:t xml:space="preserve">Time-series KPI snapshots and dashboard-widget configuration backing the Dashboard Catalogue (SRS Part 24).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ENT-ANL-01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AnalyticsSnapshot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Periodic point-in-time capture of a KPITarget's current_value, enabling trend charts without re-querying source tables.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ENT-ANL-02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DashboardWidget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User- or role-level customisation of which widgets appear on a given Dashboard (SRS Part 24) and in what order.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2.18 Notifications (Ref: SRS Part 17, Part 26)</w:t>
      </w:r>
    </w:p>
    <w:p>
      <w:pPr>
        <w:spacing w:after="150" w:line="276"/>
        <w:jc w:val="both"/>
      </w:pPr>
      <w:r>
        <w:t xml:space="preserve">In-app, email, SMS, and push notification delivery and preference management.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ENT-NOT-01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Notification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single notification instance delivered to a User, matching the Notification Catalogue (SRS Part 26).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ENT-NOT-02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NotificationTemplate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Reusable message template for each of the 20 notification types in the Notification Catalogue.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2.19 Training (Ref: SRS Part 18)</w:t>
      </w:r>
    </w:p>
    <w:p>
      <w:pPr>
        <w:spacing w:after="150" w:line="276"/>
        <w:jc w:val="both"/>
      </w:pPr>
      <w:r>
        <w:t xml:space="preserve">Role-specific training course catalogue, enrolment tracking, and certification.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ENT-TRN-01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TrainingCourse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defined training module (e.g. System Administrator Training, CKR Content Management Training).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ENT-TRN-02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TrainingEnrollment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User's enrolment in and completion status for a TrainingCourse.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ENT-TRN-03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TrainingCertificate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Issued completion certificate for a TrainingEnrollment, where the course requires certification.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2.20 Support (Ref: SRS Part 19)</w:t>
      </w:r>
    </w:p>
    <w:p>
      <w:pPr>
        <w:spacing w:after="150" w:line="276"/>
        <w:jc w:val="both"/>
      </w:pPr>
      <w:r>
        <w:t xml:space="preserve">Internal support ticketing for ESM/CKR technical issues.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ENT-SUP-01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SupportTicket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submitted support/help request from an internal User to the ICT Administrator team.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ENT-SUP-02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SupportTicketComment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Correspondence thread on a SupportTicket between submitter and ICT Administrator.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2.21 Help Desk (Ref: SRS Part 20)</w:t>
      </w:r>
    </w:p>
    <w:p>
      <w:pPr>
        <w:spacing w:after="150" w:line="276"/>
        <w:jc w:val="both"/>
      </w:pPr>
      <w:r>
        <w:t xml:space="preserve">Self-service FAQ/knowledge-base content distinct from SupportTicket's assisted-support flow.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ENT-HD-01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HelpDeskArticle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self-service FAQ/how-to article addressing common platform questions.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ENT-HD-02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HelpDeskCategory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Grouping for HelpDeskArticle records (e.g. Account &amp; Access, Documents, Workflow).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2.22 Public Portal (Ref: SRS Part 21)</w:t>
      </w:r>
    </w:p>
    <w:p>
      <w:pPr>
        <w:spacing w:after="150" w:line="276"/>
        <w:jc w:val="both"/>
      </w:pPr>
      <w:r>
        <w:t xml:space="preserve">CKR's unauthenticated public-facing surface: static pages, subscriptions, and contact messages.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ENT-PUB-01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PortalPage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static/CMS-managed public page (About SAPZ Knowledge, Browse by Topic landing page).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ENT-PUB-02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PortalSubscriber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 email subscriber to the CKR newsletter (public, unauthenticated sign-up).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ENT-PUB-03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PortalContactMessage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message submitted via the public portal's contact form.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2.23 AI Assistant (Phase 2) (Ref: SRS Part 22)</w:t>
      </w:r>
    </w:p>
    <w:p>
      <w:pPr>
        <w:spacing w:after="150" w:line="276"/>
        <w:jc w:val="both"/>
      </w:pPr>
      <w:r>
        <w:t xml:space="preserve">Deferred to Phase 2 per SRS Part 22 and Part 38 Future Enhancements. Modelled here for forward compatibility only.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ENT-AI-01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AIQueryLog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Phase 2: logs natural-language queries submitted to the AI Assistant and the response given.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ENT-AI-02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AIKnowledgeEmbedding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Phase 2: vector embedding of KnowledgeArticle/Document content supporting semantic search and the AI Assistant.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2.24 Governance Registers (Ref: PDD Section 9 (Menu Structure); SRS Part 4)</w:t>
      </w:r>
    </w:p>
    <w:p>
      <w:pPr>
        <w:spacing w:after="150" w:line="276"/>
        <w:jc w:val="both"/>
      </w:pPr>
      <w:r>
        <w:t xml:space="preserve">Risk, Issue, and Decision registers surfaced on the Executive &amp; Programme Oversight menu cluster.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ENT-GOV-01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Risk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tracked programme or project risk with likelihood/impact rating and mitigation ownership.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ENT-GOV-02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Issue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materialised problem requiring resolution, distinct from a Risk (which is a potential future problem).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ENT-GOV-03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Decision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formally recorded programme decision requiring transparency/audit, optionally routed through the approval WorkflowItem (WF-01).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7A43B6"/>
          <w:sz w:val="21"/>
          <w:szCs w:val="21"/>
        </w:rPr>
        <w:t xml:space="preserve">2.25 Meetings &amp; Calendar (Ref: PDD Section 7 (Journey 9); PDD Section 9)</w:t>
      </w:r>
    </w:p>
    <w:p>
      <w:pPr>
        <w:spacing w:after="150" w:line="276"/>
        <w:jc w:val="both"/>
      </w:pPr>
      <w:r>
        <w:t xml:space="preserve">Meeting scheduling, minutes, and action-item tracking, plus the shared calendar surface.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0"/>
        <w:gridCol w:w="2506"/>
        <w:gridCol w:w="6264"/>
      </w:tblGrid>
      <w:tr>
        <w:trPr>
          <w:tblHeader/>
        </w:trPr>
        <w:tc>
          <w:tcPr>
            <w:tcW w:type="dxa" w:w="1670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 ID</w:t>
            </w:r>
          </w:p>
        </w:tc>
        <w:tc>
          <w:tcPr>
            <w:tcW w:type="dxa" w:w="2506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Entity</w:t>
            </w:r>
          </w:p>
        </w:tc>
        <w:tc>
          <w:tcPr>
            <w:tcW w:type="dxa" w:w="6264"/>
            <w:shd w:fill="5C2D9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Role in Domain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ENT-MTG-01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Meeting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scheduled programme meeting with recorded minutes and linked action items.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ENT-MTG-02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MeetingActionItem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 action item captured from Meeting minutes, optionally converted into a Task.</w:t>
            </w:r>
          </w:p>
        </w:tc>
      </w:tr>
      <w:tr>
        <w:tc>
          <w:tcPr>
            <w:tcW w:type="dxa" w:w="167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ENT-MTG-03</w:t>
            </w:r>
          </w:p>
        </w:tc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CalendarEvent</w:t>
            </w:r>
          </w:p>
        </w:tc>
        <w:tc>
          <w:tcPr>
            <w:tcW w:type="dxa" w:w="626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Unified calendar entry surfacing Meetings, Task due dates, and WorkPlan submission deadlines in one view.</w:t>
            </w:r>
          </w:p>
        </w:tc>
      </w:tr>
    </w:tbl>
    <w:p>
      <w:pPr>
        <w:spacing w:after="160"/>
      </w:pP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5C2D91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7A43B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2026-07-19T08:42:11.087Z</dcterms:created>
  <dcterms:modified xsi:type="dcterms:W3CDTF">2026-07-19T08:42:11.087Z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