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5C2D91"/>
          <w:sz w:val="32"/>
          <w:szCs w:val="32"/>
        </w:rPr>
        <w:t xml:space="preserve">Database Design Specification (DDS)</w:t>
      </w:r>
    </w:p>
    <w:p>
      <w:pPr>
        <w:spacing w:after="60"/>
        <w:jc w:val="center"/>
      </w:pPr>
      <w:r>
        <w:rPr>
          <w:b/>
          <w:bCs/>
          <w:color w:val="7A43B6"/>
          <w:sz w:val="22"/>
          <w:szCs w:val="22"/>
        </w:rPr>
        <w:t xml:space="preserve">Enterprise System Management (ESM) Platform and Central Knowledge Repository (CKR)</w:t>
      </w:r>
    </w:p>
    <w:p>
      <w:pPr>
        <w:spacing w:after="40"/>
        <w:jc w:val="center"/>
      </w:pPr>
      <w:r>
        <w:rPr>
          <w:b/>
          <w:bCs/>
          <w:color w:val="7A43B6"/>
          <w:sz w:val="24"/>
          <w:szCs w:val="24"/>
        </w:rPr>
        <w:t xml:space="preserve">Part 3 — Entity Catalogue</w:t>
      </w:r>
    </w:p>
    <w:p>
      <w:pPr>
        <w:spacing w:after="260"/>
        <w:jc w:val="center"/>
      </w:pPr>
      <w:r>
        <w:rPr>
          <w:i/>
          <w:iCs/>
          <w:color w:val="555555"/>
          <w:sz w:val="19"/>
          <w:szCs w:val="19"/>
        </w:rPr>
        <w:t xml:space="preserve">Prepared for the SAPZ National Programme Coordination Office — Consultant: Ahmed Babajide Olanrewaju</w:t>
      </w:r>
    </w:p>
    <w:p>
      <w:pPr>
        <w:pStyle w:val="Heading1"/>
        <w:pBdr>
          <w:bottom w:val="single" w:color="5C2D91" w:sz="6" w:space="4"/>
        </w:pBdr>
        <w:spacing w:after="130" w:before="320"/>
      </w:pPr>
      <w:r>
        <w:t xml:space="preserve">3.1 Entity Catalogue</w:t>
      </w:r>
    </w:p>
    <w:p>
      <w:pPr>
        <w:spacing w:after="150" w:line="276"/>
        <w:jc w:val="both"/>
      </w:pPr>
      <w:r>
        <w:t xml:space="preserve">This section catalogues all 62 entities across the 24 domains defined in Section 2. Each entity card gives its business purpose, description, key structure, ownership, CRUD permissions, security classification, and data lifecycle (retention/volume/growth/archival). Field-level detail for every entity is in Section 4 (Complete Data Dictionary); this section is deliberately structural rather than field-level, so that a reviewer can assess the shape of the schema without wading through column definitions.</w:t>
      </w:r>
    </w:p>
    <w:p>
      <w:pPr>
        <w:spacing w:after="150" w:line="276"/>
        <w:jc w:val="both"/>
      </w:pPr>
      <w:r>
        <w:t xml:space="preserve">Entities are grouped by domain, in the same order as Section 2, and numbered with a stable ID (e.g. ENT-PROJ-01) referenced throughout the rest of this DDS and in the Antigravity Database Handoff (Part 18).</w:t>
      </w:r>
    </w:p>
    <w:p>
      <w:pPr>
        <w:pStyle w:val="Heading2"/>
        <w:spacing w:after="100" w:before="220"/>
      </w:pPr>
      <w:r>
        <w:rPr>
          <w:b/>
          <w:bCs/>
          <w:color w:val="7A43B6"/>
          <w:sz w:val="21"/>
          <w:szCs w:val="21"/>
        </w:rPr>
        <w:t xml:space="preserve">Domain: Identity &amp; Access</w:t>
      </w:r>
    </w:p>
    <w:p>
      <w:pPr>
        <w:pStyle w:val="Heading2"/>
        <w:spacing w:after="100" w:before="220"/>
      </w:pPr>
      <w:r>
        <w:rPr>
          <w:b/>
          <w:bCs/>
          <w:color w:val="7A43B6"/>
          <w:sz w:val="21"/>
          <w:szCs w:val="21"/>
        </w:rPr>
        <w:t xml:space="preserve">ENT-IAM-01 — User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Identity &amp; Access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Represents every authenticated individual who can log in to ESM or the CKR administration area.</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Master record for a system user, holding identity, contact, authentication, and role-assignment data. Public CKR visitors are not represented here (see Part 12/16 domains) unless they register.</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user_id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primary_role_id → Role; org_unit_id → OrgUnit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TaskAssignment, WorkflowDecision, Notification, AuditLog (as actor); belongs to one Role (primary) and many Role via UserRole bridge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Administrator; Read: role-scoped; Update: Administrator or self (profile fields only); Delete: soft-delete only, Administrator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Confidential — contains PII</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Duration of engagement + 3 years post-exit (NDPR)</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~500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~15%/yr as programme scales</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Deactivated accounts archived (not purged) after 3 years dormancy</w:t>
            </w:r>
          </w:p>
        </w:tc>
      </w:tr>
    </w:tbl>
    <w:p>
      <w:pPr>
        <w:spacing w:after="120"/>
      </w:pPr>
    </w:p>
    <w:p>
      <w:pPr>
        <w:pStyle w:val="Heading2"/>
        <w:spacing w:after="100" w:before="220"/>
      </w:pPr>
      <w:r>
        <w:rPr>
          <w:b/>
          <w:bCs/>
          <w:color w:val="7A43B6"/>
          <w:sz w:val="21"/>
          <w:szCs w:val="21"/>
        </w:rPr>
        <w:t xml:space="preserve">ENT-IAM-02 — Role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Identity &amp; Access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Defines the ten role archetypes fixed in SRS Part 2 (Executive, National Coordinator, State Coordinator, Programme Officer, Finance Officer, M&amp;E Officer, ICT Administrator, Content Editor, Registered CKR User, Public Visitor).</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Named permission scope assigned to Users; the authoritative source for RBAC decisions across both systems.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role_id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User (primary_role_id); has many RolePermission (bridge to Permission); has many UserRole (bridge, for secondary roles)</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only (Sprint 4 configuration);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 data)</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10 (fixed set)</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None expected; AI Assistant role (Phase 2) adds 1</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 — roles are not deleted, only deactivated</w:t>
            </w:r>
          </w:p>
        </w:tc>
      </w:tr>
    </w:tbl>
    <w:p>
      <w:pPr>
        <w:spacing w:after="120"/>
      </w:pPr>
    </w:p>
    <w:p>
      <w:pPr>
        <w:pStyle w:val="Heading2"/>
        <w:spacing w:after="100" w:before="220"/>
      </w:pPr>
      <w:r>
        <w:rPr>
          <w:b/>
          <w:bCs/>
          <w:color w:val="7A43B6"/>
          <w:sz w:val="21"/>
          <w:szCs w:val="21"/>
        </w:rPr>
        <w:t xml:space="preserve">ENT-IAM-03 — Permission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Identity &amp; Access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Atomic permission unit (module + action) referenced by the Role-Permission Matrix in SRS Part 2.</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Granular action-on-module permission, e.g. document.approve, task.reassign, dashboard.export.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permission_id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module_ref (informational, not FK — maps to SRS Parts 3-22)</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RolePermission (bridge to Role)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 data)</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~180 (module × action combinations)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Grows only when new modules/actions are added</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ENT-IAM-04 — RolePermission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Identity &amp; Access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Bridge table implementing the many-to-many Role ↔ Permission relationship (the Role-Permission Matrix).</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Junction table with no independent business meaning beyond the association it records.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role_id + permission_id (composite PK)</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role_id → Role; permission_id → Permission</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Resolves Role ↔ Permission many-to-many</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Create/Delete: ICT Administrator (Sprint 4 configuration); Read: system (authorisation checks)</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 data)</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~600 (10 roles × ~60 avg permissions)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Scales with Permission and Role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ENT-IAM-05 — MFAToken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Identity &amp; Access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Supports Multi-Factor Authentication enforcement for administrative and officer roles (SRS Part 32).</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Short-lived token/secret record for TOTP or SMS-based second-factor verification.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mfa_token_id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one User</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 (system-managed)</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on enrolment; Read: system (verification only, never displayed); Update: system on rotation; Delete: system on expiry or account deactivation</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Restricted — security credential material, encrypted at rest</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Rolling; superseded tokens purged after 90 days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~500 (1 per MFA-enrolled user)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User growth for admin/officer roles</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 — rolling purge, not archive</w:t>
            </w:r>
          </w:p>
        </w:tc>
      </w:tr>
    </w:tbl>
    <w:p>
      <w:pPr>
        <w:spacing w:after="120"/>
      </w:pPr>
    </w:p>
    <w:p>
      <w:pPr>
        <w:pStyle w:val="Heading2"/>
        <w:spacing w:after="100" w:before="220"/>
      </w:pPr>
      <w:r>
        <w:rPr>
          <w:b/>
          <w:bCs/>
          <w:color w:val="7A43B6"/>
          <w:sz w:val="21"/>
          <w:szCs w:val="21"/>
        </w:rPr>
        <w:t xml:space="preserve">Domain: Organizations &amp; Reference</w:t>
      </w:r>
    </w:p>
    <w:p>
      <w:pPr>
        <w:pStyle w:val="Heading2"/>
        <w:spacing w:after="100" w:before="220"/>
      </w:pPr>
      <w:r>
        <w:rPr>
          <w:b/>
          <w:bCs/>
          <w:color w:val="7A43B6"/>
          <w:sz w:val="21"/>
          <w:szCs w:val="21"/>
        </w:rPr>
        <w:t xml:space="preserve">ENT-ORG-01 — State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Organizations &amp; Reference</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The seven SAPZ states plus FCT, the primary geographic scoping dimension used across Projects, Risks, Issues, and dashboards.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Fixed reference table of the eight programme geographic units.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state_id (SMALLINT)</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Referenced by Project, Risk, Issue, User (org_unit via OrgUnit), Dashboard filters</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Read-only after initial seed; Create/Update: ICT Administrator (rare)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(reference data)</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 (fixed)</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None expected</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ENT-ORG-02 — Organization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Organizations &amp; Reference</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Represents external organisations relevant to the programme: implementing partners, donor bodies, private-sector actors.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Used to attribute CKR content, meeting attendance, and stakeholder-linked records to an external entity rather than an individual.</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organization_id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Referenced by KnowledgeArticle (attribution), Meeting (attendee organisation), PortalSubscriber</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KM Unit, ICT Administrator; Read: all; Delete: soft-delete, ICT Administrator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 (name/type); Internal (contact details)</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while programme-relevant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~150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~10%/yr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Inactive organisations flagged, not deleted</w:t>
            </w:r>
          </w:p>
        </w:tc>
      </w:tr>
    </w:tbl>
    <w:p>
      <w:pPr>
        <w:spacing w:after="120"/>
      </w:pPr>
    </w:p>
    <w:p>
      <w:pPr>
        <w:pStyle w:val="Heading2"/>
        <w:spacing w:after="100" w:before="220"/>
      </w:pPr>
      <w:r>
        <w:rPr>
          <w:b/>
          <w:bCs/>
          <w:color w:val="7A43B6"/>
          <w:sz w:val="21"/>
          <w:szCs w:val="21"/>
        </w:rPr>
        <w:t xml:space="preserve">ENT-ORG-03 — OrgUnit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Organizations &amp; Reference</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Internal NPCO organisational unit (national office, state programme office) used for User affiliation and workflow routing.</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Distinct from State (geography) — an OrgUnit is an administrative unit that may map 1:1 to a State office or represent the national office.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org_unit_id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state_id → State (nullable, null for national office)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User; referenced by WorkflowTemplate routing rules</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(organisational reference)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9 (national + 8 state offices)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None expected</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Domain: Executive Oversight</w:t>
      </w:r>
    </w:p>
    <w:p>
      <w:pPr>
        <w:pStyle w:val="Heading2"/>
        <w:spacing w:after="100" w:before="220"/>
      </w:pPr>
      <w:r>
        <w:rPr>
          <w:b/>
          <w:bCs/>
          <w:color w:val="7A43B6"/>
          <w:sz w:val="21"/>
          <w:szCs w:val="21"/>
        </w:rPr>
        <w:t xml:space="preserve">ENT-EXE-01 — StrategicPriority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Executive Oversight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Represents a named programme-level strategic priority tracked on the Executive Dashboard.</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Top-level goal statement against which KPITarget records and Project alignment are measured.</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priority_id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owner_user_id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KPITarget; referenced by Project (alignment tag)</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National Programme Coordinator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National Coordinator, Executive; Read: role-scoped; Delete: soft-delete, National Coordinator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 (donor audit)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~10-15</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 revised annually</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Closed priorities archived at programme close</w:t>
            </w:r>
          </w:p>
        </w:tc>
      </w:tr>
    </w:tbl>
    <w:p>
      <w:pPr>
        <w:spacing w:after="120"/>
      </w:pPr>
    </w:p>
    <w:p>
      <w:pPr>
        <w:pStyle w:val="Heading2"/>
        <w:spacing w:after="100" w:before="220"/>
      </w:pPr>
      <w:r>
        <w:rPr>
          <w:b/>
          <w:bCs/>
          <w:color w:val="7A43B6"/>
          <w:sz w:val="21"/>
          <w:szCs w:val="21"/>
        </w:rPr>
        <w:t xml:space="preserve">ENT-EXE-02 — KPITarget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Executive Oversight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Numeric KPI target and current value pair driving the Executive Dashboard's headline metrics.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Time-series-capable KPI record; snapshots feed AnalyticsSnapshot (Part 16 domain) for historical trend charts.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kpi_target_id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priority_id → StrategicPriority (nullable); state_id → State (nullable, for state-level KPIs)</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StrategicPriority (optional); has many AnalyticsSnapshot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M&amp;E Officer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M&amp;E Officer; Read: role-scoped; Delete: soft-delete, M&amp;E Officer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~40-60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for donor audit trail</w:t>
            </w:r>
          </w:p>
        </w:tc>
      </w:tr>
    </w:tbl>
    <w:p>
      <w:pPr>
        <w:spacing w:after="120"/>
      </w:pPr>
    </w:p>
    <w:p>
      <w:pPr>
        <w:pStyle w:val="Heading2"/>
        <w:spacing w:after="100" w:before="220"/>
      </w:pPr>
      <w:r>
        <w:rPr>
          <w:b/>
          <w:bCs/>
          <w:color w:val="7A43B6"/>
          <w:sz w:val="21"/>
          <w:szCs w:val="21"/>
        </w:rPr>
        <w:t xml:space="preserve">Domain: Programme Management</w:t>
      </w:r>
    </w:p>
    <w:p>
      <w:pPr>
        <w:pStyle w:val="Heading2"/>
        <w:spacing w:after="100" w:before="220"/>
      </w:pPr>
      <w:r>
        <w:rPr>
          <w:b/>
          <w:bCs/>
          <w:color w:val="7A43B6"/>
          <w:sz w:val="21"/>
          <w:szCs w:val="21"/>
        </w:rPr>
        <w:t xml:space="preserve">ENT-PRG-01 — Programme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Programme Management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Root record representing the SAPZ Programme; in practice a single row, but modelled as an entity for future multi-programme extensibility.</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Anchors ProgrammeComponent and provides a single point of donor/financing metadata.</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programme_id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ProgrammeComponent; has many Project (via component)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National Programme Coordinator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ICT Administrator (setup only); Update: National Coordinator; Read: all authenticated; Delete: not permitted (soft-delete only)</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 (name/description); Internal (financing detail)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None (single programme)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ENT-PRG-02 — ProgrammeComponent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Programme Management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named programme component/pillar (e.g. Infrastructure, Agribusiness Development, Institutional Support).</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Used to tag and aggregate Projects, WorkPlans, and reporting by programme component.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component_id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programme_id → Programme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Programme; has many Project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National Programme Coordinator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National Coordinator; Read: all authenticated; Delete: soft-delete, National Coordinator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~5-8</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None expected</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at programme close</w:t>
            </w:r>
          </w:p>
        </w:tc>
      </w:tr>
    </w:tbl>
    <w:p>
      <w:pPr>
        <w:spacing w:after="120"/>
      </w:pPr>
    </w:p>
    <w:p>
      <w:pPr>
        <w:pStyle w:val="Heading2"/>
        <w:spacing w:after="100" w:before="220"/>
      </w:pPr>
      <w:r>
        <w:rPr>
          <w:b/>
          <w:bCs/>
          <w:color w:val="7A43B6"/>
          <w:sz w:val="21"/>
          <w:szCs w:val="21"/>
        </w:rPr>
        <w:t xml:space="preserve">ENT-PRG-03 — WorkPlan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Programme Management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submitted, versioned work plan document that is parsed to generate Task records (Principle behind the Task module's plan-to-task conversion).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Represents one work-plan submission cycle for a State or the national office.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work_plan_id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org_unit_id → OrgUnit; component_id → ProgrammeComponent (nullable); workflow_item_id → WorkflowItem (nullable, if under approval)</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Task (generated); has one WorkflowItem (approval, optional)</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State Programme Coordinator (submitter)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State/National Coordinator; Read: role-scoped; Update: submitter until submitted, then read-only; Delete: soft-delete, National Coordinator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 (donor audit)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~32/yr (8 units × 4 quarters)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Steady, tied to reporting cycle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Superseded versions retained, marked superseded</w:t>
            </w:r>
          </w:p>
        </w:tc>
      </w:tr>
    </w:tbl>
    <w:p>
      <w:pPr>
        <w:spacing w:after="120"/>
      </w:pPr>
    </w:p>
    <w:p>
      <w:pPr>
        <w:pStyle w:val="Heading2"/>
        <w:spacing w:after="100" w:before="220"/>
      </w:pPr>
      <w:r>
        <w:rPr>
          <w:b/>
          <w:bCs/>
          <w:color w:val="7A43B6"/>
          <w:sz w:val="21"/>
          <w:szCs w:val="21"/>
        </w:rPr>
        <w:t xml:space="preserve">Domain: Projects</w:t>
      </w:r>
    </w:p>
    <w:p>
      <w:pPr>
        <w:pStyle w:val="Heading2"/>
        <w:spacing w:after="100" w:before="220"/>
      </w:pPr>
      <w:r>
        <w:rPr>
          <w:b/>
          <w:bCs/>
          <w:color w:val="7A43B6"/>
          <w:sz w:val="21"/>
          <w:szCs w:val="21"/>
        </w:rPr>
        <w:t xml:space="preserve">ENT-PROJ-01 — Project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Projects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Represents a discrete SAPZ project (e.g. a specific zone infrastructure build, a specific agribusiness support initiative).</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Central operational entity; most other domains (Task, Document, Risk, Issue) optionally reference a Project for scoping.</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project_id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state_id → State; component_id → ProgrammeComponent</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Task, Document, Risk, Issue, ProjectMilestone, ProjectTeamAssignment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State Programme Coordinator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State/National Coordinator; Read: role-scoped; Update: assigned Coordinator; Delete: soft-delete, National Coordinator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 (budget fields Restricted)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 (donor audit)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~120 (Year 1), scaling with programme rollout</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~25%/yr through Year 3</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Closed projects archived, not deleted</w:t>
            </w:r>
          </w:p>
        </w:tc>
      </w:tr>
    </w:tbl>
    <w:p>
      <w:pPr>
        <w:spacing w:after="120"/>
      </w:pPr>
    </w:p>
    <w:p>
      <w:pPr>
        <w:pStyle w:val="Heading2"/>
        <w:spacing w:after="100" w:before="220"/>
      </w:pPr>
      <w:r>
        <w:rPr>
          <w:b/>
          <w:bCs/>
          <w:color w:val="7A43B6"/>
          <w:sz w:val="21"/>
          <w:szCs w:val="21"/>
        </w:rPr>
        <w:t xml:space="preserve">ENT-PROJ-02 — ProjectMilestone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Projects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tracked milestone within a Project's timeline, the basis for milestone-completion percentage rollups.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Milestone completion is updated by task owners and aggregated to the Project level per SRS Part 5.</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milestone_id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project_id → Project</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Project; may be linked from Task (completion trigger)</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State Programme Coordinator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assigned Coordinator; Read: role-scoped;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~4-8 per Project (~700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Project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at Project close</w:t>
            </w:r>
          </w:p>
        </w:tc>
      </w:tr>
    </w:tbl>
    <w:p>
      <w:pPr>
        <w:spacing w:after="120"/>
      </w:pPr>
    </w:p>
    <w:p>
      <w:pPr>
        <w:pStyle w:val="Heading2"/>
        <w:spacing w:after="100" w:before="220"/>
      </w:pPr>
      <w:r>
        <w:rPr>
          <w:b/>
          <w:bCs/>
          <w:color w:val="7A43B6"/>
          <w:sz w:val="21"/>
          <w:szCs w:val="21"/>
        </w:rPr>
        <w:t xml:space="preserve">ENT-PROJ-03 — ProjectTeamAssignment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Projects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Bridge table assigning Users to a Project team with a specific project-level role.</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Distinct from the global Role — represents a project-scoped responsibility (e.g. Project Lead, Finance Focal Point).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project_id + user_id (composite PK)</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project_id → Project; 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Resolves Project ↔ User many-to-many</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State Programme Coordinator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Create/Delete: assigned Coordinator; Read: role-scoped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~4-6 per Project (~600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Project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at Project close</w:t>
            </w:r>
          </w:p>
        </w:tc>
      </w:tr>
    </w:tbl>
    <w:p>
      <w:pPr>
        <w:spacing w:after="120"/>
      </w:pPr>
    </w:p>
    <w:p>
      <w:pPr>
        <w:pStyle w:val="Heading2"/>
        <w:spacing w:after="100" w:before="220"/>
      </w:pPr>
      <w:r>
        <w:rPr>
          <w:b/>
          <w:bCs/>
          <w:color w:val="7A43B6"/>
          <w:sz w:val="21"/>
          <w:szCs w:val="21"/>
        </w:rPr>
        <w:t xml:space="preserve">Domain: Tasks</w:t>
      </w:r>
    </w:p>
    <w:p>
      <w:pPr>
        <w:pStyle w:val="Heading2"/>
        <w:spacing w:after="100" w:before="220"/>
      </w:pPr>
      <w:r>
        <w:rPr>
          <w:b/>
          <w:bCs/>
          <w:color w:val="7A43B6"/>
          <w:sz w:val="21"/>
          <w:szCs w:val="21"/>
        </w:rPr>
        <w:t xml:space="preserve">ENT-TASK-01 — Task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Tasks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The atomic unit of assigned work, generated from WorkPlan parsing or created directly.</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Central to the Task module's progress reporting and the Executive Dashboard's overdue-task metrics.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task_id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project_id → Project (nullable); work_plan_id → WorkPlan (nullable); assignee_id → User; milestone_id → ProjectMilestone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Project (optional) and WorkPlan (optional); has many TaskDependency, TaskComment; triggers Notification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Task assignee / Programme Officer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Programme Officer, Coordinator; Read: role-scoped; Update: assignee (status/progress), Coordinator (all fields); Delete: soft-delete, Coordinator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~2,500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~30%/yr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Completed tasks archived after 2 years</w:t>
            </w:r>
          </w:p>
        </w:tc>
      </w:tr>
    </w:tbl>
    <w:p>
      <w:pPr>
        <w:spacing w:after="120"/>
      </w:pPr>
    </w:p>
    <w:p>
      <w:pPr>
        <w:pStyle w:val="Heading2"/>
        <w:spacing w:after="100" w:before="220"/>
      </w:pPr>
      <w:r>
        <w:rPr>
          <w:b/>
          <w:bCs/>
          <w:color w:val="7A43B6"/>
          <w:sz w:val="21"/>
          <w:szCs w:val="21"/>
        </w:rPr>
        <w:t xml:space="preserve">ENT-TASK-02 — TaskDependency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Tasks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Self-referential link recording that one Task cannot start/complete until another completes.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Supports the dependency-mapping requirement in SRS Part 6.</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task_dependency_id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task_id → Task; depends_on_task_id → Task</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Self-referential many-to-many on Task</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Programme Officer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Create/Delete: Coordinator, Programme Officer; Read: role-scoped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~600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Task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parent Task</w:t>
            </w:r>
          </w:p>
        </w:tc>
      </w:tr>
    </w:tbl>
    <w:p>
      <w:pPr>
        <w:spacing w:after="120"/>
      </w:pPr>
    </w:p>
    <w:p>
      <w:pPr>
        <w:pStyle w:val="Heading2"/>
        <w:spacing w:after="100" w:before="220"/>
      </w:pPr>
      <w:r>
        <w:rPr>
          <w:b/>
          <w:bCs/>
          <w:color w:val="7A43B6"/>
          <w:sz w:val="21"/>
          <w:szCs w:val="21"/>
        </w:rPr>
        <w:t xml:space="preserve">ENT-TASK-03 — TaskComment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Tasks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Discussion/status-update thread attached to a Task.</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Free-text comment feed supporting collaborative task tracking.</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comment_id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task_id → Task; author_id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Task</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Comment author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any assignee/watcher; Read: role-scoped; Update: author within 15 min; Delete: soft-delete, author or Coordinator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~8,000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Task activity</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parent Task</w:t>
            </w:r>
          </w:p>
        </w:tc>
      </w:tr>
    </w:tbl>
    <w:p>
      <w:pPr>
        <w:spacing w:after="120"/>
      </w:pPr>
    </w:p>
    <w:p>
      <w:pPr>
        <w:pStyle w:val="Heading2"/>
        <w:spacing w:after="100" w:before="220"/>
      </w:pPr>
      <w:r>
        <w:rPr>
          <w:b/>
          <w:bCs/>
          <w:color w:val="7A43B6"/>
          <w:sz w:val="21"/>
          <w:szCs w:val="21"/>
        </w:rPr>
        <w:t xml:space="preserve">Domain: Workflow</w:t>
      </w:r>
    </w:p>
    <w:p>
      <w:pPr>
        <w:pStyle w:val="Heading2"/>
        <w:spacing w:after="100" w:before="220"/>
      </w:pPr>
      <w:r>
        <w:rPr>
          <w:b/>
          <w:bCs/>
          <w:color w:val="7A43B6"/>
          <w:sz w:val="21"/>
          <w:szCs w:val="21"/>
        </w:rPr>
        <w:t xml:space="preserve">ENT-WF-01 — WorkflowTemplate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Workflow</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Configurable definition of an approval chain for a document class (SRS Part 7 requirement).</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Defines the ordered list of approval tiers and routing rules for a given item type.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template_id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WorkflowStage; instantiated as WorkflowItem</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ICT Administrator (Sprint 2 configuration);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while in use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~8-10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 added as new document classes emerge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Deprecated templates retained for historical WorkflowItem integrity</w:t>
            </w:r>
          </w:p>
        </w:tc>
      </w:tr>
    </w:tbl>
    <w:p>
      <w:pPr>
        <w:spacing w:after="120"/>
      </w:pPr>
    </w:p>
    <w:p>
      <w:pPr>
        <w:pStyle w:val="Heading2"/>
        <w:spacing w:after="100" w:before="220"/>
      </w:pPr>
      <w:r>
        <w:rPr>
          <w:b/>
          <w:bCs/>
          <w:color w:val="7A43B6"/>
          <w:sz w:val="21"/>
          <w:szCs w:val="21"/>
        </w:rPr>
        <w:t xml:space="preserve">ENT-WF-02 — WorkflowStage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Workflow</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Ordered tier within a WorkflowTemplate (e.g. State Coordinator → Regional → National → Director).</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Defines who approves at each tier and the escalation timer for that tier.</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stage_id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template_id → WorkflowTemplate; approver_role_id → Role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WorkflowTemplate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while template in use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~3-4 per template (~35)</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WorkflowTemplate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parent template</w:t>
            </w:r>
          </w:p>
        </w:tc>
      </w:tr>
    </w:tbl>
    <w:p>
      <w:pPr>
        <w:spacing w:after="120"/>
      </w:pPr>
    </w:p>
    <w:p>
      <w:pPr>
        <w:pStyle w:val="Heading2"/>
        <w:spacing w:after="100" w:before="220"/>
      </w:pPr>
      <w:r>
        <w:rPr>
          <w:b/>
          <w:bCs/>
          <w:color w:val="7A43B6"/>
          <w:sz w:val="21"/>
          <w:szCs w:val="21"/>
        </w:rPr>
        <w:t xml:space="preserve">ENT-WF-03 — WorkflowItem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Workflow</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An in-flight or completed instance of a WorkflowTemplate applied to a specific source record.</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Polymorphic reference (source_type + source_id) to the Document, WorkPlan, or Decision under approval.</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workflow_item_id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template_id → WorkflowTemplate; source_id → polymorphic (Document/WorkPlan/Decision)</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WorkflowTemplate; has many WorkflowDecision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Item submitter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on submission; Read: role-scoped; Update: system (status/tier progression); 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 (audit)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~1,800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submission volume across Documents/WorkPlans/Decisions</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Completed items archived after 2 years, never deleted</w:t>
            </w:r>
          </w:p>
        </w:tc>
      </w:tr>
    </w:tbl>
    <w:p>
      <w:pPr>
        <w:spacing w:after="120"/>
      </w:pPr>
    </w:p>
    <w:p>
      <w:pPr>
        <w:pStyle w:val="Heading2"/>
        <w:spacing w:after="100" w:before="220"/>
      </w:pPr>
      <w:r>
        <w:rPr>
          <w:b/>
          <w:bCs/>
          <w:color w:val="7A43B6"/>
          <w:sz w:val="21"/>
          <w:szCs w:val="21"/>
        </w:rPr>
        <w:t xml:space="preserve">Domain: Approvals</w:t>
      </w:r>
    </w:p>
    <w:p>
      <w:pPr>
        <w:pStyle w:val="Heading2"/>
        <w:spacing w:after="100" w:before="220"/>
      </w:pPr>
      <w:r>
        <w:rPr>
          <w:b/>
          <w:bCs/>
          <w:color w:val="7A43B6"/>
          <w:sz w:val="21"/>
          <w:szCs w:val="21"/>
        </w:rPr>
        <w:t xml:space="preserve">ENT-APR-01 — WorkflowDecision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Approvals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Immutable record of a single approve/reject/comment action taken on a WorkflowItem at a given tier (BR-APR-03).</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Write-once record — no update or hard-delete permitted once written, per SRS Part 8 business rules.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decision_id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workflow_item_id → WorkflowItem; approver_id → User; stage_id → WorkflowStage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WorkflowItem</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Approver (system of record)</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approver only, once per stage; Read: role-scoped; Update: not permitted; 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 — governance record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(donor audit requirement, never purged)</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~4,500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WorkflowItem × average tiers</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Never archived or purged — permanent governance record</w:t>
            </w:r>
          </w:p>
        </w:tc>
      </w:tr>
    </w:tbl>
    <w:p>
      <w:pPr>
        <w:spacing w:after="120"/>
      </w:pPr>
    </w:p>
    <w:p>
      <w:pPr>
        <w:pStyle w:val="Heading2"/>
        <w:spacing w:after="100" w:before="220"/>
      </w:pPr>
      <w:r>
        <w:rPr>
          <w:b/>
          <w:bCs/>
          <w:color w:val="7A43B6"/>
          <w:sz w:val="21"/>
          <w:szCs w:val="21"/>
        </w:rPr>
        <w:t xml:space="preserve">ENT-APR-02 — ApprovalDelegate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Approvals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Temporary delegation of an approver's authority to another User (e.g. during leave).</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Time-bound delegation record consulted by the workflow engine when resolving the current approver for a stage.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delegate_id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delegator_id → User; delegate_user_id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References two Users (delegator, delegate)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Delegator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delegator or ICT Administrator; Read: role-scoped; Update/Delete: delegator, ICT Administrator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1 year post-expiry</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 seasonal (leave periods)</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Expired delegations purged after 1 year</w:t>
            </w:r>
          </w:p>
        </w:tc>
      </w:tr>
    </w:tbl>
    <w:p>
      <w:pPr>
        <w:spacing w:after="120"/>
      </w:pPr>
    </w:p>
    <w:p>
      <w:pPr>
        <w:pStyle w:val="Heading2"/>
        <w:spacing w:after="100" w:before="220"/>
      </w:pPr>
      <w:r>
        <w:rPr>
          <w:b/>
          <w:bCs/>
          <w:color w:val="7A43B6"/>
          <w:sz w:val="21"/>
          <w:szCs w:val="21"/>
        </w:rPr>
        <w:t xml:space="preserve">Domain: Security</w:t>
      </w:r>
    </w:p>
    <w:p>
      <w:pPr>
        <w:pStyle w:val="Heading2"/>
        <w:spacing w:after="100" w:before="220"/>
      </w:pPr>
      <w:r>
        <w:rPr>
          <w:b/>
          <w:bCs/>
          <w:color w:val="7A43B6"/>
          <w:sz w:val="21"/>
          <w:szCs w:val="21"/>
        </w:rPr>
        <w:t xml:space="preserve">ENT-SEC-01 — AuditLog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Security</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Immutable, tamper-evident log of every security-relevant action across both systems (SRS Part 32).</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Append-only table; the single most write-heavy entity in the schema. Partitioned by month for performance (Part 16).</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audit_log_id (BIGSERIAL)</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actor_user_id → User (nullable, null for anonymous public actions)</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References User; polymorphic reference to any audited entity (entity_type + entity_id)</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(write-only, no owner edits)</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only, on every audited action; Read: ICT Administrator, Security review; Update/Delete: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Restricted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 NDPR retention policy, minimum 3 years, typically programme lifetime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~500,000+ (Year 1), high-volume</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Scales directly with platform usage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Partitioned monthly; partitions older than retention window archived to cold storage</w:t>
            </w:r>
          </w:p>
        </w:tc>
      </w:tr>
    </w:tbl>
    <w:p>
      <w:pPr>
        <w:spacing w:after="120"/>
      </w:pPr>
    </w:p>
    <w:p>
      <w:pPr>
        <w:pStyle w:val="Heading2"/>
        <w:spacing w:after="100" w:before="220"/>
      </w:pPr>
      <w:r>
        <w:rPr>
          <w:b/>
          <w:bCs/>
          <w:color w:val="7A43B6"/>
          <w:sz w:val="21"/>
          <w:szCs w:val="21"/>
        </w:rPr>
        <w:t xml:space="preserve">ENT-SEC-02 — SecurityIncident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Security</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Tracks a detected or reported security incident from identification through NDPR-compliant breach notification (Part 11).</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Supports the 72-hour breach notification procedure fixed in the Methodology's NDPR compliance summary.</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incident_id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reported_by → User; assigned_to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May reference AuditLog entries as evidence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any User (report), ICT Administrator (formal); Read: ICT Administrator, Security review; Update: assigned ICT Administrator; 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Restricted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(compliance record)</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Low, target &lt; 5/yr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N/A</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Never purged — compliance record</w:t>
            </w:r>
          </w:p>
        </w:tc>
      </w:tr>
    </w:tbl>
    <w:p>
      <w:pPr>
        <w:spacing w:after="120"/>
      </w:pPr>
    </w:p>
    <w:p>
      <w:pPr>
        <w:pStyle w:val="Heading2"/>
        <w:spacing w:after="100" w:before="220"/>
      </w:pPr>
      <w:r>
        <w:rPr>
          <w:b/>
          <w:bCs/>
          <w:color w:val="7A43B6"/>
          <w:sz w:val="21"/>
          <w:szCs w:val="21"/>
        </w:rPr>
        <w:t xml:space="preserve">Domain: Administration</w:t>
      </w:r>
    </w:p>
    <w:p>
      <w:pPr>
        <w:pStyle w:val="Heading2"/>
        <w:spacing w:after="100" w:before="220"/>
      </w:pPr>
      <w:r>
        <w:rPr>
          <w:b/>
          <w:bCs/>
          <w:color w:val="7A43B6"/>
          <w:sz w:val="21"/>
          <w:szCs w:val="21"/>
        </w:rPr>
        <w:t xml:space="preserve">ENT-ADM-01 — SystemSetting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Administration</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Key-value configuration store for platform-wide settings not requiring code changes.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Includes settings such as escalation default hours, retention windows, and feature toggles.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setting_key (VARCHAR, PK)</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None (standalone configuration)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ICT Administrator; Read: system, ICT Administrator; Delete: ICT Administrator (rare)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~50-80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ENT-ADM-02 — Announcement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Administration</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Platform-wide or role-scoped announcement banner shown to users on login.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Time-bound notice, e.g. planned maintenance windows or programme-wide updates.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announcement_id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created_by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National Coordinator; Read: role-scoped by target_role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 within platform</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1 year post-expiry</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Expired announcements archived after 1 year</w:t>
            </w:r>
          </w:p>
        </w:tc>
      </w:tr>
    </w:tbl>
    <w:p>
      <w:pPr>
        <w:spacing w:after="120"/>
      </w:pPr>
    </w:p>
    <w:p>
      <w:pPr>
        <w:pStyle w:val="Heading2"/>
        <w:spacing w:after="100" w:before="220"/>
      </w:pPr>
      <w:r>
        <w:rPr>
          <w:b/>
          <w:bCs/>
          <w:color w:val="7A43B6"/>
          <w:sz w:val="21"/>
          <w:szCs w:val="21"/>
        </w:rPr>
        <w:t xml:space="preserve">Domain: Documents</w:t>
      </w:r>
    </w:p>
    <w:p>
      <w:pPr>
        <w:pStyle w:val="Heading2"/>
        <w:spacing w:after="100" w:before="220"/>
      </w:pPr>
      <w:r>
        <w:rPr>
          <w:b/>
          <w:bCs/>
          <w:color w:val="7A43B6"/>
          <w:sz w:val="21"/>
          <w:szCs w:val="21"/>
        </w:rPr>
        <w:t xml:space="preserve">ENT-DOC-01 — Document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Documents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managed document record: work plans, reports, memos, procurement documents.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Header record; actual binary content is held per-version in DocumentVersion (append-only version history).</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document_id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category_id → DocumentCategory; project_id → Project (nullable); workflow_item_id → WorkflowItem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DocumentVersion; has many TaxonomyTerm (via tag bridge); has one WorkflowItem (optional)</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Uploading User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role-permitted uploader; Read: role- and access-level-scoped; Update: metadata by owner/Coordinator; Delete: soft-delete only (30-day recoverability, BR-DOC-05)</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Variable — classified per document (Public / Internal / Restricted)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 document class, minimum 5 years (donor audit)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~15,000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~40%/yr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Lifecycle-managed: active → archived per configurable retention period</w:t>
            </w:r>
          </w:p>
        </w:tc>
      </w:tr>
    </w:tbl>
    <w:p>
      <w:pPr>
        <w:spacing w:after="120"/>
      </w:pPr>
    </w:p>
    <w:p>
      <w:pPr>
        <w:pStyle w:val="Heading2"/>
        <w:spacing w:after="100" w:before="220"/>
      </w:pPr>
      <w:r>
        <w:rPr>
          <w:b/>
          <w:bCs/>
          <w:color w:val="7A43B6"/>
          <w:sz w:val="21"/>
          <w:szCs w:val="21"/>
        </w:rPr>
        <w:t xml:space="preserve">ENT-DOC-02 — DocumentVersion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Documents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One immutable version of a Document's binary content and metadata, supporting full version history and comparison.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Append-only — a new upload creates a new version rather than overwriting; the Document row tracks current_version_no.</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document_version_id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document_id → Document; uploaded_by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Document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Uploading User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uploader; Read: role- and access-level-scoped; Update: not permitted (immutable); 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Inherits classification from parent Document</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Same as parent Document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~22,000 (Year 1, avg 1.5 versions/doc)</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Document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parent Document lifecycle</w:t>
            </w:r>
          </w:p>
        </w:tc>
      </w:tr>
    </w:tbl>
    <w:p>
      <w:pPr>
        <w:spacing w:after="120"/>
      </w:pPr>
    </w:p>
    <w:p>
      <w:pPr>
        <w:pStyle w:val="Heading2"/>
        <w:spacing w:after="100" w:before="220"/>
      </w:pPr>
      <w:r>
        <w:rPr>
          <w:b/>
          <w:bCs/>
          <w:color w:val="7A43B6"/>
          <w:sz w:val="21"/>
          <w:szCs w:val="21"/>
        </w:rPr>
        <w:t xml:space="preserve">ENT-DOC-03 — DocumentCategory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Documents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Taxonomy of document classes: work plan, narrative report, financial report, memo, procurement document.</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Drives which WorkflowTemplate applies and the default retention period for a Document.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category_id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default_workflow_template_id → WorkflowTemplate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Document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~8-10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Domain: Knowledge Repository</w:t>
      </w:r>
    </w:p>
    <w:p>
      <w:pPr>
        <w:pStyle w:val="Heading2"/>
        <w:spacing w:after="100" w:before="220"/>
      </w:pPr>
      <w:r>
        <w:rPr>
          <w:b/>
          <w:bCs/>
          <w:color w:val="7A43B6"/>
          <w:sz w:val="21"/>
          <w:szCs w:val="21"/>
        </w:rPr>
        <w:t xml:space="preserve">ENT-KNOW-01 — KnowledgeArticle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Knowledge Repository</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published CKR content item: publication, report, case study, tool/methodology, factsheet, or newsletter entry.</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Public-facing (subject to visibility field) content record with full editorial workflow support.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article_id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category_id → TaxonomyTerm; author_org_id → Organization (nullable); workflow_item_id → WorkflowItem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MediaAsset (via embed bridge); has many TaxonomyTerm (tags); self-referential related-content links</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 / Content Editor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Content Editor, Content Contributor; Read: visibility-scoped (public/registered/internal); Update: author, KM Unit; Delete: soft-delete, KM Unit</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Variable per visibility field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 (public knowledge asset)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~1,200 (Year 1, includes migrated legacy content)</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~25%/yr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Superseded/withdrawn articles archived, not deleted</w:t>
            </w:r>
          </w:p>
        </w:tc>
      </w:tr>
    </w:tbl>
    <w:p>
      <w:pPr>
        <w:spacing w:after="120"/>
      </w:pPr>
    </w:p>
    <w:p>
      <w:pPr>
        <w:pStyle w:val="Heading2"/>
        <w:spacing w:after="100" w:before="220"/>
      </w:pPr>
      <w:r>
        <w:rPr>
          <w:b/>
          <w:bCs/>
          <w:color w:val="7A43B6"/>
          <w:sz w:val="21"/>
          <w:szCs w:val="21"/>
        </w:rPr>
        <w:t xml:space="preserve">ENT-KNOW-02 — TaxonomyTerm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Knowledge Repository</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Self-referential hierarchical taxonomy used to categorise and tag both Document and KnowledgeArticle records.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Shared taxonomy tree spanning ESM Documents and CKR content, per SRS Part 30's cross-module reference.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term_id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parent_term_id → TaxonomyTerm (self,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Self-referential hierarchy; referenced by Document and KnowledgeArticle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KM Unit, ICT Administrator; Read: all</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(taxonomy structure)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~150-200 terms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 curated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Deprecated terms retained for historical tagging integrity</w:t>
            </w:r>
          </w:p>
        </w:tc>
      </w:tr>
    </w:tbl>
    <w:p>
      <w:pPr>
        <w:spacing w:after="120"/>
      </w:pPr>
    </w:p>
    <w:p>
      <w:pPr>
        <w:pStyle w:val="Heading2"/>
        <w:spacing w:after="100" w:before="220"/>
      </w:pPr>
      <w:r>
        <w:rPr>
          <w:b/>
          <w:bCs/>
          <w:color w:val="7A43B6"/>
          <w:sz w:val="21"/>
          <w:szCs w:val="21"/>
        </w:rPr>
        <w:t xml:space="preserve">ENT-KNOW-03 — KnowledgeReview</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Knowledge Repository</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Tracks periodic editorial review of a KnowledgeArticle for currency (review_due_date on the article triggers this).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Supports the CKR's content-freshness governance requirement.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review_id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article_id → KnowledgeArticle; reviewed_by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KnowledgeArticle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Content Editor; Read: KM Unit; Update: not permitted (append-only history); 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~400/yr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KnowledgeArticle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Never purged — editorial history</w:t>
            </w:r>
          </w:p>
        </w:tc>
      </w:tr>
    </w:tbl>
    <w:p>
      <w:pPr>
        <w:spacing w:after="120"/>
      </w:pPr>
    </w:p>
    <w:p>
      <w:pPr>
        <w:pStyle w:val="Heading2"/>
        <w:spacing w:after="100" w:before="220"/>
      </w:pPr>
      <w:r>
        <w:rPr>
          <w:b/>
          <w:bCs/>
          <w:color w:val="7A43B6"/>
          <w:sz w:val="21"/>
          <w:szCs w:val="21"/>
        </w:rPr>
        <w:t xml:space="preserve">Domain: Media</w:t>
      </w:r>
    </w:p>
    <w:p>
      <w:pPr>
        <w:pStyle w:val="Heading2"/>
        <w:spacing w:after="100" w:before="220"/>
      </w:pPr>
      <w:r>
        <w:rPr>
          <w:b/>
          <w:bCs/>
          <w:color w:val="7A43B6"/>
          <w:sz w:val="21"/>
          <w:szCs w:val="21"/>
        </w:rPr>
        <w:t xml:space="preserve">ENT-MED-01 — MediaAsset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Media</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An image, video, or audio file with usage-rights metadata, embeddable into KnowledgeArticle content.</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Binary content stored in object storage; this record holds metadata and the storage reference.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media_asset_id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album_id → MediaAlbum (nullable); uploaded_by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many KnowledgeArticle (many-to-many via embed reference)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Content Editor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Content Editor, Content Contributor; Read: visibility-scoped; Update: metadata by owner; Delete: soft-delete, KM Unit</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Variable per parent content visibility</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~3,000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~30%/yr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Orphaned assets (no article reference) flagged for review after 1 year</w:t>
            </w:r>
          </w:p>
        </w:tc>
      </w:tr>
    </w:tbl>
    <w:p>
      <w:pPr>
        <w:spacing w:after="120"/>
      </w:pPr>
    </w:p>
    <w:p>
      <w:pPr>
        <w:pStyle w:val="Heading2"/>
        <w:spacing w:after="100" w:before="220"/>
      </w:pPr>
      <w:r>
        <w:rPr>
          <w:b/>
          <w:bCs/>
          <w:color w:val="7A43B6"/>
          <w:sz w:val="21"/>
          <w:szCs w:val="21"/>
        </w:rPr>
        <w:t xml:space="preserve">ENT-MED-02 — MediaAlbum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Media</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Named grouping of related MediaAsset records (e.g. an event photo set).</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Simple organisational container for the Media Library screen.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album_id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created_by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MediaAsset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Content Editor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Content Editor, KM Unit; Read: visibility-scoped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Steady</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member assets</w:t>
            </w:r>
          </w:p>
        </w:tc>
      </w:tr>
    </w:tbl>
    <w:p>
      <w:pPr>
        <w:spacing w:after="120"/>
      </w:pPr>
    </w:p>
    <w:p>
      <w:pPr>
        <w:pStyle w:val="Heading2"/>
        <w:spacing w:after="100" w:before="220"/>
      </w:pPr>
      <w:r>
        <w:rPr>
          <w:b/>
          <w:bCs/>
          <w:color w:val="7A43B6"/>
          <w:sz w:val="21"/>
          <w:szCs w:val="21"/>
        </w:rPr>
        <w:t xml:space="preserve">Domain: Search</w:t>
      </w:r>
    </w:p>
    <w:p>
      <w:pPr>
        <w:pStyle w:val="Heading2"/>
        <w:spacing w:after="100" w:before="220"/>
      </w:pPr>
      <w:r>
        <w:rPr>
          <w:b/>
          <w:bCs/>
          <w:color w:val="7A43B6"/>
          <w:sz w:val="21"/>
          <w:szCs w:val="21"/>
        </w:rPr>
        <w:t xml:space="preserve">ENT-SRCH-01 — SearchIndexEntry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Search</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Denormalised, search-optimised representation of a searchable entity (Document, KnowledgeArticle, Task), synchronised from source tables into OpenSearch.</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Not the primary source of truth — a derived, rebuildable projection. Modelled here to document the sync contract, not as a PostgreSQL table (it lives in OpenSearch).</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index_entry_id (source entity type + id, composite)</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Polymorphic reference to source entity, no FK enforced</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Mirrors Document, KnowledgeArticle, Task</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(sync process)</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system, on source-entity change (event-driven sync); Read: search queries; Delete: system, on source deletion</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Inherits classification from source entity — search results are permission-filtered at query time (BR-SRCH-02)</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Mirrors source entity retention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~19,000 (Year 1, sum of indexed entities)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indexed entity growth</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Rebuilt from source on demand; not independently archived</w:t>
            </w:r>
          </w:p>
        </w:tc>
      </w:tr>
    </w:tbl>
    <w:p>
      <w:pPr>
        <w:spacing w:after="120"/>
      </w:pPr>
    </w:p>
    <w:p>
      <w:pPr>
        <w:pStyle w:val="Heading2"/>
        <w:spacing w:after="100" w:before="220"/>
      </w:pPr>
      <w:r>
        <w:rPr>
          <w:b/>
          <w:bCs/>
          <w:color w:val="7A43B6"/>
          <w:sz w:val="21"/>
          <w:szCs w:val="21"/>
        </w:rPr>
        <w:t xml:space="preserve">ENT-SRCH-02 — SavedSearch</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Search</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User's saved search query and filter combination for quick re-execution.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Convenience feature supporting the Search module's usability requirements.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saved_search_id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User</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User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owning User; Read: owning User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Private to owner</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Until deleted by owner or 2 years dormant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~1,200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User adoption</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Dormant saved searches purged after 2 years</w:t>
            </w:r>
          </w:p>
        </w:tc>
      </w:tr>
    </w:tbl>
    <w:p>
      <w:pPr>
        <w:spacing w:after="120"/>
      </w:pPr>
    </w:p>
    <w:p>
      <w:pPr>
        <w:pStyle w:val="Heading2"/>
        <w:spacing w:after="100" w:before="220"/>
      </w:pPr>
      <w:r>
        <w:rPr>
          <w:b/>
          <w:bCs/>
          <w:color w:val="7A43B6"/>
          <w:sz w:val="21"/>
          <w:szCs w:val="21"/>
        </w:rPr>
        <w:t xml:space="preserve">Domain: Reporting</w:t>
      </w:r>
    </w:p>
    <w:p>
      <w:pPr>
        <w:pStyle w:val="Heading2"/>
        <w:spacing w:after="100" w:before="220"/>
      </w:pPr>
      <w:r>
        <w:rPr>
          <w:b/>
          <w:bCs/>
          <w:color w:val="7A43B6"/>
          <w:sz w:val="21"/>
          <w:szCs w:val="21"/>
        </w:rPr>
        <w:t xml:space="preserve">ENT-RPT-01 — ReportDefinition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Reporting</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configured report template (parameters, columns, output format) matching the Report Catalogue (SRS Part 25).</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Drives both on-demand report generation and ReportSchedule-triggered periodic reports.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report_definition_id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created_by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ReportExecutionLog</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M&amp;E Officer / 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M&amp;E Officer, ICT Administrator; Read: role-scoped;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while in use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6 (matching RPT-01 to RPT-06)</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Deprecated definitions retained for execution-log integrity</w:t>
            </w:r>
          </w:p>
        </w:tc>
      </w:tr>
    </w:tbl>
    <w:p>
      <w:pPr>
        <w:spacing w:after="120"/>
      </w:pPr>
    </w:p>
    <w:p>
      <w:pPr>
        <w:pStyle w:val="Heading2"/>
        <w:spacing w:after="100" w:before="220"/>
      </w:pPr>
      <w:r>
        <w:rPr>
          <w:b/>
          <w:bCs/>
          <w:color w:val="7A43B6"/>
          <w:sz w:val="21"/>
          <w:szCs w:val="21"/>
        </w:rPr>
        <w:t xml:space="preserve">ENT-RPT-02 — ReportExecutionLog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Reporting</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Record of each report generation, whether on-demand or scheduled, including parameters used and output location.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Supports auditability of who generated what report and when.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execution_id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report_definition_id → ReportDefinition; executed_by → User (nullable, null for scheduled)</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ReportDefinition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 requesting User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on execution; Read: role-scoped; Update/Delete: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2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~5,000/yr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report usage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Purged after 2 years; underlying report definitions unaffected</w:t>
            </w:r>
          </w:p>
        </w:tc>
      </w:tr>
    </w:tbl>
    <w:p>
      <w:pPr>
        <w:spacing w:after="120"/>
      </w:pPr>
    </w:p>
    <w:p>
      <w:pPr>
        <w:pStyle w:val="Heading2"/>
        <w:spacing w:after="100" w:before="220"/>
      </w:pPr>
      <w:r>
        <w:rPr>
          <w:b/>
          <w:bCs/>
          <w:color w:val="7A43B6"/>
          <w:sz w:val="21"/>
          <w:szCs w:val="21"/>
        </w:rPr>
        <w:t xml:space="preserve">Domain: Analytics</w:t>
      </w:r>
    </w:p>
    <w:p>
      <w:pPr>
        <w:pStyle w:val="Heading2"/>
        <w:spacing w:after="100" w:before="220"/>
      </w:pPr>
      <w:r>
        <w:rPr>
          <w:b/>
          <w:bCs/>
          <w:color w:val="7A43B6"/>
          <w:sz w:val="21"/>
          <w:szCs w:val="21"/>
        </w:rPr>
        <w:t xml:space="preserve">ENT-ANL-01 — AnalyticsSnapshot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Analytics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Periodic point-in-time capture of a KPITarget's current_value, enabling trend charts without re-querying source tables.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Populated by a scheduled job; the historical time series that powers dashboard trend widgets.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snapshot_id (BIGSERIAL)</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kpi_target_id → KPITarget</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KPITarget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(scheduled job)</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only, scheduled; Read: role-scoped; Update/Delete: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~15,000/yr (daily snapshots × ~50 KPIs)</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Linear, tied to KPITarget count</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Downsampled to weekly granularity after 2 years to manage volume</w:t>
            </w:r>
          </w:p>
        </w:tc>
      </w:tr>
    </w:tbl>
    <w:p>
      <w:pPr>
        <w:spacing w:after="120"/>
      </w:pPr>
    </w:p>
    <w:p>
      <w:pPr>
        <w:pStyle w:val="Heading2"/>
        <w:spacing w:after="100" w:before="220"/>
      </w:pPr>
      <w:r>
        <w:rPr>
          <w:b/>
          <w:bCs/>
          <w:color w:val="7A43B6"/>
          <w:sz w:val="21"/>
          <w:szCs w:val="21"/>
        </w:rPr>
        <w:t xml:space="preserve">ENT-ANL-02 — DashboardWidget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Analytics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User- or role-level customisation of which widgets appear on a given Dashboard (SRS Part 24) and in what order.</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Supports configurable dashboard layouts referenced in the Dashboard Catalogue.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widget_id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dashboard_code → reference (informational, matches DASH-01…10); user_id → User (nullable, null = role-default layout)</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User (optional) or Role-default configuration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User / 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owning User (personal layout), ICT Administrator (role defaults); Read: owner or role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Until user account deletion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~2,000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User adoption of customisation</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Removed with User deactivation</w:t>
            </w:r>
          </w:p>
        </w:tc>
      </w:tr>
    </w:tbl>
    <w:p>
      <w:pPr>
        <w:spacing w:after="120"/>
      </w:pPr>
    </w:p>
    <w:p>
      <w:pPr>
        <w:pStyle w:val="Heading2"/>
        <w:spacing w:after="100" w:before="220"/>
      </w:pPr>
      <w:r>
        <w:rPr>
          <w:b/>
          <w:bCs/>
          <w:color w:val="7A43B6"/>
          <w:sz w:val="21"/>
          <w:szCs w:val="21"/>
        </w:rPr>
        <w:t xml:space="preserve">Domain: Notifications</w:t>
      </w:r>
    </w:p>
    <w:p>
      <w:pPr>
        <w:pStyle w:val="Heading2"/>
        <w:spacing w:after="100" w:before="220"/>
      </w:pPr>
      <w:r>
        <w:rPr>
          <w:b/>
          <w:bCs/>
          <w:color w:val="7A43B6"/>
          <w:sz w:val="21"/>
          <w:szCs w:val="21"/>
        </w:rPr>
        <w:t xml:space="preserve">ENT-NOT-01 — Notification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Notifications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single notification instance delivered to a User, matching the Notification Catalogue (SRS Part 26).</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Polymorphic reference to the triggering entity; read/unread state drives the in-app notification badge.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notification_id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recipient_id → User; template_id → NotificationTemplate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User; polymorphic reference to source entity</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event-triggered; Read: recipient; Update: recipient (read status); Delete: soft-delete after 90 days read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90 days read, 1 year unread cap</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~40,000/yr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platform activity</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Purged per retention window</w:t>
            </w:r>
          </w:p>
        </w:tc>
      </w:tr>
    </w:tbl>
    <w:p>
      <w:pPr>
        <w:spacing w:after="120"/>
      </w:pPr>
    </w:p>
    <w:p>
      <w:pPr>
        <w:pStyle w:val="Heading2"/>
        <w:spacing w:after="100" w:before="220"/>
      </w:pPr>
      <w:r>
        <w:rPr>
          <w:b/>
          <w:bCs/>
          <w:color w:val="7A43B6"/>
          <w:sz w:val="21"/>
          <w:szCs w:val="21"/>
        </w:rPr>
        <w:t xml:space="preserve">ENT-NOT-02 — NotificationTemplate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Notifications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Reusable message template for each of the 20 notification types in the Notification Catalogue.</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Parametrised text with placeholders resolved at send time.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template_id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Notification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system</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20 (matching NOTIF-01…20)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None expected</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Domain: Training</w:t>
      </w:r>
    </w:p>
    <w:p>
      <w:pPr>
        <w:pStyle w:val="Heading2"/>
        <w:spacing w:after="100" w:before="220"/>
      </w:pPr>
      <w:r>
        <w:rPr>
          <w:b/>
          <w:bCs/>
          <w:color w:val="7A43B6"/>
          <w:sz w:val="21"/>
          <w:szCs w:val="21"/>
        </w:rPr>
        <w:t xml:space="preserve">ENT-TRN-01 — TrainingCourse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Training</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defined training module (e.g. System Administrator Training, CKR Content Management Training).</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Matches the four training tracks defined in the Methodology's Training Programme.</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course_id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target_role_id → Role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TrainingEnrollment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 / KM Unit</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role-scoped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while offered</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~10-15</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Retired courses retained for historical enrolment records</w:t>
            </w:r>
          </w:p>
        </w:tc>
      </w:tr>
    </w:tbl>
    <w:p>
      <w:pPr>
        <w:spacing w:after="120"/>
      </w:pPr>
    </w:p>
    <w:p>
      <w:pPr>
        <w:pStyle w:val="Heading2"/>
        <w:spacing w:after="100" w:before="220"/>
      </w:pPr>
      <w:r>
        <w:rPr>
          <w:b/>
          <w:bCs/>
          <w:color w:val="7A43B6"/>
          <w:sz w:val="21"/>
          <w:szCs w:val="21"/>
        </w:rPr>
        <w:t xml:space="preserve">ENT-TRN-02 — TrainingEnrollment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Training</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User's enrolment in and completion status for a TrainingCourse.</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Tracks attendance/completion, feeding the Go-Live Readiness Checklist's training-completion criterion.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enrollment_id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course_id → TrainingCourse; 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TrainingCourse and User</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 / 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ICT Administrator, KM Unit; Read: role-scoped; Update: trainer (completion status);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~600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Tied to onboarding cadence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for training-history record</w:t>
            </w:r>
          </w:p>
        </w:tc>
      </w:tr>
    </w:tbl>
    <w:p>
      <w:pPr>
        <w:spacing w:after="120"/>
      </w:pPr>
    </w:p>
    <w:p>
      <w:pPr>
        <w:pStyle w:val="Heading2"/>
        <w:spacing w:after="100" w:before="220"/>
      </w:pPr>
      <w:r>
        <w:rPr>
          <w:b/>
          <w:bCs/>
          <w:color w:val="7A43B6"/>
          <w:sz w:val="21"/>
          <w:szCs w:val="21"/>
        </w:rPr>
        <w:t xml:space="preserve">ENT-TRN-03 — TrainingCertificate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Training</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Issued completion certificate for a TrainingEnrollment, where the course requires certification.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Generates a downloadable PDF certificate referenced from this record.</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certificate_id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enrollment_id → TrainingEnrollment</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TrainingEnrollment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on course completion</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on completion; Read: certificate holder, ICT Administrator; Update/Delete: not permitted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~450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TrainingEnrollment completions</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Never purged</w:t>
            </w:r>
          </w:p>
        </w:tc>
      </w:tr>
    </w:tbl>
    <w:p>
      <w:pPr>
        <w:spacing w:after="120"/>
      </w:pPr>
    </w:p>
    <w:p>
      <w:pPr>
        <w:pStyle w:val="Heading2"/>
        <w:spacing w:after="100" w:before="220"/>
      </w:pPr>
      <w:r>
        <w:rPr>
          <w:b/>
          <w:bCs/>
          <w:color w:val="7A43B6"/>
          <w:sz w:val="21"/>
          <w:szCs w:val="21"/>
        </w:rPr>
        <w:t xml:space="preserve">Domain: Support</w:t>
      </w:r>
    </w:p>
    <w:p>
      <w:pPr>
        <w:pStyle w:val="Heading2"/>
        <w:spacing w:after="100" w:before="220"/>
      </w:pPr>
      <w:r>
        <w:rPr>
          <w:b/>
          <w:bCs/>
          <w:color w:val="7A43B6"/>
          <w:sz w:val="21"/>
          <w:szCs w:val="21"/>
        </w:rPr>
        <w:t xml:space="preserve">ENT-SUP-01 — SupportTicket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Support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submitted support/help request from an internal User to the ICT Administrator team.</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Core record for the Support module's queue and SLA tracking.</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ticket_id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submitted_by → User; assigned_to → User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SupportTicketComment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Submitting User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any authenticated User; Read: submitter, assigned ICT Administrator; Update: assigned ICT Administrator; Delete: soft-delete, ICT Administrator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2 years post-resolution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~1,500/yr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platform adoption</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Resolved tickets archived after 2 years</w:t>
            </w:r>
          </w:p>
        </w:tc>
      </w:tr>
    </w:tbl>
    <w:p>
      <w:pPr>
        <w:spacing w:after="120"/>
      </w:pPr>
    </w:p>
    <w:p>
      <w:pPr>
        <w:pStyle w:val="Heading2"/>
        <w:spacing w:after="100" w:before="220"/>
      </w:pPr>
      <w:r>
        <w:rPr>
          <w:b/>
          <w:bCs/>
          <w:color w:val="7A43B6"/>
          <w:sz w:val="21"/>
          <w:szCs w:val="21"/>
        </w:rPr>
        <w:t xml:space="preserve">ENT-SUP-02 — SupportTicketComment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Support</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Correspondence thread on a SupportTicket between submitter and ICT Administrator.</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Mirrors TaskComment's structure for consistency.</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comment_id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ticket_id → SupportTicket; author_id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SupportTicket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Comment author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submitter, assigned admin; Read: submitter, assigned admin; Update: not permitted; Delete: soft-delete, author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Matches parent ticket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~4,000/yr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SupportTicket volume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parent ticket</w:t>
            </w:r>
          </w:p>
        </w:tc>
      </w:tr>
    </w:tbl>
    <w:p>
      <w:pPr>
        <w:spacing w:after="120"/>
      </w:pPr>
    </w:p>
    <w:p>
      <w:pPr>
        <w:pStyle w:val="Heading2"/>
        <w:spacing w:after="100" w:before="220"/>
      </w:pPr>
      <w:r>
        <w:rPr>
          <w:b/>
          <w:bCs/>
          <w:color w:val="7A43B6"/>
          <w:sz w:val="21"/>
          <w:szCs w:val="21"/>
        </w:rPr>
        <w:t xml:space="preserve">Domain: Help Desk</w:t>
      </w:r>
    </w:p>
    <w:p>
      <w:pPr>
        <w:pStyle w:val="Heading2"/>
        <w:spacing w:after="100" w:before="220"/>
      </w:pPr>
      <w:r>
        <w:rPr>
          <w:b/>
          <w:bCs/>
          <w:color w:val="7A43B6"/>
          <w:sz w:val="21"/>
          <w:szCs w:val="21"/>
        </w:rPr>
        <w:t xml:space="preserve">ENT-HD-01 — HelpDeskArticle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Help Desk</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self-service FAQ/how-to article addressing common platform questions.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Reduces SupportTicket volume by surfacing answers directly; distinct from KnowledgeArticle (which is programme knowledge, not platform how-to content).</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hd_article_id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category_id → HelpDeskCategory</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HelpDeskCategory</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while relevant</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~60-80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Grows with platform maturity</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Outdated articles archived, not deleted</w:t>
            </w:r>
          </w:p>
        </w:tc>
      </w:tr>
    </w:tbl>
    <w:p>
      <w:pPr>
        <w:spacing w:after="120"/>
      </w:pPr>
    </w:p>
    <w:p>
      <w:pPr>
        <w:pStyle w:val="Heading2"/>
        <w:spacing w:after="100" w:before="220"/>
      </w:pPr>
      <w:r>
        <w:rPr>
          <w:b/>
          <w:bCs/>
          <w:color w:val="7A43B6"/>
          <w:sz w:val="21"/>
          <w:szCs w:val="21"/>
        </w:rPr>
        <w:t xml:space="preserve">ENT-HD-02 — HelpDeskCategory</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Help Desk</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Grouping for HelpDeskArticle records (e.g. Account &amp; Access, Documents, Workflow).</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Simple flat categorisation for the Help Desk screen.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category_id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HelpDeskArticle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ICT Administrator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ICT Administrator; Read: all authenticated</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(configuration)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~8-10</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Not applicable</w:t>
            </w:r>
          </w:p>
        </w:tc>
      </w:tr>
    </w:tbl>
    <w:p>
      <w:pPr>
        <w:spacing w:after="120"/>
      </w:pPr>
    </w:p>
    <w:p>
      <w:pPr>
        <w:pStyle w:val="Heading2"/>
        <w:spacing w:after="100" w:before="220"/>
      </w:pPr>
      <w:r>
        <w:rPr>
          <w:b/>
          <w:bCs/>
          <w:color w:val="7A43B6"/>
          <w:sz w:val="21"/>
          <w:szCs w:val="21"/>
        </w:rPr>
        <w:t xml:space="preserve">Domain: Public Portal</w:t>
      </w:r>
    </w:p>
    <w:p>
      <w:pPr>
        <w:pStyle w:val="Heading2"/>
        <w:spacing w:after="100" w:before="220"/>
      </w:pPr>
      <w:r>
        <w:rPr>
          <w:b/>
          <w:bCs/>
          <w:color w:val="7A43B6"/>
          <w:sz w:val="21"/>
          <w:szCs w:val="21"/>
        </w:rPr>
        <w:t xml:space="preserve">ENT-PUB-01 — PortalPage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Public Portal</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static/CMS-managed public page (About SAPZ Knowledge, Browse by Topic landing page).</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Distinct from KnowledgeArticle — structural pages rather than content items.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page_id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None (standalone content)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Content Editor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Create/Update/Delete: Content Editor, KM Unit; Read: public</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Public</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~10-15</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Low</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Retired pages retained, unpublished</w:t>
            </w:r>
          </w:p>
        </w:tc>
      </w:tr>
    </w:tbl>
    <w:p>
      <w:pPr>
        <w:spacing w:after="120"/>
      </w:pPr>
    </w:p>
    <w:p>
      <w:pPr>
        <w:pStyle w:val="Heading2"/>
        <w:spacing w:after="100" w:before="220"/>
      </w:pPr>
      <w:r>
        <w:rPr>
          <w:b/>
          <w:bCs/>
          <w:color w:val="7A43B6"/>
          <w:sz w:val="21"/>
          <w:szCs w:val="21"/>
        </w:rPr>
        <w:t xml:space="preserve">ENT-PUB-02 — PortalSubscriber</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Public Portal</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An email subscriber to the CKR newsletter (public, unauthenticated sign-up).</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Minimal PII record — subject to NDPR consent and unsubscribe requirements.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subscriber_id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organization_id → Organization (nullable, self-reported)</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public self-service; Read: KM Unit (aggregate only, not individual browsing); Update: subscriber (unsubscribe); Delete: subscriber-initiated or NDPR request</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Confidential — PII, consent-based</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Until unsubscribe or 2 years inactivity</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~2,000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~40%/yr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Inactive subscribers purged after 2 years per NDPR data minimisation</w:t>
            </w:r>
          </w:p>
        </w:tc>
      </w:tr>
    </w:tbl>
    <w:p>
      <w:pPr>
        <w:spacing w:after="120"/>
      </w:pPr>
    </w:p>
    <w:p>
      <w:pPr>
        <w:pStyle w:val="Heading2"/>
        <w:spacing w:after="100" w:before="220"/>
      </w:pPr>
      <w:r>
        <w:rPr>
          <w:b/>
          <w:bCs/>
          <w:color w:val="7A43B6"/>
          <w:sz w:val="21"/>
          <w:szCs w:val="21"/>
        </w:rPr>
        <w:t xml:space="preserve">ENT-PUB-03 — PortalContactMessage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Public Portal</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message submitted via the public portal's contact form.</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Routed to KM Unit for triage; may be escalated to a SupportTicket internally.</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message_id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None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None (may reference SupportTicket informally on escalation)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KM Unit</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public self-service; Read: KM Unit; Update: KM Unit (status); Delete: soft-delete after resolution</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Confidential — contains submitter PII</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1 year post-resolution</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~300/yr</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public portal traffic</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Purged 1 year post-resolution</w:t>
            </w:r>
          </w:p>
        </w:tc>
      </w:tr>
    </w:tbl>
    <w:p>
      <w:pPr>
        <w:spacing w:after="120"/>
      </w:pPr>
    </w:p>
    <w:p>
      <w:pPr>
        <w:pStyle w:val="Heading2"/>
        <w:spacing w:after="100" w:before="220"/>
      </w:pPr>
      <w:r>
        <w:rPr>
          <w:b/>
          <w:bCs/>
          <w:color w:val="7A43B6"/>
          <w:sz w:val="21"/>
          <w:szCs w:val="21"/>
        </w:rPr>
        <w:t xml:space="preserve">Domain: AI Assistant (Phase 2)</w:t>
      </w:r>
    </w:p>
    <w:p>
      <w:pPr>
        <w:pStyle w:val="Heading2"/>
        <w:spacing w:after="100" w:before="220"/>
      </w:pPr>
      <w:r>
        <w:rPr>
          <w:b/>
          <w:bCs/>
          <w:color w:val="7A43B6"/>
          <w:sz w:val="21"/>
          <w:szCs w:val="21"/>
        </w:rPr>
        <w:t xml:space="preserve">ENT-AI-01 — AIQueryLog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AI Assistant (Phase 2)</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Phase 2: logs natural-language queries submitted to the AI Assistant and the response given.</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Not built in Phase 1; included for schema forward-planning per Part 17 (Future Readiness) of this DDS.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query_id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User</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(Phase 2)</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Phase 2 — not implemented in Phase 1</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 — may contain sensitive query content</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TBD at Phase 2 scoping</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N/A (Phase 2)</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N/A</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N/A</w:t>
            </w:r>
          </w:p>
        </w:tc>
      </w:tr>
    </w:tbl>
    <w:p>
      <w:pPr>
        <w:spacing w:after="120"/>
      </w:pPr>
    </w:p>
    <w:p>
      <w:pPr>
        <w:pStyle w:val="Heading2"/>
        <w:spacing w:after="100" w:before="220"/>
      </w:pPr>
      <w:r>
        <w:rPr>
          <w:b/>
          <w:bCs/>
          <w:color w:val="7A43B6"/>
          <w:sz w:val="21"/>
          <w:szCs w:val="21"/>
        </w:rPr>
        <w:t xml:space="preserve">ENT-AI-02 — AIKnowledgeEmbedding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AI Assistant (Phase 2)</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Phase 2: vector embedding of KnowledgeArticle/Document content supporting semantic search and the AI Assistant.</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Requires a vector-capable extension (e.g. pgvector) not part of the Phase 1 technology stack decision.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embedding_id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source_type + source_id → polymorphic (Document/KnowledgeArticle)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Mirrors Document/KnowledgeArticle content</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(Phase 2)</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Phase 2 — not implemented in Phase 1</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Inherits source classification</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TBD at Phase 2 scoping</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N/A (Phase 2)</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N/A</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N/A</w:t>
            </w:r>
          </w:p>
        </w:tc>
      </w:tr>
    </w:tbl>
    <w:p>
      <w:pPr>
        <w:spacing w:after="120"/>
      </w:pPr>
    </w:p>
    <w:p>
      <w:pPr>
        <w:pStyle w:val="Heading2"/>
        <w:spacing w:after="100" w:before="220"/>
      </w:pPr>
      <w:r>
        <w:rPr>
          <w:b/>
          <w:bCs/>
          <w:color w:val="7A43B6"/>
          <w:sz w:val="21"/>
          <w:szCs w:val="21"/>
        </w:rPr>
        <w:t xml:space="preserve">Domain: Governance Registers</w:t>
      </w:r>
    </w:p>
    <w:p>
      <w:pPr>
        <w:pStyle w:val="Heading2"/>
        <w:spacing w:after="100" w:before="220"/>
      </w:pPr>
      <w:r>
        <w:rPr>
          <w:b/>
          <w:bCs/>
          <w:color w:val="7A43B6"/>
          <w:sz w:val="21"/>
          <w:szCs w:val="21"/>
        </w:rPr>
        <w:t xml:space="preserve">ENT-GOV-01 — Risk</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Governance Registers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tracked programme or project risk with likelihood/impact rating and mitigation ownership.</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Feeds the Risk Register screen and Executive Dashboard risk-exposure widgets.</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risk_id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state_id → State (nullable, null = programme-wide); project_id → Project (nullable); owner_user_id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May belong to Project or State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Risk owner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Coordinator, Programme Officer; Read: role-scoped; Update: owner, Coordinator;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~20%/yr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Closed risks archived, not deleted</w:t>
            </w:r>
          </w:p>
        </w:tc>
      </w:tr>
    </w:tbl>
    <w:p>
      <w:pPr>
        <w:spacing w:after="120"/>
      </w:pPr>
    </w:p>
    <w:p>
      <w:pPr>
        <w:pStyle w:val="Heading2"/>
        <w:spacing w:after="100" w:before="220"/>
      </w:pPr>
      <w:r>
        <w:rPr>
          <w:b/>
          <w:bCs/>
          <w:color w:val="7A43B6"/>
          <w:sz w:val="21"/>
          <w:szCs w:val="21"/>
        </w:rPr>
        <w:t xml:space="preserve">ENT-GOV-02 — Issue</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Governance Registers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materialised problem requiring resolution, distinct from a Risk (which is a potential future problem).</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Feeds the Issue Register screen.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issue_id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state_id → State (nullable); project_id → Project (nullable); assigned_to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May belong to Project or State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Assignee</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any Coordinator/Officer; Read: role-scoped; Update: assignee, Coordinator;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~350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~20%/yr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Resolved issues archived after 1 year</w:t>
            </w:r>
          </w:p>
        </w:tc>
      </w:tr>
    </w:tbl>
    <w:p>
      <w:pPr>
        <w:spacing w:after="120"/>
      </w:pPr>
    </w:p>
    <w:p>
      <w:pPr>
        <w:pStyle w:val="Heading2"/>
        <w:spacing w:after="100" w:before="220"/>
      </w:pPr>
      <w:r>
        <w:rPr>
          <w:b/>
          <w:bCs/>
          <w:color w:val="7A43B6"/>
          <w:sz w:val="21"/>
          <w:szCs w:val="21"/>
        </w:rPr>
        <w:t xml:space="preserve">ENT-GOV-03 — Decision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Governance Registers</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formally recorded programme decision requiring transparency/audit, optionally routed through the approval WorkflowItem (WF-01).</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Feeds the Decision Register screen.</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decision_id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proposed_by → User; workflow_item_id → WorkflowItem (nullable)</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May have one WorkflowItem (approval-configured)</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Proposer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Coordinator, Executive; Read: role-scoped; Update: proposer until submitted;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Permanent (governance record)</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~80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~15%/yr</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Never purged — governance record</w:t>
            </w:r>
          </w:p>
        </w:tc>
      </w:tr>
    </w:tbl>
    <w:p>
      <w:pPr>
        <w:spacing w:after="120"/>
      </w:pPr>
    </w:p>
    <w:p>
      <w:pPr>
        <w:pStyle w:val="Heading2"/>
        <w:spacing w:after="100" w:before="220"/>
      </w:pPr>
      <w:r>
        <w:rPr>
          <w:b/>
          <w:bCs/>
          <w:color w:val="7A43B6"/>
          <w:sz w:val="21"/>
          <w:szCs w:val="21"/>
        </w:rPr>
        <w:t xml:space="preserve">Domain: Meetings &amp; Calendar</w:t>
      </w:r>
    </w:p>
    <w:p>
      <w:pPr>
        <w:pStyle w:val="Heading2"/>
        <w:spacing w:after="100" w:before="220"/>
      </w:pPr>
      <w:r>
        <w:rPr>
          <w:b/>
          <w:bCs/>
          <w:color w:val="7A43B6"/>
          <w:sz w:val="21"/>
          <w:szCs w:val="21"/>
        </w:rPr>
        <w:t xml:space="preserve">ENT-MTG-01 — Meeting</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Meetings &amp; Calendar</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 scheduled programme meeting with recorded minutes and linked action items.</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Meeting action items generate Task records per the Meeting Management journey (PDD Section 7).</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meeting_id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organizer_id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Has many MeetingActionItem; has many User (attendees, via bridge)</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Organizer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Create/Update: organizer, Coordinator; Read: attendees, role-scoped; Delete: soft-delete, organizer</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~250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Steady</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for governance history</w:t>
            </w:r>
          </w:p>
        </w:tc>
      </w:tr>
    </w:tbl>
    <w:p>
      <w:pPr>
        <w:spacing w:after="120"/>
      </w:pPr>
    </w:p>
    <w:p>
      <w:pPr>
        <w:pStyle w:val="Heading2"/>
        <w:spacing w:after="100" w:before="220"/>
      </w:pPr>
      <w:r>
        <w:rPr>
          <w:b/>
          <w:bCs/>
          <w:color w:val="7A43B6"/>
          <w:sz w:val="21"/>
          <w:szCs w:val="21"/>
        </w:rPr>
        <w:t xml:space="preserve">ENT-MTG-02 — MeetingActionItem</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Meetings &amp; Calendar</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An action item captured from Meeting minutes, optionally converted into a Task.</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Bridges Meeting and Task per the Meeting Management journey.</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action_item_id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meeting_id → Meeting; task_id → Task (nullable, once converted); assigned_to → User</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Belongs to Meeting; may generate one Task</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Organizer</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organizer during/after meeting; Read: attendees; Update: organizer, assignee; Delete: soft-delete</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Programme lifetime + 5 years</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~900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Meeting volume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Retained with parent Meeting</w:t>
            </w:r>
          </w:p>
        </w:tc>
      </w:tr>
    </w:tbl>
    <w:p>
      <w:pPr>
        <w:spacing w:after="120"/>
      </w:pPr>
    </w:p>
    <w:p>
      <w:pPr>
        <w:pStyle w:val="Heading2"/>
        <w:spacing w:after="100" w:before="220"/>
      </w:pPr>
      <w:r>
        <w:rPr>
          <w:b/>
          <w:bCs/>
          <w:color w:val="7A43B6"/>
          <w:sz w:val="21"/>
          <w:szCs w:val="21"/>
        </w:rPr>
        <w:t xml:space="preserve">ENT-MTG-03 — CalendarEvent</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714"/>
        <w:gridCol w:w="7726"/>
      </w:tblGrid>
      <w:tr>
        <w:trPr>
          <w:tblHeader/>
        </w:trPr>
        <w:tc>
          <w:tcPr>
            <w:tcW w:type="dxa" w:w="2714"/>
            <w:shd w:fill="5C2D91" w:val="clear"/>
            <w:tcMar>
              <w:top w:type="dxa" w:w="50"/>
              <w:left w:type="dxa" w:w="80"/>
              <w:bottom w:type="dxa" w:w="50"/>
              <w:right w:type="dxa" w:w="80"/>
            </w:tcMar>
            <w:vAlign w:val="top"/>
          </w:tcPr>
          <w:p>
            <w:r>
              <w:rPr>
                <w:b/>
                <w:bCs/>
                <w:color w:val="FFFFFF"/>
                <w:sz w:val="15"/>
                <w:szCs w:val="15"/>
              </w:rPr>
              <w:t xml:space="preserve">Attribute</w:t>
            </w:r>
          </w:p>
        </w:tc>
        <w:tc>
          <w:tcPr>
            <w:tcW w:type="dxa" w:w="7726"/>
            <w:shd w:fill="5C2D91" w:val="clear"/>
            <w:tcMar>
              <w:top w:type="dxa" w:w="50"/>
              <w:left w:type="dxa" w:w="80"/>
              <w:bottom w:type="dxa" w:w="50"/>
              <w:right w:type="dxa" w:w="80"/>
            </w:tcMar>
            <w:vAlign w:val="top"/>
          </w:tcPr>
          <w:p>
            <w:r>
              <w:rPr>
                <w:b/>
                <w:bCs/>
                <w:color w:val="FFFFFF"/>
                <w:sz w:val="15"/>
                <w:szCs w:val="15"/>
              </w:rPr>
              <w:t xml:space="preserve">Detail</w:t>
            </w:r>
          </w:p>
        </w:tc>
      </w:tr>
      <w:tr>
        <w:tc>
          <w:tcPr>
            <w:tcW w:type="dxa" w:w="2714"/>
            <w:tcMar>
              <w:top w:type="dxa" w:w="50"/>
              <w:left w:type="dxa" w:w="80"/>
              <w:bottom w:type="dxa" w:w="50"/>
              <w:right w:type="dxa" w:w="80"/>
            </w:tcMar>
            <w:vAlign w:val="top"/>
          </w:tcPr>
          <w:p>
            <w:r>
              <w:rPr>
                <w:b/>
                <w:bCs/>
                <w:color w:val="000000"/>
                <w:sz w:val="15"/>
                <w:szCs w:val="15"/>
              </w:rPr>
              <w:t xml:space="preserve">Domain</w:t>
            </w:r>
          </w:p>
        </w:tc>
        <w:tc>
          <w:tcPr>
            <w:tcW w:type="dxa" w:w="7726"/>
            <w:tcMar>
              <w:top w:type="dxa" w:w="50"/>
              <w:left w:type="dxa" w:w="80"/>
              <w:bottom w:type="dxa" w:w="50"/>
              <w:right w:type="dxa" w:w="80"/>
            </w:tcMar>
            <w:vAlign w:val="top"/>
          </w:tcPr>
          <w:p>
            <w:r>
              <w:rPr>
                <w:b w:val="false"/>
                <w:bCs w:val="false"/>
                <w:color w:val="000000"/>
                <w:sz w:val="15"/>
                <w:szCs w:val="15"/>
              </w:rPr>
              <w:t xml:space="preserve">Meetings &amp; Calendar</w:t>
            </w:r>
          </w:p>
        </w:tc>
      </w:tr>
      <w:tr>
        <w:tc>
          <w:tcPr>
            <w:tcW w:type="dxa" w:w="2714"/>
            <w:tcMar>
              <w:top w:type="dxa" w:w="50"/>
              <w:left w:type="dxa" w:w="80"/>
              <w:bottom w:type="dxa" w:w="50"/>
              <w:right w:type="dxa" w:w="80"/>
            </w:tcMar>
            <w:vAlign w:val="top"/>
          </w:tcPr>
          <w:p>
            <w:r>
              <w:rPr>
                <w:b/>
                <w:bCs/>
                <w:color w:val="000000"/>
                <w:sz w:val="15"/>
                <w:szCs w:val="15"/>
              </w:rPr>
              <w:t xml:space="preserve">Business Purpose</w:t>
            </w:r>
          </w:p>
        </w:tc>
        <w:tc>
          <w:tcPr>
            <w:tcW w:type="dxa" w:w="7726"/>
            <w:tcMar>
              <w:top w:type="dxa" w:w="50"/>
              <w:left w:type="dxa" w:w="80"/>
              <w:bottom w:type="dxa" w:w="50"/>
              <w:right w:type="dxa" w:w="80"/>
            </w:tcMar>
            <w:vAlign w:val="top"/>
          </w:tcPr>
          <w:p>
            <w:r>
              <w:rPr>
                <w:b w:val="false"/>
                <w:bCs w:val="false"/>
                <w:color w:val="000000"/>
                <w:sz w:val="15"/>
                <w:szCs w:val="15"/>
              </w:rPr>
              <w:t xml:space="preserve">Unified calendar entry surfacing Meetings, Task due dates, and WorkPlan submission deadlines in one view.</w:t>
            </w:r>
          </w:p>
        </w:tc>
      </w:tr>
      <w:tr>
        <w:tc>
          <w:tcPr>
            <w:tcW w:type="dxa" w:w="2714"/>
            <w:tcMar>
              <w:top w:type="dxa" w:w="50"/>
              <w:left w:type="dxa" w:w="80"/>
              <w:bottom w:type="dxa" w:w="50"/>
              <w:right w:type="dxa" w:w="80"/>
            </w:tcMar>
            <w:vAlign w:val="top"/>
          </w:tcPr>
          <w:p>
            <w:r>
              <w:rPr>
                <w:b/>
                <w:bCs/>
                <w:color w:val="000000"/>
                <w:sz w:val="15"/>
                <w:szCs w:val="15"/>
              </w:rPr>
              <w:t xml:space="preserve">Description</w:t>
            </w:r>
          </w:p>
        </w:tc>
        <w:tc>
          <w:tcPr>
            <w:tcW w:type="dxa" w:w="7726"/>
            <w:tcMar>
              <w:top w:type="dxa" w:w="50"/>
              <w:left w:type="dxa" w:w="80"/>
              <w:bottom w:type="dxa" w:w="50"/>
              <w:right w:type="dxa" w:w="80"/>
            </w:tcMar>
            <w:vAlign w:val="top"/>
          </w:tcPr>
          <w:p>
            <w:r>
              <w:rPr>
                <w:b w:val="false"/>
                <w:bCs w:val="false"/>
                <w:color w:val="000000"/>
                <w:sz w:val="15"/>
                <w:szCs w:val="15"/>
              </w:rPr>
              <w:t xml:space="preserve">Denormalised convenience entity for the shared calendar surface; not an independent source of truth.</w:t>
            </w:r>
          </w:p>
        </w:tc>
      </w:tr>
      <w:tr>
        <w:tc>
          <w:tcPr>
            <w:tcW w:type="dxa" w:w="2714"/>
            <w:tcMar>
              <w:top w:type="dxa" w:w="50"/>
              <w:left w:type="dxa" w:w="80"/>
              <w:bottom w:type="dxa" w:w="50"/>
              <w:right w:type="dxa" w:w="80"/>
            </w:tcMar>
            <w:vAlign w:val="top"/>
          </w:tcPr>
          <w:p>
            <w:r>
              <w:rPr>
                <w:b/>
                <w:bCs/>
                <w:color w:val="000000"/>
                <w:sz w:val="15"/>
                <w:szCs w:val="15"/>
              </w:rPr>
              <w:t xml:space="preserve">Primary Key</w:t>
            </w:r>
          </w:p>
        </w:tc>
        <w:tc>
          <w:tcPr>
            <w:tcW w:type="dxa" w:w="7726"/>
            <w:tcMar>
              <w:top w:type="dxa" w:w="50"/>
              <w:left w:type="dxa" w:w="80"/>
              <w:bottom w:type="dxa" w:w="50"/>
              <w:right w:type="dxa" w:w="80"/>
            </w:tcMar>
            <w:vAlign w:val="top"/>
          </w:tcPr>
          <w:p>
            <w:r>
              <w:rPr>
                <w:b w:val="false"/>
                <w:bCs w:val="false"/>
                <w:color w:val="000000"/>
                <w:sz w:val="15"/>
                <w:szCs w:val="15"/>
              </w:rPr>
              <w:t xml:space="preserve">calendar_event_id (UUID)</w:t>
            </w:r>
          </w:p>
        </w:tc>
      </w:tr>
      <w:tr>
        <w:tc>
          <w:tcPr>
            <w:tcW w:type="dxa" w:w="2714"/>
            <w:tcMar>
              <w:top w:type="dxa" w:w="50"/>
              <w:left w:type="dxa" w:w="80"/>
              <w:bottom w:type="dxa" w:w="50"/>
              <w:right w:type="dxa" w:w="80"/>
            </w:tcMar>
            <w:vAlign w:val="top"/>
          </w:tcPr>
          <w:p>
            <w:r>
              <w:rPr>
                <w:b/>
                <w:bCs/>
                <w:color w:val="000000"/>
                <w:sz w:val="15"/>
                <w:szCs w:val="15"/>
              </w:rPr>
              <w:t xml:space="preserve">Foreign Keys</w:t>
            </w:r>
          </w:p>
        </w:tc>
        <w:tc>
          <w:tcPr>
            <w:tcW w:type="dxa" w:w="7726"/>
            <w:tcMar>
              <w:top w:type="dxa" w:w="50"/>
              <w:left w:type="dxa" w:w="80"/>
              <w:bottom w:type="dxa" w:w="50"/>
              <w:right w:type="dxa" w:w="80"/>
            </w:tcMar>
            <w:vAlign w:val="top"/>
          </w:tcPr>
          <w:p>
            <w:r>
              <w:rPr>
                <w:b w:val="false"/>
                <w:bCs w:val="false"/>
                <w:color w:val="000000"/>
                <w:sz w:val="15"/>
                <w:szCs w:val="15"/>
              </w:rPr>
              <w:t xml:space="preserve">user_id → User (nullable, null = programme-wide event)</w:t>
            </w:r>
          </w:p>
        </w:tc>
      </w:tr>
      <w:tr>
        <w:tc>
          <w:tcPr>
            <w:tcW w:type="dxa" w:w="2714"/>
            <w:tcMar>
              <w:top w:type="dxa" w:w="50"/>
              <w:left w:type="dxa" w:w="80"/>
              <w:bottom w:type="dxa" w:w="50"/>
              <w:right w:type="dxa" w:w="80"/>
            </w:tcMar>
            <w:vAlign w:val="top"/>
          </w:tcPr>
          <w:p>
            <w:r>
              <w:rPr>
                <w:b/>
                <w:bCs/>
                <w:color w:val="000000"/>
                <w:sz w:val="15"/>
                <w:szCs w:val="15"/>
              </w:rPr>
              <w:t xml:space="preserve">Key Relationships</w:t>
            </w:r>
          </w:p>
        </w:tc>
        <w:tc>
          <w:tcPr>
            <w:tcW w:type="dxa" w:w="7726"/>
            <w:tcMar>
              <w:top w:type="dxa" w:w="50"/>
              <w:left w:type="dxa" w:w="80"/>
              <w:bottom w:type="dxa" w:w="50"/>
              <w:right w:type="dxa" w:w="80"/>
            </w:tcMar>
            <w:vAlign w:val="top"/>
          </w:tcPr>
          <w:p>
            <w:r>
              <w:rPr>
                <w:b w:val="false"/>
                <w:bCs w:val="false"/>
                <w:color w:val="000000"/>
                <w:sz w:val="15"/>
                <w:szCs w:val="15"/>
              </w:rPr>
              <w:t xml:space="preserve">Polymorphic reference to source entity (Meeting/Task/WorkPlan)</w:t>
            </w:r>
          </w:p>
        </w:tc>
      </w:tr>
      <w:tr>
        <w:tc>
          <w:tcPr>
            <w:tcW w:type="dxa" w:w="2714"/>
            <w:tcMar>
              <w:top w:type="dxa" w:w="50"/>
              <w:left w:type="dxa" w:w="80"/>
              <w:bottom w:type="dxa" w:w="50"/>
              <w:right w:type="dxa" w:w="80"/>
            </w:tcMar>
            <w:vAlign w:val="top"/>
          </w:tcPr>
          <w:p>
            <w:r>
              <w:rPr>
                <w:b/>
                <w:bCs/>
                <w:color w:val="000000"/>
                <w:sz w:val="15"/>
                <w:szCs w:val="15"/>
              </w:rPr>
              <w:t xml:space="preserve">Data Owner</w:t>
            </w:r>
          </w:p>
        </w:tc>
        <w:tc>
          <w:tcPr>
            <w:tcW w:type="dxa" w:w="7726"/>
            <w:tcMar>
              <w:top w:type="dxa" w:w="50"/>
              <w:left w:type="dxa" w:w="80"/>
              <w:bottom w:type="dxa" w:w="50"/>
              <w:right w:type="dxa" w:w="80"/>
            </w:tcMar>
            <w:vAlign w:val="top"/>
          </w:tcPr>
          <w:p>
            <w:r>
              <w:rPr>
                <w:b w:val="false"/>
                <w:bCs w:val="false"/>
                <w:color w:val="000000"/>
                <w:sz w:val="15"/>
                <w:szCs w:val="15"/>
              </w:rPr>
              <w:t xml:space="preserve">System (derived) / User (personal events)</w:t>
            </w:r>
          </w:p>
        </w:tc>
      </w:tr>
      <w:tr>
        <w:tc>
          <w:tcPr>
            <w:tcW w:type="dxa" w:w="2714"/>
            <w:tcMar>
              <w:top w:type="dxa" w:w="50"/>
              <w:left w:type="dxa" w:w="80"/>
              <w:bottom w:type="dxa" w:w="50"/>
              <w:right w:type="dxa" w:w="80"/>
            </w:tcMar>
            <w:vAlign w:val="top"/>
          </w:tcPr>
          <w:p>
            <w:r>
              <w:rPr>
                <w:b/>
                <w:bCs/>
                <w:color w:val="000000"/>
                <w:sz w:val="15"/>
                <w:szCs w:val="15"/>
              </w:rPr>
              <w:t xml:space="preserve">CRUD Operations</w:t>
            </w:r>
          </w:p>
        </w:tc>
        <w:tc>
          <w:tcPr>
            <w:tcW w:type="dxa" w:w="7726"/>
            <w:tcMar>
              <w:top w:type="dxa" w:w="50"/>
              <w:left w:type="dxa" w:w="80"/>
              <w:bottom w:type="dxa" w:w="50"/>
              <w:right w:type="dxa" w:w="80"/>
            </w:tcMar>
            <w:vAlign w:val="top"/>
          </w:tcPr>
          <w:p>
            <w:r>
              <w:rPr>
                <w:b w:val="false"/>
                <w:bCs w:val="false"/>
                <w:color w:val="000000"/>
                <w:sz w:val="15"/>
                <w:szCs w:val="15"/>
              </w:rPr>
              <w:t xml:space="preserve">Create: system (derived events), User (personal); Read: role-scoped; Update/Delete: source-entity owner or system sync</w:t>
            </w:r>
          </w:p>
        </w:tc>
      </w:tr>
      <w:tr>
        <w:tc>
          <w:tcPr>
            <w:tcW w:type="dxa" w:w="2714"/>
            <w:tcMar>
              <w:top w:type="dxa" w:w="50"/>
              <w:left w:type="dxa" w:w="80"/>
              <w:bottom w:type="dxa" w:w="50"/>
              <w:right w:type="dxa" w:w="80"/>
            </w:tcMar>
            <w:vAlign w:val="top"/>
          </w:tcPr>
          <w:p>
            <w:r>
              <w:rPr>
                <w:b/>
                <w:bCs/>
                <w:color w:val="000000"/>
                <w:sz w:val="15"/>
                <w:szCs w:val="15"/>
              </w:rPr>
              <w:t xml:space="preserve">Security Classification</w:t>
            </w:r>
          </w:p>
        </w:tc>
        <w:tc>
          <w:tcPr>
            <w:tcW w:type="dxa" w:w="7726"/>
            <w:tcMar>
              <w:top w:type="dxa" w:w="50"/>
              <w:left w:type="dxa" w:w="80"/>
              <w:bottom w:type="dxa" w:w="50"/>
              <w:right w:type="dxa" w:w="80"/>
            </w:tcMar>
            <w:vAlign w:val="top"/>
          </w:tcPr>
          <w:p>
            <w:r>
              <w:rPr>
                <w:b w:val="false"/>
                <w:bCs w:val="false"/>
                <w:color w:val="000000"/>
                <w:sz w:val="15"/>
                <w:szCs w:val="15"/>
              </w:rPr>
              <w:t xml:space="preserve">Internal</w:t>
            </w:r>
          </w:p>
        </w:tc>
      </w:tr>
      <w:tr>
        <w:tc>
          <w:tcPr>
            <w:tcW w:type="dxa" w:w="2714"/>
            <w:tcMar>
              <w:top w:type="dxa" w:w="50"/>
              <w:left w:type="dxa" w:w="80"/>
              <w:bottom w:type="dxa" w:w="50"/>
              <w:right w:type="dxa" w:w="80"/>
            </w:tcMar>
            <w:vAlign w:val="top"/>
          </w:tcPr>
          <w:p>
            <w:r>
              <w:rPr>
                <w:b/>
                <w:bCs/>
                <w:color w:val="000000"/>
                <w:sz w:val="15"/>
                <w:szCs w:val="15"/>
              </w:rPr>
              <w:t xml:space="preserve">Retention Policy</w:t>
            </w:r>
          </w:p>
        </w:tc>
        <w:tc>
          <w:tcPr>
            <w:tcW w:type="dxa" w:w="7726"/>
            <w:tcMar>
              <w:top w:type="dxa" w:w="50"/>
              <w:left w:type="dxa" w:w="80"/>
              <w:bottom w:type="dxa" w:w="50"/>
              <w:right w:type="dxa" w:w="80"/>
            </w:tcMar>
            <w:vAlign w:val="top"/>
          </w:tcPr>
          <w:p>
            <w:r>
              <w:rPr>
                <w:b w:val="false"/>
                <w:bCs w:val="false"/>
                <w:color w:val="000000"/>
                <w:sz w:val="15"/>
                <w:szCs w:val="15"/>
              </w:rPr>
              <w:t xml:space="preserve">Mirrors source entity</w:t>
            </w:r>
          </w:p>
        </w:tc>
      </w:tr>
      <w:tr>
        <w:tc>
          <w:tcPr>
            <w:tcW w:type="dxa" w:w="2714"/>
            <w:tcMar>
              <w:top w:type="dxa" w:w="50"/>
              <w:left w:type="dxa" w:w="80"/>
              <w:bottom w:type="dxa" w:w="50"/>
              <w:right w:type="dxa" w:w="80"/>
            </w:tcMar>
            <w:vAlign w:val="top"/>
          </w:tcPr>
          <w:p>
            <w:r>
              <w:rPr>
                <w:b/>
                <w:bCs/>
                <w:color w:val="000000"/>
                <w:sz w:val="15"/>
                <w:szCs w:val="15"/>
              </w:rPr>
              <w:t xml:space="preserve">Expected Volume (Year 1)</w:t>
            </w:r>
          </w:p>
        </w:tc>
        <w:tc>
          <w:tcPr>
            <w:tcW w:type="dxa" w:w="7726"/>
            <w:tcMar>
              <w:top w:type="dxa" w:w="50"/>
              <w:left w:type="dxa" w:w="80"/>
              <w:bottom w:type="dxa" w:w="50"/>
              <w:right w:type="dxa" w:w="80"/>
            </w:tcMar>
            <w:vAlign w:val="top"/>
          </w:tcPr>
          <w:p>
            <w:r>
              <w:rPr>
                <w:b w:val="false"/>
                <w:bCs w:val="false"/>
                <w:color w:val="000000"/>
                <w:sz w:val="15"/>
                <w:szCs w:val="15"/>
              </w:rPr>
              <w:t xml:space="preserve">~3,500 (Year 1)</w:t>
            </w:r>
          </w:p>
        </w:tc>
      </w:tr>
      <w:tr>
        <w:tc>
          <w:tcPr>
            <w:tcW w:type="dxa" w:w="2714"/>
            <w:tcMar>
              <w:top w:type="dxa" w:w="50"/>
              <w:left w:type="dxa" w:w="80"/>
              <w:bottom w:type="dxa" w:w="50"/>
              <w:right w:type="dxa" w:w="80"/>
            </w:tcMar>
            <w:vAlign w:val="top"/>
          </w:tcPr>
          <w:p>
            <w:r>
              <w:rPr>
                <w:b/>
                <w:bCs/>
                <w:color w:val="000000"/>
                <w:sz w:val="15"/>
                <w:szCs w:val="15"/>
              </w:rPr>
              <w:t xml:space="preserve">Growth Rate</w:t>
            </w:r>
          </w:p>
        </w:tc>
        <w:tc>
          <w:tcPr>
            <w:tcW w:type="dxa" w:w="7726"/>
            <w:tcMar>
              <w:top w:type="dxa" w:w="50"/>
              <w:left w:type="dxa" w:w="80"/>
              <w:bottom w:type="dxa" w:w="50"/>
              <w:right w:type="dxa" w:w="80"/>
            </w:tcMar>
            <w:vAlign w:val="top"/>
          </w:tcPr>
          <w:p>
            <w:r>
              <w:rPr>
                <w:b w:val="false"/>
                <w:bCs w:val="false"/>
                <w:color w:val="000000"/>
                <w:sz w:val="15"/>
                <w:szCs w:val="15"/>
              </w:rPr>
              <w:t xml:space="preserve">Tracks Meeting/Task/WorkPlan volume</w:t>
            </w:r>
          </w:p>
        </w:tc>
      </w:tr>
      <w:tr>
        <w:tc>
          <w:tcPr>
            <w:tcW w:type="dxa" w:w="2714"/>
            <w:tcMar>
              <w:top w:type="dxa" w:w="50"/>
              <w:left w:type="dxa" w:w="80"/>
              <w:bottom w:type="dxa" w:w="50"/>
              <w:right w:type="dxa" w:w="80"/>
            </w:tcMar>
            <w:vAlign w:val="top"/>
          </w:tcPr>
          <w:p>
            <w:r>
              <w:rPr>
                <w:b/>
                <w:bCs/>
                <w:color w:val="000000"/>
                <w:sz w:val="15"/>
                <w:szCs w:val="15"/>
              </w:rPr>
              <w:t xml:space="preserve">Archive Rule</w:t>
            </w:r>
          </w:p>
        </w:tc>
        <w:tc>
          <w:tcPr>
            <w:tcW w:type="dxa" w:w="7726"/>
            <w:tcMar>
              <w:top w:type="dxa" w:w="50"/>
              <w:left w:type="dxa" w:w="80"/>
              <w:bottom w:type="dxa" w:w="50"/>
              <w:right w:type="dxa" w:w="80"/>
            </w:tcMar>
            <w:vAlign w:val="top"/>
          </w:tcPr>
          <w:p>
            <w:r>
              <w:rPr>
                <w:b w:val="false"/>
                <w:bCs w:val="false"/>
                <w:color w:val="000000"/>
                <w:sz w:val="15"/>
                <w:szCs w:val="15"/>
              </w:rPr>
              <w:t xml:space="preserve">Past events archived after 1 year</w:t>
            </w:r>
          </w:p>
        </w:tc>
      </w:tr>
    </w:tbl>
    <w:p>
      <w:pPr>
        <w:spacing w:after="120"/>
      </w:pP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pPr>
    <w:rPr>
      <w:rFonts w:ascii="Arial" w:cs="Arial" w:eastAsia="Arial" w:hAnsi="Arial"/>
      <w:b/>
      <w:bCs/>
      <w:color w:val="5C2D91"/>
      <w:sz w:val="24"/>
      <w:szCs w:val="24"/>
    </w:rPr>
  </w:style>
  <w:style w:type="paragraph" w:styleId="Heading2">
    <w:name w:val="Heading 2"/>
    <w:basedOn w:val="Normal"/>
    <w:next w:val="Normal"/>
    <w:qFormat/>
    <w:pPr>
      <w:spacing w:after="100" w:before="220"/>
    </w:pPr>
    <w:rPr>
      <w:rFonts w:ascii="Arial" w:cs="Arial" w:eastAsia="Arial" w:hAnsi="Arial"/>
      <w:b/>
      <w:bCs/>
      <w:color w:val="7A43B6"/>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2026-07-19T08:42:11.256Z</dcterms:created>
  <dcterms:modified xsi:type="dcterms:W3CDTF">2026-07-19T08:42:11.256Z</dcterms:modified>
</cp:coreProperties>
</file>

<file path=docProps/custom.xml><?xml version="1.0" encoding="utf-8"?>
<Properties xmlns="http://schemas.openxmlformats.org/officeDocument/2006/custom-properties" xmlns:vt="http://schemas.openxmlformats.org/officeDocument/2006/docPropsVTypes"/>
</file>