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08080"/>
          <w:sz w:val="20"/>
          <w:szCs w:val="20"/>
        </w:rPr>
        <w:t xml:space="preserve">SAPZ PROGRAMME — REF: NPCO/SAPZ/IFAD/26/1023/588</w:t>
      </w:r>
    </w:p>
    <w:p>
      <w:pPr>
        <w:spacing w:after="60"/>
        <w:jc w:val="center"/>
      </w:pPr>
      <w:r>
        <w:rPr>
          <w:b/>
          <w:bCs/>
          <w:color w:val="5C2D91"/>
          <w:sz w:val="32"/>
          <w:szCs w:val="32"/>
        </w:rPr>
        <w:t xml:space="preserve">Database Design Specification (DDS)</w:t>
      </w:r>
    </w:p>
    <w:p>
      <w:pPr>
        <w:spacing w:after="60"/>
        <w:jc w:val="center"/>
      </w:pPr>
      <w:r>
        <w:rPr>
          <w:b/>
          <w:bCs/>
          <w:color w:val="7A43B6"/>
          <w:sz w:val="22"/>
          <w:szCs w:val="22"/>
        </w:rPr>
        <w:t xml:space="preserve">Enterprise System Management (ESM) Platform and Central Knowledge Repository (CKR)</w:t>
      </w:r>
    </w:p>
    <w:p>
      <w:pPr>
        <w:spacing w:after="40"/>
        <w:jc w:val="center"/>
      </w:pPr>
      <w:r>
        <w:rPr>
          <w:b/>
          <w:bCs/>
          <w:color w:val="7A43B6"/>
          <w:sz w:val="24"/>
          <w:szCs w:val="24"/>
        </w:rPr>
        <w:t xml:space="preserve">Part 6 — Master Data Catalogue</w:t>
      </w:r>
    </w:p>
    <w:p>
      <w:pPr>
        <w:spacing w:after="260"/>
        <w:jc w:val="center"/>
      </w:pPr>
      <w:r>
        <w:rPr>
          <w:i/>
          <w:iCs/>
          <w:color w:val="555555"/>
          <w:sz w:val="19"/>
          <w:szCs w:val="19"/>
        </w:rPr>
        <w:t xml:space="preserve">Prepared for the SAPZ National Programme Coordination Office — Consultant: Ahmed Babajide Olanrewaju</w:t>
      </w:r>
    </w:p>
    <w:p>
      <w:pPr>
        <w:pStyle w:val="Heading1"/>
        <w:pBdr>
          <w:bottom w:val="single" w:color="5C2D91" w:sz="6" w:space="4"/>
        </w:pBdr>
        <w:spacing w:after="130" w:before="320"/>
      </w:pPr>
      <w:r>
        <w:t xml:space="preserve">6.1 Master Data Overview</w:t>
      </w:r>
    </w:p>
    <w:p>
      <w:pPr>
        <w:spacing w:after="150" w:line="276"/>
        <w:jc w:val="both"/>
      </w:pPr>
      <w:r>
        <w:t xml:space="preserve">Master data, in this DDS, is reference data with independent business identity, an accountable human owner, and its own administrative lifecycle — distinct from the simple fixed-value lookups catalogued in Part 7 (status codes, priority levels, and similar short enumerations with no independent business meaning beyond the value itself). Every master data table below is one of the 62 entities already fully specified in Sections 3 and 4; this section does not introduce new tables, it re-presents the subset that functions as shared reference data across multiple modules, together with its governance model.</w:t>
      </w:r>
    </w:p>
    <w:p>
      <w:pPr>
        <w:spacing w:after="150" w:line="276"/>
        <w:jc w:val="both"/>
      </w:pPr>
      <w:r>
        <w:t xml:space="preserve">The distinguishing test applied throughout this DDS: if a value could plausibly need its own description, owner, activation/deactivation lifecycle, or hierarchy, it is master data (this section). If it is a short, closed set of mutually exclusive labels attached directly to a business record's status field, it is a lookup (Part 7).</w:t>
      </w:r>
    </w:p>
    <w:p>
      <w:pPr>
        <w:pStyle w:val="Heading1"/>
        <w:pBdr>
          <w:bottom w:val="single" w:color="5C2D91" w:sz="6" w:space="4"/>
        </w:pBdr>
        <w:spacing w:after="130" w:before="320"/>
      </w:pPr>
      <w:r>
        <w:t xml:space="preserve">6.2 Master Data Catalogue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670"/>
        <w:gridCol w:w="1462"/>
        <w:gridCol w:w="3132"/>
        <w:gridCol w:w="1462"/>
        <w:gridCol w:w="2714"/>
      </w:tblGrid>
      <w:tr>
        <w:trPr>
          <w:tblHeader/>
        </w:trPr>
        <w:tc>
          <w:tcPr>
            <w:tcW w:type="dxa" w:w="1670"/>
            <w:shd w:fill="5C2D91" w:val="clear"/>
            <w:tcMar>
              <w:top w:type="dxa" w:w="50"/>
              <w:left w:type="dxa" w:w="80"/>
              <w:bottom w:type="dxa" w:w="50"/>
              <w:right w:type="dxa" w:w="80"/>
            </w:tcMar>
            <w:vAlign w:val="top"/>
          </w:tcPr>
          <w:p>
            <w:r>
              <w:rPr>
                <w:b/>
                <w:bCs/>
                <w:color w:val="FFFFFF"/>
                <w:sz w:val="15"/>
                <w:szCs w:val="15"/>
              </w:rPr>
              <w:t xml:space="preserve">Master Data Table</w:t>
            </w:r>
          </w:p>
        </w:tc>
        <w:tc>
          <w:tcPr>
            <w:tcW w:type="dxa" w:w="1462"/>
            <w:shd w:fill="5C2D91" w:val="clear"/>
            <w:tcMar>
              <w:top w:type="dxa" w:w="50"/>
              <w:left w:type="dxa" w:w="80"/>
              <w:bottom w:type="dxa" w:w="50"/>
              <w:right w:type="dxa" w:w="80"/>
            </w:tcMar>
            <w:vAlign w:val="top"/>
          </w:tcPr>
          <w:p>
            <w:r>
              <w:rPr>
                <w:b/>
                <w:bCs/>
                <w:color w:val="FFFFFF"/>
                <w:sz w:val="15"/>
                <w:szCs w:val="15"/>
              </w:rPr>
              <w:t xml:space="preserve">Domain</w:t>
            </w:r>
          </w:p>
        </w:tc>
        <w:tc>
          <w:tcPr>
            <w:tcW w:type="dxa" w:w="3132"/>
            <w:shd w:fill="5C2D91" w:val="clear"/>
            <w:tcMar>
              <w:top w:type="dxa" w:w="50"/>
              <w:left w:type="dxa" w:w="80"/>
              <w:bottom w:type="dxa" w:w="50"/>
              <w:right w:type="dxa" w:w="80"/>
            </w:tcMar>
            <w:vAlign w:val="top"/>
          </w:tcPr>
          <w:p>
            <w:r>
              <w:rPr>
                <w:b/>
                <w:bCs/>
                <w:color w:val="FFFFFF"/>
                <w:sz w:val="15"/>
                <w:szCs w:val="15"/>
              </w:rPr>
              <w:t xml:space="preserve">Business Purpose</w:t>
            </w:r>
          </w:p>
        </w:tc>
        <w:tc>
          <w:tcPr>
            <w:tcW w:type="dxa" w:w="1462"/>
            <w:shd w:fill="5C2D91" w:val="clear"/>
            <w:tcMar>
              <w:top w:type="dxa" w:w="50"/>
              <w:left w:type="dxa" w:w="80"/>
              <w:bottom w:type="dxa" w:w="50"/>
              <w:right w:type="dxa" w:w="80"/>
            </w:tcMar>
            <w:vAlign w:val="top"/>
          </w:tcPr>
          <w:p>
            <w:r>
              <w:rPr>
                <w:b/>
                <w:bCs/>
                <w:color w:val="FFFFFF"/>
                <w:sz w:val="15"/>
                <w:szCs w:val="15"/>
              </w:rPr>
              <w:t xml:space="preserve">Owner</w:t>
            </w:r>
          </w:p>
        </w:tc>
        <w:tc>
          <w:tcPr>
            <w:tcW w:type="dxa" w:w="2714"/>
            <w:shd w:fill="5C2D91" w:val="clear"/>
            <w:tcMar>
              <w:top w:type="dxa" w:w="50"/>
              <w:left w:type="dxa" w:w="80"/>
              <w:bottom w:type="dxa" w:w="50"/>
              <w:right w:type="dxa" w:w="80"/>
            </w:tcMar>
            <w:vAlign w:val="top"/>
          </w:tcPr>
          <w:p>
            <w:r>
              <w:rPr>
                <w:b/>
                <w:bCs/>
                <w:color w:val="FFFFFF"/>
                <w:sz w:val="15"/>
                <w:szCs w:val="15"/>
              </w:rPr>
              <w:t xml:space="preserve">Maintenance Model</w:t>
            </w:r>
          </w:p>
        </w:tc>
      </w:tr>
      <w:tr>
        <w:tc>
          <w:tcPr>
            <w:tcW w:type="dxa" w:w="1670"/>
            <w:tcMar>
              <w:top w:type="dxa" w:w="50"/>
              <w:left w:type="dxa" w:w="80"/>
              <w:bottom w:type="dxa" w:w="50"/>
              <w:right w:type="dxa" w:w="80"/>
            </w:tcMar>
            <w:vAlign w:val="top"/>
          </w:tcPr>
          <w:p>
            <w:r>
              <w:rPr>
                <w:b/>
                <w:bCs/>
                <w:color w:val="000000"/>
                <w:sz w:val="14"/>
                <w:szCs w:val="14"/>
              </w:rPr>
              <w:t xml:space="preserve">State</w:t>
            </w:r>
          </w:p>
        </w:tc>
        <w:tc>
          <w:tcPr>
            <w:tcW w:type="dxa" w:w="1462"/>
            <w:tcMar>
              <w:top w:type="dxa" w:w="50"/>
              <w:left w:type="dxa" w:w="80"/>
              <w:bottom w:type="dxa" w:w="50"/>
              <w:right w:type="dxa" w:w="80"/>
            </w:tcMar>
            <w:vAlign w:val="top"/>
          </w:tcPr>
          <w:p>
            <w:r>
              <w:rPr>
                <w:b w:val="false"/>
                <w:bCs w:val="false"/>
                <w:color w:val="000000"/>
                <w:sz w:val="14"/>
                <w:szCs w:val="14"/>
              </w:rPr>
              <w:t xml:space="preserve">Organizations &amp; Reference</w:t>
            </w:r>
          </w:p>
        </w:tc>
        <w:tc>
          <w:tcPr>
            <w:tcW w:type="dxa" w:w="3132"/>
            <w:tcMar>
              <w:top w:type="dxa" w:w="50"/>
              <w:left w:type="dxa" w:w="80"/>
              <w:bottom w:type="dxa" w:w="50"/>
              <w:right w:type="dxa" w:w="80"/>
            </w:tcMar>
            <w:vAlign w:val="top"/>
          </w:tcPr>
          <w:p>
            <w:r>
              <w:rPr>
                <w:b w:val="false"/>
                <w:bCs w:val="false"/>
                <w:color w:val="000000"/>
                <w:sz w:val="14"/>
                <w:szCs w:val="14"/>
              </w:rPr>
              <w:t xml:space="preserve">The 8 SAPZ geographic units (7 states + FCT)</w:t>
            </w:r>
          </w:p>
        </w:tc>
        <w:tc>
          <w:tcPr>
            <w:tcW w:type="dxa" w:w="1462"/>
            <w:tcMar>
              <w:top w:type="dxa" w:w="50"/>
              <w:left w:type="dxa" w:w="80"/>
              <w:bottom w:type="dxa" w:w="50"/>
              <w:right w:type="dxa" w:w="80"/>
            </w:tcMar>
            <w:vAlign w:val="top"/>
          </w:tcPr>
          <w:p>
            <w:r>
              <w:rPr>
                <w:b w:val="false"/>
                <w:bCs w:val="false"/>
                <w:color w:val="000000"/>
                <w:sz w:val="14"/>
                <w:szCs w:val="14"/>
              </w:rPr>
              <w:t xml:space="preserve">ICT Administrator</w:t>
            </w:r>
          </w:p>
        </w:tc>
        <w:tc>
          <w:tcPr>
            <w:tcW w:type="dxa" w:w="2714"/>
            <w:tcMar>
              <w:top w:type="dxa" w:w="50"/>
              <w:left w:type="dxa" w:w="80"/>
              <w:bottom w:type="dxa" w:w="50"/>
              <w:right w:type="dxa" w:w="80"/>
            </w:tcMar>
            <w:vAlign w:val="top"/>
          </w:tcPr>
          <w:p>
            <w:r>
              <w:rPr>
                <w:b w:val="false"/>
                <w:bCs w:val="false"/>
                <w:color w:val="000000"/>
                <w:sz w:val="14"/>
                <w:szCs w:val="14"/>
              </w:rPr>
              <w:t xml:space="preserve">Seeded at implementation; effectively immutable — Nigeria's SAPZ state list is fixed by the TOR</w:t>
            </w:r>
          </w:p>
        </w:tc>
      </w:tr>
      <w:tr>
        <w:tc>
          <w:tcPr>
            <w:tcW w:type="dxa" w:w="1670"/>
            <w:tcMar>
              <w:top w:type="dxa" w:w="50"/>
              <w:left w:type="dxa" w:w="80"/>
              <w:bottom w:type="dxa" w:w="50"/>
              <w:right w:type="dxa" w:w="80"/>
            </w:tcMar>
            <w:vAlign w:val="top"/>
          </w:tcPr>
          <w:p>
            <w:r>
              <w:rPr>
                <w:b/>
                <w:bCs/>
                <w:color w:val="000000"/>
                <w:sz w:val="14"/>
                <w:szCs w:val="14"/>
              </w:rPr>
              <w:t xml:space="preserve">Organization</w:t>
            </w:r>
          </w:p>
        </w:tc>
        <w:tc>
          <w:tcPr>
            <w:tcW w:type="dxa" w:w="1462"/>
            <w:tcMar>
              <w:top w:type="dxa" w:w="50"/>
              <w:left w:type="dxa" w:w="80"/>
              <w:bottom w:type="dxa" w:w="50"/>
              <w:right w:type="dxa" w:w="80"/>
            </w:tcMar>
            <w:vAlign w:val="top"/>
          </w:tcPr>
          <w:p>
            <w:r>
              <w:rPr>
                <w:b w:val="false"/>
                <w:bCs w:val="false"/>
                <w:color w:val="000000"/>
                <w:sz w:val="14"/>
                <w:szCs w:val="14"/>
              </w:rPr>
              <w:t xml:space="preserve">Organizations &amp; Reference</w:t>
            </w:r>
          </w:p>
        </w:tc>
        <w:tc>
          <w:tcPr>
            <w:tcW w:type="dxa" w:w="3132"/>
            <w:tcMar>
              <w:top w:type="dxa" w:w="50"/>
              <w:left w:type="dxa" w:w="80"/>
              <w:bottom w:type="dxa" w:w="50"/>
              <w:right w:type="dxa" w:w="80"/>
            </w:tcMar>
            <w:vAlign w:val="top"/>
          </w:tcPr>
          <w:p>
            <w:r>
              <w:rPr>
                <w:b w:val="false"/>
                <w:bCs w:val="false"/>
                <w:color w:val="000000"/>
                <w:sz w:val="14"/>
                <w:szCs w:val="14"/>
              </w:rPr>
              <w:t xml:space="preserve">External bodies: donors, implementing partners, private sector, government, community</w:t>
            </w:r>
          </w:p>
        </w:tc>
        <w:tc>
          <w:tcPr>
            <w:tcW w:type="dxa" w:w="1462"/>
            <w:tcMar>
              <w:top w:type="dxa" w:w="50"/>
              <w:left w:type="dxa" w:w="80"/>
              <w:bottom w:type="dxa" w:w="50"/>
              <w:right w:type="dxa" w:w="80"/>
            </w:tcMar>
            <w:vAlign w:val="top"/>
          </w:tcPr>
          <w:p>
            <w:r>
              <w:rPr>
                <w:b w:val="false"/>
                <w:bCs w:val="false"/>
                <w:color w:val="000000"/>
                <w:sz w:val="14"/>
                <w:szCs w:val="14"/>
              </w:rPr>
              <w:t xml:space="preserve">KM Unit</w:t>
            </w:r>
          </w:p>
        </w:tc>
        <w:tc>
          <w:tcPr>
            <w:tcW w:type="dxa" w:w="2714"/>
            <w:tcMar>
              <w:top w:type="dxa" w:w="50"/>
              <w:left w:type="dxa" w:w="80"/>
              <w:bottom w:type="dxa" w:w="50"/>
              <w:right w:type="dxa" w:w="80"/>
            </w:tcMar>
            <w:vAlign w:val="top"/>
          </w:tcPr>
          <w:p>
            <w:r>
              <w:rPr>
                <w:b w:val="false"/>
                <w:bCs w:val="false"/>
                <w:color w:val="000000"/>
                <w:sz w:val="14"/>
                <w:szCs w:val="14"/>
              </w:rPr>
              <w:t xml:space="preserve">Self-service creation by KM Unit as new partners engage; soft-deactivated, never hard-deleted (referenced by historical content)</w:t>
            </w:r>
          </w:p>
        </w:tc>
      </w:tr>
      <w:tr>
        <w:tc>
          <w:tcPr>
            <w:tcW w:type="dxa" w:w="1670"/>
            <w:tcMar>
              <w:top w:type="dxa" w:w="50"/>
              <w:left w:type="dxa" w:w="80"/>
              <w:bottom w:type="dxa" w:w="50"/>
              <w:right w:type="dxa" w:w="80"/>
            </w:tcMar>
            <w:vAlign w:val="top"/>
          </w:tcPr>
          <w:p>
            <w:r>
              <w:rPr>
                <w:b/>
                <w:bCs/>
                <w:color w:val="000000"/>
                <w:sz w:val="14"/>
                <w:szCs w:val="14"/>
              </w:rPr>
              <w:t xml:space="preserve">OrgUnit</w:t>
            </w:r>
          </w:p>
        </w:tc>
        <w:tc>
          <w:tcPr>
            <w:tcW w:type="dxa" w:w="1462"/>
            <w:tcMar>
              <w:top w:type="dxa" w:w="50"/>
              <w:left w:type="dxa" w:w="80"/>
              <w:bottom w:type="dxa" w:w="50"/>
              <w:right w:type="dxa" w:w="80"/>
            </w:tcMar>
            <w:vAlign w:val="top"/>
          </w:tcPr>
          <w:p>
            <w:r>
              <w:rPr>
                <w:b w:val="false"/>
                <w:bCs w:val="false"/>
                <w:color w:val="000000"/>
                <w:sz w:val="14"/>
                <w:szCs w:val="14"/>
              </w:rPr>
              <w:t xml:space="preserve">Organizations &amp; Reference</w:t>
            </w:r>
          </w:p>
        </w:tc>
        <w:tc>
          <w:tcPr>
            <w:tcW w:type="dxa" w:w="3132"/>
            <w:tcMar>
              <w:top w:type="dxa" w:w="50"/>
              <w:left w:type="dxa" w:w="80"/>
              <w:bottom w:type="dxa" w:w="50"/>
              <w:right w:type="dxa" w:w="80"/>
            </w:tcMar>
            <w:vAlign w:val="top"/>
          </w:tcPr>
          <w:p>
            <w:r>
              <w:rPr>
                <w:b w:val="false"/>
                <w:bCs w:val="false"/>
                <w:color w:val="000000"/>
                <w:sz w:val="14"/>
                <w:szCs w:val="14"/>
              </w:rPr>
              <w:t xml:space="preserve">Internal NPCO organisational units (national + 8 state offices)</w:t>
            </w:r>
          </w:p>
        </w:tc>
        <w:tc>
          <w:tcPr>
            <w:tcW w:type="dxa" w:w="1462"/>
            <w:tcMar>
              <w:top w:type="dxa" w:w="50"/>
              <w:left w:type="dxa" w:w="80"/>
              <w:bottom w:type="dxa" w:w="50"/>
              <w:right w:type="dxa" w:w="80"/>
            </w:tcMar>
            <w:vAlign w:val="top"/>
          </w:tcPr>
          <w:p>
            <w:r>
              <w:rPr>
                <w:b w:val="false"/>
                <w:bCs w:val="false"/>
                <w:color w:val="000000"/>
                <w:sz w:val="14"/>
                <w:szCs w:val="14"/>
              </w:rPr>
              <w:t xml:space="preserve">ICT Administrator</w:t>
            </w:r>
          </w:p>
        </w:tc>
        <w:tc>
          <w:tcPr>
            <w:tcW w:type="dxa" w:w="2714"/>
            <w:tcMar>
              <w:top w:type="dxa" w:w="50"/>
              <w:left w:type="dxa" w:w="80"/>
              <w:bottom w:type="dxa" w:w="50"/>
              <w:right w:type="dxa" w:w="80"/>
            </w:tcMar>
            <w:vAlign w:val="top"/>
          </w:tcPr>
          <w:p>
            <w:r>
              <w:rPr>
                <w:b w:val="false"/>
                <w:bCs w:val="false"/>
                <w:color w:val="000000"/>
                <w:sz w:val="14"/>
                <w:szCs w:val="14"/>
              </w:rPr>
              <w:t xml:space="preserve">Seeded at implementation; changes only if NPCO's organisational structure changes</w:t>
            </w:r>
          </w:p>
        </w:tc>
      </w:tr>
      <w:tr>
        <w:tc>
          <w:tcPr>
            <w:tcW w:type="dxa" w:w="1670"/>
            <w:tcMar>
              <w:top w:type="dxa" w:w="50"/>
              <w:left w:type="dxa" w:w="80"/>
              <w:bottom w:type="dxa" w:w="50"/>
              <w:right w:type="dxa" w:w="80"/>
            </w:tcMar>
            <w:vAlign w:val="top"/>
          </w:tcPr>
          <w:p>
            <w:r>
              <w:rPr>
                <w:b/>
                <w:bCs/>
                <w:color w:val="000000"/>
                <w:sz w:val="14"/>
                <w:szCs w:val="14"/>
              </w:rPr>
              <w:t xml:space="preserve">Role</w:t>
            </w:r>
          </w:p>
        </w:tc>
        <w:tc>
          <w:tcPr>
            <w:tcW w:type="dxa" w:w="1462"/>
            <w:tcMar>
              <w:top w:type="dxa" w:w="50"/>
              <w:left w:type="dxa" w:w="80"/>
              <w:bottom w:type="dxa" w:w="50"/>
              <w:right w:type="dxa" w:w="80"/>
            </w:tcMar>
            <w:vAlign w:val="top"/>
          </w:tcPr>
          <w:p>
            <w:r>
              <w:rPr>
                <w:b w:val="false"/>
                <w:bCs w:val="false"/>
                <w:color w:val="000000"/>
                <w:sz w:val="14"/>
                <w:szCs w:val="14"/>
              </w:rPr>
              <w:t xml:space="preserve">Identity &amp; Access</w:t>
            </w:r>
          </w:p>
        </w:tc>
        <w:tc>
          <w:tcPr>
            <w:tcW w:type="dxa" w:w="3132"/>
            <w:tcMar>
              <w:top w:type="dxa" w:w="50"/>
              <w:left w:type="dxa" w:w="80"/>
              <w:bottom w:type="dxa" w:w="50"/>
              <w:right w:type="dxa" w:w="80"/>
            </w:tcMar>
            <w:vAlign w:val="top"/>
          </w:tcPr>
          <w:p>
            <w:r>
              <w:rPr>
                <w:b w:val="false"/>
                <w:bCs w:val="false"/>
                <w:color w:val="000000"/>
                <w:sz w:val="14"/>
                <w:szCs w:val="14"/>
              </w:rPr>
              <w:t xml:space="preserve">The 10 (11 at Phase 2) fixed role archetypes</w:t>
            </w:r>
          </w:p>
        </w:tc>
        <w:tc>
          <w:tcPr>
            <w:tcW w:type="dxa" w:w="1462"/>
            <w:tcMar>
              <w:top w:type="dxa" w:w="50"/>
              <w:left w:type="dxa" w:w="80"/>
              <w:bottom w:type="dxa" w:w="50"/>
              <w:right w:type="dxa" w:w="80"/>
            </w:tcMar>
            <w:vAlign w:val="top"/>
          </w:tcPr>
          <w:p>
            <w:r>
              <w:rPr>
                <w:b w:val="false"/>
                <w:bCs w:val="false"/>
                <w:color w:val="000000"/>
                <w:sz w:val="14"/>
                <w:szCs w:val="14"/>
              </w:rPr>
              <w:t xml:space="preserve">ICT Administrator</w:t>
            </w:r>
          </w:p>
        </w:tc>
        <w:tc>
          <w:tcPr>
            <w:tcW w:type="dxa" w:w="2714"/>
            <w:tcMar>
              <w:top w:type="dxa" w:w="50"/>
              <w:left w:type="dxa" w:w="80"/>
              <w:bottom w:type="dxa" w:w="50"/>
              <w:right w:type="dxa" w:w="80"/>
            </w:tcMar>
            <w:vAlign w:val="top"/>
          </w:tcPr>
          <w:p>
            <w:r>
              <w:rPr>
                <w:b w:val="false"/>
                <w:bCs w:val="false"/>
                <w:color w:val="000000"/>
                <w:sz w:val="14"/>
                <w:szCs w:val="14"/>
              </w:rPr>
              <w:t xml:space="preserve">Configured once in Sprint 4 per SRS Part 2; new roles require an SRS amendment, not ad hoc creation</w:t>
            </w:r>
          </w:p>
        </w:tc>
      </w:tr>
      <w:tr>
        <w:tc>
          <w:tcPr>
            <w:tcW w:type="dxa" w:w="1670"/>
            <w:tcMar>
              <w:top w:type="dxa" w:w="50"/>
              <w:left w:type="dxa" w:w="80"/>
              <w:bottom w:type="dxa" w:w="50"/>
              <w:right w:type="dxa" w:w="80"/>
            </w:tcMar>
            <w:vAlign w:val="top"/>
          </w:tcPr>
          <w:p>
            <w:r>
              <w:rPr>
                <w:b/>
                <w:bCs/>
                <w:color w:val="000000"/>
                <w:sz w:val="14"/>
                <w:szCs w:val="14"/>
              </w:rPr>
              <w:t xml:space="preserve">Permission</w:t>
            </w:r>
          </w:p>
        </w:tc>
        <w:tc>
          <w:tcPr>
            <w:tcW w:type="dxa" w:w="1462"/>
            <w:tcMar>
              <w:top w:type="dxa" w:w="50"/>
              <w:left w:type="dxa" w:w="80"/>
              <w:bottom w:type="dxa" w:w="50"/>
              <w:right w:type="dxa" w:w="80"/>
            </w:tcMar>
            <w:vAlign w:val="top"/>
          </w:tcPr>
          <w:p>
            <w:r>
              <w:rPr>
                <w:b w:val="false"/>
                <w:bCs w:val="false"/>
                <w:color w:val="000000"/>
                <w:sz w:val="14"/>
                <w:szCs w:val="14"/>
              </w:rPr>
              <w:t xml:space="preserve">Identity &amp; Access</w:t>
            </w:r>
          </w:p>
        </w:tc>
        <w:tc>
          <w:tcPr>
            <w:tcW w:type="dxa" w:w="3132"/>
            <w:tcMar>
              <w:top w:type="dxa" w:w="50"/>
              <w:left w:type="dxa" w:w="80"/>
              <w:bottom w:type="dxa" w:w="50"/>
              <w:right w:type="dxa" w:w="80"/>
            </w:tcMar>
            <w:vAlign w:val="top"/>
          </w:tcPr>
          <w:p>
            <w:r>
              <w:rPr>
                <w:b w:val="false"/>
                <w:bCs w:val="false"/>
                <w:color w:val="000000"/>
                <w:sz w:val="14"/>
                <w:szCs w:val="14"/>
              </w:rPr>
              <w:t xml:space="preserve">~180 atomic module.action permission units</w:t>
            </w:r>
          </w:p>
        </w:tc>
        <w:tc>
          <w:tcPr>
            <w:tcW w:type="dxa" w:w="1462"/>
            <w:tcMar>
              <w:top w:type="dxa" w:w="50"/>
              <w:left w:type="dxa" w:w="80"/>
              <w:bottom w:type="dxa" w:w="50"/>
              <w:right w:type="dxa" w:w="80"/>
            </w:tcMar>
            <w:vAlign w:val="top"/>
          </w:tcPr>
          <w:p>
            <w:r>
              <w:rPr>
                <w:b w:val="false"/>
                <w:bCs w:val="false"/>
                <w:color w:val="000000"/>
                <w:sz w:val="14"/>
                <w:szCs w:val="14"/>
              </w:rPr>
              <w:t xml:space="preserve">ICT Administrator</w:t>
            </w:r>
          </w:p>
        </w:tc>
        <w:tc>
          <w:tcPr>
            <w:tcW w:type="dxa" w:w="2714"/>
            <w:tcMar>
              <w:top w:type="dxa" w:w="50"/>
              <w:left w:type="dxa" w:w="80"/>
              <w:bottom w:type="dxa" w:w="50"/>
              <w:right w:type="dxa" w:w="80"/>
            </w:tcMar>
            <w:vAlign w:val="top"/>
          </w:tcPr>
          <w:p>
            <w:r>
              <w:rPr>
                <w:b w:val="false"/>
                <w:bCs w:val="false"/>
                <w:color w:val="000000"/>
                <w:sz w:val="14"/>
                <w:szCs w:val="14"/>
              </w:rPr>
              <w:t xml:space="preserve">Grows only when a new module or action is added to the platform; maintained alongside the Screen Catalogue (SRS Part 23)</w:t>
            </w:r>
          </w:p>
        </w:tc>
      </w:tr>
      <w:tr>
        <w:tc>
          <w:tcPr>
            <w:tcW w:type="dxa" w:w="1670"/>
            <w:tcMar>
              <w:top w:type="dxa" w:w="50"/>
              <w:left w:type="dxa" w:w="80"/>
              <w:bottom w:type="dxa" w:w="50"/>
              <w:right w:type="dxa" w:w="80"/>
            </w:tcMar>
            <w:vAlign w:val="top"/>
          </w:tcPr>
          <w:p>
            <w:r>
              <w:rPr>
                <w:b/>
                <w:bCs/>
                <w:color w:val="000000"/>
                <w:sz w:val="14"/>
                <w:szCs w:val="14"/>
              </w:rPr>
              <w:t xml:space="preserve">DocumentCategory</w:t>
            </w:r>
          </w:p>
        </w:tc>
        <w:tc>
          <w:tcPr>
            <w:tcW w:type="dxa" w:w="1462"/>
            <w:tcMar>
              <w:top w:type="dxa" w:w="50"/>
              <w:left w:type="dxa" w:w="80"/>
              <w:bottom w:type="dxa" w:w="50"/>
              <w:right w:type="dxa" w:w="80"/>
            </w:tcMar>
            <w:vAlign w:val="top"/>
          </w:tcPr>
          <w:p>
            <w:r>
              <w:rPr>
                <w:b w:val="false"/>
                <w:bCs w:val="false"/>
                <w:color w:val="000000"/>
                <w:sz w:val="14"/>
                <w:szCs w:val="14"/>
              </w:rPr>
              <w:t xml:space="preserve">Documents</w:t>
            </w:r>
          </w:p>
        </w:tc>
        <w:tc>
          <w:tcPr>
            <w:tcW w:type="dxa" w:w="3132"/>
            <w:tcMar>
              <w:top w:type="dxa" w:w="50"/>
              <w:left w:type="dxa" w:w="80"/>
              <w:bottom w:type="dxa" w:w="50"/>
              <w:right w:type="dxa" w:w="80"/>
            </w:tcMar>
            <w:vAlign w:val="top"/>
          </w:tcPr>
          <w:p>
            <w:r>
              <w:rPr>
                <w:b w:val="false"/>
                <w:bCs w:val="false"/>
                <w:color w:val="000000"/>
                <w:sz w:val="14"/>
                <w:szCs w:val="14"/>
              </w:rPr>
              <w:t xml:space="preserve">Document classification driving default workflow and retention</w:t>
            </w:r>
          </w:p>
        </w:tc>
        <w:tc>
          <w:tcPr>
            <w:tcW w:type="dxa" w:w="1462"/>
            <w:tcMar>
              <w:top w:type="dxa" w:w="50"/>
              <w:left w:type="dxa" w:w="80"/>
              <w:bottom w:type="dxa" w:w="50"/>
              <w:right w:type="dxa" w:w="80"/>
            </w:tcMar>
            <w:vAlign w:val="top"/>
          </w:tcPr>
          <w:p>
            <w:r>
              <w:rPr>
                <w:b w:val="false"/>
                <w:bCs w:val="false"/>
                <w:color w:val="000000"/>
                <w:sz w:val="14"/>
                <w:szCs w:val="14"/>
              </w:rPr>
              <w:t xml:space="preserve">ICT Administrator</w:t>
            </w:r>
          </w:p>
        </w:tc>
        <w:tc>
          <w:tcPr>
            <w:tcW w:type="dxa" w:w="2714"/>
            <w:tcMar>
              <w:top w:type="dxa" w:w="50"/>
              <w:left w:type="dxa" w:w="80"/>
              <w:bottom w:type="dxa" w:w="50"/>
              <w:right w:type="dxa" w:w="80"/>
            </w:tcMar>
            <w:vAlign w:val="top"/>
          </w:tcPr>
          <w:p>
            <w:r>
              <w:rPr>
                <w:b w:val="false"/>
                <w:bCs w:val="false"/>
                <w:color w:val="000000"/>
                <w:sz w:val="14"/>
                <w:szCs w:val="14"/>
              </w:rPr>
              <w:t xml:space="preserve">Configured in Sprint 1-2; extensible by ICT Administrator as new document classes are identified</w:t>
            </w:r>
          </w:p>
        </w:tc>
      </w:tr>
      <w:tr>
        <w:tc>
          <w:tcPr>
            <w:tcW w:type="dxa" w:w="1670"/>
            <w:tcMar>
              <w:top w:type="dxa" w:w="50"/>
              <w:left w:type="dxa" w:w="80"/>
              <w:bottom w:type="dxa" w:w="50"/>
              <w:right w:type="dxa" w:w="80"/>
            </w:tcMar>
            <w:vAlign w:val="top"/>
          </w:tcPr>
          <w:p>
            <w:r>
              <w:rPr>
                <w:b/>
                <w:bCs/>
                <w:color w:val="000000"/>
                <w:sz w:val="14"/>
                <w:szCs w:val="14"/>
              </w:rPr>
              <w:t xml:space="preserve">TaxonomyTerm</w:t>
            </w:r>
          </w:p>
        </w:tc>
        <w:tc>
          <w:tcPr>
            <w:tcW w:type="dxa" w:w="1462"/>
            <w:tcMar>
              <w:top w:type="dxa" w:w="50"/>
              <w:left w:type="dxa" w:w="80"/>
              <w:bottom w:type="dxa" w:w="50"/>
              <w:right w:type="dxa" w:w="80"/>
            </w:tcMar>
            <w:vAlign w:val="top"/>
          </w:tcPr>
          <w:p>
            <w:r>
              <w:rPr>
                <w:b w:val="false"/>
                <w:bCs w:val="false"/>
                <w:color w:val="000000"/>
                <w:sz w:val="14"/>
                <w:szCs w:val="14"/>
              </w:rPr>
              <w:t xml:space="preserve">Knowledge Repository</w:t>
            </w:r>
          </w:p>
        </w:tc>
        <w:tc>
          <w:tcPr>
            <w:tcW w:type="dxa" w:w="3132"/>
            <w:tcMar>
              <w:top w:type="dxa" w:w="50"/>
              <w:left w:type="dxa" w:w="80"/>
              <w:bottom w:type="dxa" w:w="50"/>
              <w:right w:type="dxa" w:w="80"/>
            </w:tcMar>
            <w:vAlign w:val="top"/>
          </w:tcPr>
          <w:p>
            <w:r>
              <w:rPr>
                <w:b w:val="false"/>
                <w:bCs w:val="false"/>
                <w:color w:val="000000"/>
                <w:sz w:val="14"/>
                <w:szCs w:val="14"/>
              </w:rPr>
              <w:t xml:space="preserve">Hierarchical subject taxonomy shared by Document and KnowledgeArticle</w:t>
            </w:r>
          </w:p>
        </w:tc>
        <w:tc>
          <w:tcPr>
            <w:tcW w:type="dxa" w:w="1462"/>
            <w:tcMar>
              <w:top w:type="dxa" w:w="50"/>
              <w:left w:type="dxa" w:w="80"/>
              <w:bottom w:type="dxa" w:w="50"/>
              <w:right w:type="dxa" w:w="80"/>
            </w:tcMar>
            <w:vAlign w:val="top"/>
          </w:tcPr>
          <w:p>
            <w:r>
              <w:rPr>
                <w:b w:val="false"/>
                <w:bCs w:val="false"/>
                <w:color w:val="000000"/>
                <w:sz w:val="14"/>
                <w:szCs w:val="14"/>
              </w:rPr>
              <w:t xml:space="preserve">KM Unit</w:t>
            </w:r>
          </w:p>
        </w:tc>
        <w:tc>
          <w:tcPr>
            <w:tcW w:type="dxa" w:w="2714"/>
            <w:tcMar>
              <w:top w:type="dxa" w:w="50"/>
              <w:left w:type="dxa" w:w="80"/>
              <w:bottom w:type="dxa" w:w="50"/>
              <w:right w:type="dxa" w:w="80"/>
            </w:tcMar>
            <w:vAlign w:val="top"/>
          </w:tcPr>
          <w:p>
            <w:r>
              <w:rPr>
                <w:b w:val="false"/>
                <w:bCs w:val="false"/>
                <w:color w:val="000000"/>
                <w:sz w:val="14"/>
                <w:szCs w:val="14"/>
              </w:rPr>
              <w:t xml:space="preserve">Curated growth — KM Unit reviews and approves new terms quarterly to prevent taxonomy sprawl</w:t>
            </w:r>
          </w:p>
        </w:tc>
      </w:tr>
      <w:tr>
        <w:tc>
          <w:tcPr>
            <w:tcW w:type="dxa" w:w="1670"/>
            <w:tcMar>
              <w:top w:type="dxa" w:w="50"/>
              <w:left w:type="dxa" w:w="80"/>
              <w:bottom w:type="dxa" w:w="50"/>
              <w:right w:type="dxa" w:w="80"/>
            </w:tcMar>
            <w:vAlign w:val="top"/>
          </w:tcPr>
          <w:p>
            <w:r>
              <w:rPr>
                <w:b/>
                <w:bCs/>
                <w:color w:val="000000"/>
                <w:sz w:val="14"/>
                <w:szCs w:val="14"/>
              </w:rPr>
              <w:t xml:space="preserve">HelpDeskCategory</w:t>
            </w:r>
          </w:p>
        </w:tc>
        <w:tc>
          <w:tcPr>
            <w:tcW w:type="dxa" w:w="1462"/>
            <w:tcMar>
              <w:top w:type="dxa" w:w="50"/>
              <w:left w:type="dxa" w:w="80"/>
              <w:bottom w:type="dxa" w:w="50"/>
              <w:right w:type="dxa" w:w="80"/>
            </w:tcMar>
            <w:vAlign w:val="top"/>
          </w:tcPr>
          <w:p>
            <w:r>
              <w:rPr>
                <w:b w:val="false"/>
                <w:bCs w:val="false"/>
                <w:color w:val="000000"/>
                <w:sz w:val="14"/>
                <w:szCs w:val="14"/>
              </w:rPr>
              <w:t xml:space="preserve">Help Desk</w:t>
            </w:r>
          </w:p>
        </w:tc>
        <w:tc>
          <w:tcPr>
            <w:tcW w:type="dxa" w:w="3132"/>
            <w:tcMar>
              <w:top w:type="dxa" w:w="50"/>
              <w:left w:type="dxa" w:w="80"/>
              <w:bottom w:type="dxa" w:w="50"/>
              <w:right w:type="dxa" w:w="80"/>
            </w:tcMar>
            <w:vAlign w:val="top"/>
          </w:tcPr>
          <w:p>
            <w:r>
              <w:rPr>
                <w:b w:val="false"/>
                <w:bCs w:val="false"/>
                <w:color w:val="000000"/>
                <w:sz w:val="14"/>
                <w:szCs w:val="14"/>
              </w:rPr>
              <w:t xml:space="preserve">Grouping for self-service FAQ content</w:t>
            </w:r>
          </w:p>
        </w:tc>
        <w:tc>
          <w:tcPr>
            <w:tcW w:type="dxa" w:w="1462"/>
            <w:tcMar>
              <w:top w:type="dxa" w:w="50"/>
              <w:left w:type="dxa" w:w="80"/>
              <w:bottom w:type="dxa" w:w="50"/>
              <w:right w:type="dxa" w:w="80"/>
            </w:tcMar>
            <w:vAlign w:val="top"/>
          </w:tcPr>
          <w:p>
            <w:r>
              <w:rPr>
                <w:b w:val="false"/>
                <w:bCs w:val="false"/>
                <w:color w:val="000000"/>
                <w:sz w:val="14"/>
                <w:szCs w:val="14"/>
              </w:rPr>
              <w:t xml:space="preserve">ICT Administrator</w:t>
            </w:r>
          </w:p>
        </w:tc>
        <w:tc>
          <w:tcPr>
            <w:tcW w:type="dxa" w:w="2714"/>
            <w:tcMar>
              <w:top w:type="dxa" w:w="50"/>
              <w:left w:type="dxa" w:w="80"/>
              <w:bottom w:type="dxa" w:w="50"/>
              <w:right w:type="dxa" w:w="80"/>
            </w:tcMar>
            <w:vAlign w:val="top"/>
          </w:tcPr>
          <w:p>
            <w:r>
              <w:rPr>
                <w:b w:val="false"/>
                <w:bCs w:val="false"/>
                <w:color w:val="000000"/>
                <w:sz w:val="14"/>
                <w:szCs w:val="14"/>
              </w:rPr>
              <w:t xml:space="preserve">Low-frequency changes as the platform's common-question patterns evolve</w:t>
            </w:r>
          </w:p>
        </w:tc>
      </w:tr>
      <w:tr>
        <w:tc>
          <w:tcPr>
            <w:tcW w:type="dxa" w:w="1670"/>
            <w:tcMar>
              <w:top w:type="dxa" w:w="50"/>
              <w:left w:type="dxa" w:w="80"/>
              <w:bottom w:type="dxa" w:w="50"/>
              <w:right w:type="dxa" w:w="80"/>
            </w:tcMar>
            <w:vAlign w:val="top"/>
          </w:tcPr>
          <w:p>
            <w:r>
              <w:rPr>
                <w:b/>
                <w:bCs/>
                <w:color w:val="000000"/>
                <w:sz w:val="14"/>
                <w:szCs w:val="14"/>
              </w:rPr>
              <w:t xml:space="preserve">WorkflowTemplate</w:t>
            </w:r>
          </w:p>
        </w:tc>
        <w:tc>
          <w:tcPr>
            <w:tcW w:type="dxa" w:w="1462"/>
            <w:tcMar>
              <w:top w:type="dxa" w:w="50"/>
              <w:left w:type="dxa" w:w="80"/>
              <w:bottom w:type="dxa" w:w="50"/>
              <w:right w:type="dxa" w:w="80"/>
            </w:tcMar>
            <w:vAlign w:val="top"/>
          </w:tcPr>
          <w:p>
            <w:r>
              <w:rPr>
                <w:b w:val="false"/>
                <w:bCs w:val="false"/>
                <w:color w:val="000000"/>
                <w:sz w:val="14"/>
                <w:szCs w:val="14"/>
              </w:rPr>
              <w:t xml:space="preserve">Workflow</w:t>
            </w:r>
          </w:p>
        </w:tc>
        <w:tc>
          <w:tcPr>
            <w:tcW w:type="dxa" w:w="3132"/>
            <w:tcMar>
              <w:top w:type="dxa" w:w="50"/>
              <w:left w:type="dxa" w:w="80"/>
              <w:bottom w:type="dxa" w:w="50"/>
              <w:right w:type="dxa" w:w="80"/>
            </w:tcMar>
            <w:vAlign w:val="top"/>
          </w:tcPr>
          <w:p>
            <w:r>
              <w:rPr>
                <w:b w:val="false"/>
                <w:bCs w:val="false"/>
                <w:color w:val="000000"/>
                <w:sz w:val="14"/>
                <w:szCs w:val="14"/>
              </w:rPr>
              <w:t xml:space="preserve">Configured approval chains per document/item class</w:t>
            </w:r>
          </w:p>
        </w:tc>
        <w:tc>
          <w:tcPr>
            <w:tcW w:type="dxa" w:w="1462"/>
            <w:tcMar>
              <w:top w:type="dxa" w:w="50"/>
              <w:left w:type="dxa" w:w="80"/>
              <w:bottom w:type="dxa" w:w="50"/>
              <w:right w:type="dxa" w:w="80"/>
            </w:tcMar>
            <w:vAlign w:val="top"/>
          </w:tcPr>
          <w:p>
            <w:r>
              <w:rPr>
                <w:b w:val="false"/>
                <w:bCs w:val="false"/>
                <w:color w:val="000000"/>
                <w:sz w:val="14"/>
                <w:szCs w:val="14"/>
              </w:rPr>
              <w:t xml:space="preserve">ICT Administrator</w:t>
            </w:r>
          </w:p>
        </w:tc>
        <w:tc>
          <w:tcPr>
            <w:tcW w:type="dxa" w:w="2714"/>
            <w:tcMar>
              <w:top w:type="dxa" w:w="50"/>
              <w:left w:type="dxa" w:w="80"/>
              <w:bottom w:type="dxa" w:w="50"/>
              <w:right w:type="dxa" w:w="80"/>
            </w:tcMar>
            <w:vAlign w:val="top"/>
          </w:tcPr>
          <w:p>
            <w:r>
              <w:rPr>
                <w:b w:val="false"/>
                <w:bCs w:val="false"/>
                <w:color w:val="000000"/>
                <w:sz w:val="14"/>
                <w:szCs w:val="14"/>
              </w:rPr>
              <w:t xml:space="preserve">Configured in Sprint 2; changes go through a change-control step since altering a live template affects in-flight WorkflowItem records</w:t>
            </w:r>
          </w:p>
        </w:tc>
      </w:tr>
      <w:tr>
        <w:tc>
          <w:tcPr>
            <w:tcW w:type="dxa" w:w="1670"/>
            <w:tcMar>
              <w:top w:type="dxa" w:w="50"/>
              <w:left w:type="dxa" w:w="80"/>
              <w:bottom w:type="dxa" w:w="50"/>
              <w:right w:type="dxa" w:w="80"/>
            </w:tcMar>
            <w:vAlign w:val="top"/>
          </w:tcPr>
          <w:p>
            <w:r>
              <w:rPr>
                <w:b/>
                <w:bCs/>
                <w:color w:val="000000"/>
                <w:sz w:val="14"/>
                <w:szCs w:val="14"/>
              </w:rPr>
              <w:t xml:space="preserve">NotificationTemplate</w:t>
            </w:r>
          </w:p>
        </w:tc>
        <w:tc>
          <w:tcPr>
            <w:tcW w:type="dxa" w:w="1462"/>
            <w:tcMar>
              <w:top w:type="dxa" w:w="50"/>
              <w:left w:type="dxa" w:w="80"/>
              <w:bottom w:type="dxa" w:w="50"/>
              <w:right w:type="dxa" w:w="80"/>
            </w:tcMar>
            <w:vAlign w:val="top"/>
          </w:tcPr>
          <w:p>
            <w:r>
              <w:rPr>
                <w:b w:val="false"/>
                <w:bCs w:val="false"/>
                <w:color w:val="000000"/>
                <w:sz w:val="14"/>
                <w:szCs w:val="14"/>
              </w:rPr>
              <w:t xml:space="preserve">Notifications</w:t>
            </w:r>
          </w:p>
        </w:tc>
        <w:tc>
          <w:tcPr>
            <w:tcW w:type="dxa" w:w="3132"/>
            <w:tcMar>
              <w:top w:type="dxa" w:w="50"/>
              <w:left w:type="dxa" w:w="80"/>
              <w:bottom w:type="dxa" w:w="50"/>
              <w:right w:type="dxa" w:w="80"/>
            </w:tcMar>
            <w:vAlign w:val="top"/>
          </w:tcPr>
          <w:p>
            <w:r>
              <w:rPr>
                <w:b w:val="false"/>
                <w:bCs w:val="false"/>
                <w:color w:val="000000"/>
                <w:sz w:val="14"/>
                <w:szCs w:val="14"/>
              </w:rPr>
              <w:t xml:space="preserve">Message templates for the 20 catalogued notification types</w:t>
            </w:r>
          </w:p>
        </w:tc>
        <w:tc>
          <w:tcPr>
            <w:tcW w:type="dxa" w:w="1462"/>
            <w:tcMar>
              <w:top w:type="dxa" w:w="50"/>
              <w:left w:type="dxa" w:w="80"/>
              <w:bottom w:type="dxa" w:w="50"/>
              <w:right w:type="dxa" w:w="80"/>
            </w:tcMar>
            <w:vAlign w:val="top"/>
          </w:tcPr>
          <w:p>
            <w:r>
              <w:rPr>
                <w:b w:val="false"/>
                <w:bCs w:val="false"/>
                <w:color w:val="000000"/>
                <w:sz w:val="14"/>
                <w:szCs w:val="14"/>
              </w:rPr>
              <w:t xml:space="preserve">ICT Administrator</w:t>
            </w:r>
          </w:p>
        </w:tc>
        <w:tc>
          <w:tcPr>
            <w:tcW w:type="dxa" w:w="2714"/>
            <w:tcMar>
              <w:top w:type="dxa" w:w="50"/>
              <w:left w:type="dxa" w:w="80"/>
              <w:bottom w:type="dxa" w:w="50"/>
              <w:right w:type="dxa" w:w="80"/>
            </w:tcMar>
            <w:vAlign w:val="top"/>
          </w:tcPr>
          <w:p>
            <w:r>
              <w:rPr>
                <w:b w:val="false"/>
                <w:bCs w:val="false"/>
                <w:color w:val="000000"/>
                <w:sz w:val="14"/>
                <w:szCs w:val="14"/>
              </w:rPr>
              <w:t xml:space="preserve">Fixed at implementation per the Notification Catalogue (SRS Part 26); wording revisions permitted without schema change</w:t>
            </w:r>
          </w:p>
        </w:tc>
      </w:tr>
      <w:tr>
        <w:tc>
          <w:tcPr>
            <w:tcW w:type="dxa" w:w="1670"/>
            <w:tcMar>
              <w:top w:type="dxa" w:w="50"/>
              <w:left w:type="dxa" w:w="80"/>
              <w:bottom w:type="dxa" w:w="50"/>
              <w:right w:type="dxa" w:w="80"/>
            </w:tcMar>
            <w:vAlign w:val="top"/>
          </w:tcPr>
          <w:p>
            <w:r>
              <w:rPr>
                <w:b/>
                <w:bCs/>
                <w:color w:val="000000"/>
                <w:sz w:val="14"/>
                <w:szCs w:val="14"/>
              </w:rPr>
              <w:t xml:space="preserve">TrainingCourse</w:t>
            </w:r>
          </w:p>
        </w:tc>
        <w:tc>
          <w:tcPr>
            <w:tcW w:type="dxa" w:w="1462"/>
            <w:tcMar>
              <w:top w:type="dxa" w:w="50"/>
              <w:left w:type="dxa" w:w="80"/>
              <w:bottom w:type="dxa" w:w="50"/>
              <w:right w:type="dxa" w:w="80"/>
            </w:tcMar>
            <w:vAlign w:val="top"/>
          </w:tcPr>
          <w:p>
            <w:r>
              <w:rPr>
                <w:b w:val="false"/>
                <w:bCs w:val="false"/>
                <w:color w:val="000000"/>
                <w:sz w:val="14"/>
                <w:szCs w:val="14"/>
              </w:rPr>
              <w:t xml:space="preserve">Training</w:t>
            </w:r>
          </w:p>
        </w:tc>
        <w:tc>
          <w:tcPr>
            <w:tcW w:type="dxa" w:w="3132"/>
            <w:tcMar>
              <w:top w:type="dxa" w:w="50"/>
              <w:left w:type="dxa" w:w="80"/>
              <w:bottom w:type="dxa" w:w="50"/>
              <w:right w:type="dxa" w:w="80"/>
            </w:tcMar>
            <w:vAlign w:val="top"/>
          </w:tcPr>
          <w:p>
            <w:r>
              <w:rPr>
                <w:b w:val="false"/>
                <w:bCs w:val="false"/>
                <w:color w:val="000000"/>
                <w:sz w:val="14"/>
                <w:szCs w:val="14"/>
              </w:rPr>
              <w:t xml:space="preserve">The training catalogue (4 tracks per the Methodology's Training Programme)</w:t>
            </w:r>
          </w:p>
        </w:tc>
        <w:tc>
          <w:tcPr>
            <w:tcW w:type="dxa" w:w="1462"/>
            <w:tcMar>
              <w:top w:type="dxa" w:w="50"/>
              <w:left w:type="dxa" w:w="80"/>
              <w:bottom w:type="dxa" w:w="50"/>
              <w:right w:type="dxa" w:w="80"/>
            </w:tcMar>
            <w:vAlign w:val="top"/>
          </w:tcPr>
          <w:p>
            <w:r>
              <w:rPr>
                <w:b w:val="false"/>
                <w:bCs w:val="false"/>
                <w:color w:val="000000"/>
                <w:sz w:val="14"/>
                <w:szCs w:val="14"/>
              </w:rPr>
              <w:t xml:space="preserve">ICT Administrator / KM Unit</w:t>
            </w:r>
          </w:p>
        </w:tc>
        <w:tc>
          <w:tcPr>
            <w:tcW w:type="dxa" w:w="2714"/>
            <w:tcMar>
              <w:top w:type="dxa" w:w="50"/>
              <w:left w:type="dxa" w:w="80"/>
              <w:bottom w:type="dxa" w:w="50"/>
              <w:right w:type="dxa" w:w="80"/>
            </w:tcMar>
            <w:vAlign w:val="top"/>
          </w:tcPr>
          <w:p>
            <w:r>
              <w:rPr>
                <w:b w:val="false"/>
                <w:bCs w:val="false"/>
                <w:color w:val="000000"/>
                <w:sz w:val="14"/>
                <w:szCs w:val="14"/>
              </w:rPr>
              <w:t xml:space="preserve">Extended as new training needs are identified post-go-live</w:t>
            </w:r>
          </w:p>
        </w:tc>
      </w:tr>
    </w:tbl>
    <w:p>
      <w:pPr>
        <w:spacing w:after="160"/>
      </w:pPr>
    </w:p>
    <w:p>
      <w:pPr>
        <w:pStyle w:val="Heading1"/>
        <w:pBdr>
          <w:bottom w:val="single" w:color="5C2D91" w:sz="6" w:space="4"/>
        </w:pBdr>
        <w:spacing w:after="130" w:before="320"/>
      </w:pPr>
      <w:r>
        <w:t xml:space="preserve">6.3 Master Data Governance Principles</w:t>
      </w:r>
    </w:p>
    <w:p>
      <w:pPr>
        <w:pStyle w:val="ListParagraph"/>
        <w:numPr>
          <w:ilvl w:val="0"/>
          <w:numId w:val="1"/>
        </w:numPr>
        <w:spacing w:after="110" w:line="264"/>
      </w:pPr>
      <w:r>
        <w:t xml:space="preserve">Every master data table carries a status/activation mechanism (account_status on User, is_system_role on Role, is_published on PortalPage, or an equivalent field) so that obsolete entries are deactivated, never hard-deleted, preserving referential integrity for every historical record that references them.</w:t>
      </w:r>
    </w:p>
    <w:p>
      <w:pPr>
        <w:pStyle w:val="ListParagraph"/>
        <w:numPr>
          <w:ilvl w:val="0"/>
          <w:numId w:val="1"/>
        </w:numPr>
        <w:spacing w:after="110" w:line="264"/>
      </w:pPr>
      <w:r>
        <w:t xml:space="preserve">Master data changes that affect in-flight transactional records — most notably editing a live WorkflowTemplate — require the change to be versioned or scheduled for a clean cutover point (e.g. "applies to WorkflowItems created after this date"), rather than silently altering the behaviour of approvals already in progress.</w:t>
      </w:r>
    </w:p>
    <w:p>
      <w:pPr>
        <w:pStyle w:val="ListParagraph"/>
        <w:numPr>
          <w:ilvl w:val="0"/>
          <w:numId w:val="1"/>
        </w:numPr>
        <w:spacing w:after="110" w:line="264"/>
      </w:pPr>
      <w:r>
        <w:t xml:space="preserve">Master data ownership is assigned to a role, not an individual, consistent with SRS Part 30's audit requirements — every master data table's created_by/updated_by audit fields (Part 10) record which user made a change, but accountability for the table's overall correctness sits with the owning role.</w:t>
      </w:r>
    </w:p>
    <w:p>
      <w:pPr>
        <w:pStyle w:val="ListParagraph"/>
        <w:numPr>
          <w:ilvl w:val="0"/>
          <w:numId w:val="1"/>
        </w:numPr>
        <w:spacing w:after="110" w:line="264"/>
      </w:pPr>
      <w:r>
        <w:t xml:space="preserve">TaxonomyTerm is the one master data table with a curation cadence stated explicitly (quarterly KM Unit review) because uncontrolled taxonomy growth is the most common cause of search and categorisation degradation in content-heavy systems — this is a lesson encoded directly into the governance model rather than left to be learned during operation.</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pPr>
    <w:rPr>
      <w:rFonts w:ascii="Arial" w:cs="Arial" w:eastAsia="Arial" w:hAnsi="Arial"/>
      <w:b/>
      <w:bCs/>
      <w:color w:val="5C2D91"/>
      <w:sz w:val="24"/>
      <w:szCs w:val="24"/>
    </w:rPr>
  </w:style>
  <w:style w:type="paragraph" w:styleId="Heading2">
    <w:name w:val="Heading 2"/>
    <w:basedOn w:val="Normal"/>
    <w:next w:val="Normal"/>
    <w:qFormat/>
    <w:pPr>
      <w:spacing w:after="100" w:before="220"/>
    </w:pPr>
    <w:rPr>
      <w:rFonts w:ascii="Arial" w:cs="Arial" w:eastAsia="Arial" w:hAnsi="Arial"/>
      <w:b/>
      <w:bCs/>
      <w:color w:val="7A43B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2026-07-19T08:44:32.865Z</dcterms:created>
  <dcterms:modified xsi:type="dcterms:W3CDTF">2026-07-19T08:44:32.865Z</dcterms:modified>
</cp:coreProperties>
</file>

<file path=docProps/custom.xml><?xml version="1.0" encoding="utf-8"?>
<Properties xmlns="http://schemas.openxmlformats.org/officeDocument/2006/custom-properties" xmlns:vt="http://schemas.openxmlformats.org/officeDocument/2006/docPropsVTypes"/>
</file>