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808080"/>
          <w:sz w:val="20"/>
          <w:szCs w:val="20"/>
        </w:rPr>
        <w:t xml:space="preserve">SAPZ PROGRAMME — REF: NPCO/SAPZ/IFAD/26/1023/588</w:t>
      </w:r>
    </w:p>
    <w:p>
      <w:pPr>
        <w:spacing w:after="60"/>
        <w:jc w:val="center"/>
      </w:pPr>
      <w:r>
        <w:rPr>
          <w:b/>
          <w:bCs/>
          <w:color w:val="5C2D91"/>
          <w:sz w:val="32"/>
          <w:szCs w:val="32"/>
        </w:rPr>
        <w:t xml:space="preserve">Database Design Specification (DDS)</w:t>
      </w:r>
    </w:p>
    <w:p>
      <w:pPr>
        <w:spacing w:after="60"/>
        <w:jc w:val="center"/>
      </w:pPr>
      <w:r>
        <w:rPr>
          <w:b/>
          <w:bCs/>
          <w:color w:val="7A43B6"/>
          <w:sz w:val="22"/>
          <w:szCs w:val="22"/>
        </w:rPr>
        <w:t xml:space="preserve">Enterprise System Management (ESM) Platform and Central Knowledge Repository (CKR)</w:t>
      </w:r>
    </w:p>
    <w:p>
      <w:pPr>
        <w:spacing w:after="40"/>
        <w:jc w:val="center"/>
      </w:pPr>
      <w:r>
        <w:rPr>
          <w:b/>
          <w:bCs/>
          <w:color w:val="7A43B6"/>
          <w:sz w:val="24"/>
          <w:szCs w:val="24"/>
        </w:rPr>
        <w:t xml:space="preserve">Part 8 — Constraints Specification</w:t>
      </w:r>
    </w:p>
    <w:p>
      <w:pPr>
        <w:spacing w:after="260"/>
        <w:jc w:val="center"/>
      </w:pPr>
      <w:r>
        <w:rPr>
          <w:i/>
          <w:iCs/>
          <w:color w:val="555555"/>
          <w:sz w:val="19"/>
          <w:szCs w:val="19"/>
        </w:rPr>
        <w:t xml:space="preserve">Prepared for the SAPZ National Programme Coordination Office — Consultant: Ahmed Babajide Olanrewaju</w:t>
      </w:r>
    </w:p>
    <w:p>
      <w:pPr>
        <w:pStyle w:val="Heading1"/>
        <w:pBdr>
          <w:bottom w:val="single" w:color="5C2D91" w:sz="6" w:space="4"/>
        </w:pBdr>
        <w:spacing w:after="130" w:before="320"/>
      </w:pPr>
      <w:r>
        <w:t xml:space="preserve">8.1 Constraints Overview</w:t>
      </w:r>
    </w:p>
    <w:p>
      <w:pPr>
        <w:spacing w:after="150" w:line="276"/>
        <w:jc w:val="both"/>
      </w:pPr>
      <w:r>
        <w:t xml:space="preserve">This section specifies the constraint layer that enforces data integrity at the database level — the physical implementation of the referential-integrity principle fixed in Section 1.8 and SRS Part 30. Five constraint types are covered: primary keys, foreign keys (with cascade/deletion behaviour), unique constraints, check constraints, and default constraints. Every constraint named here is intended to be enforced by PostgreSQL itself, not solely by application-layer validation — application validation duplicates these rules for user-experience purposes (immediate feedback) but must never be the only enforcement layer.</w:t>
      </w:r>
    </w:p>
    <w:p>
      <w:pPr>
        <w:pStyle w:val="Heading1"/>
        <w:pBdr>
          <w:bottom w:val="single" w:color="5C2D91" w:sz="6" w:space="4"/>
        </w:pBdr>
        <w:spacing w:after="130" w:before="320"/>
      </w:pPr>
      <w:r>
        <w:t xml:space="preserve">8.2 Primary Key Convention</w:t>
      </w:r>
    </w:p>
    <w:p>
      <w:pPr>
        <w:spacing w:after="150" w:line="276"/>
        <w:jc w:val="both"/>
      </w:pPr>
      <w:r>
        <w:t xml:space="preserve">Every entity in Section 3 has exactly one primary key, either a UUID generated via gen_random_uuid() (the default, used for 60 of 62 entities) or a BIGSERIAL (used only for AuditLog and AnalyticsSnapshot, per the justification in Section 1.4). Four bridge/weak entities — RolePermission, ProjectTeamAssignment — use a composite primary key over their two foreign key columns rather than a synthetic surrogate key, because the combination of the two referenced rows is itself the entity's entire business identity and a surrogate key would add no value.</w:t>
      </w:r>
    </w:p>
    <w:p>
      <w:pPr>
        <w:pStyle w:val="Heading1"/>
        <w:pBdr>
          <w:bottom w:val="single" w:color="5C2D91" w:sz="6" w:space="4"/>
        </w:pBdr>
        <w:spacing w:after="130" w:before="320"/>
      </w:pPr>
      <w:r>
        <w:t xml:space="preserve">8.3 Foreign Key, Cascade, and Deletion Strategy</w:t>
      </w:r>
    </w:p>
    <w:p>
      <w:pPr>
        <w:spacing w:after="150" w:line="276"/>
        <w:jc w:val="both"/>
      </w:pPr>
      <w:r>
        <w:t xml:space="preserve">Every foreign key catalogued in Section 5.2 is enforced with REFERENCES … at the database level. Cascade behaviour follows one consistent rule set across the schema, deliberately uniform so that engineers do not need to check each table individually to predict deletion behaviour:</w:t>
      </w:r>
    </w:p>
    <w:p>
      <w:pPr>
        <w:pStyle w:val="ListParagraph"/>
        <w:numPr>
          <w:ilvl w:val="0"/>
          <w:numId w:val="1"/>
        </w:numPr>
        <w:spacing w:after="110" w:line="264"/>
      </w:pPr>
      <w:r>
        <w:t xml:space="preserve">ON DELETE RESTRICT is the default for every foreign key in this schema. A parent row cannot be hard-deleted while child rows reference it — this is intentional friction, forcing every deletion through the soft-delete pathway (deleted_at) rather than allowing an accidental cascade to silently remove dependent audit-relevant data.</w:t>
      </w:r>
    </w:p>
    <w:p>
      <w:pPr>
        <w:pStyle w:val="ListParagraph"/>
        <w:numPr>
          <w:ilvl w:val="0"/>
          <w:numId w:val="1"/>
        </w:numPr>
        <w:spacing w:after="110" w:line="264"/>
      </w:pPr>
      <w:r>
        <w:t xml:space="preserve">ON DELETE CASCADE is used nowhere in Phase 1. SRS Part 30 explicitly requires that soft-deleted parents' children remain queryable for audit purposes, which is structurally incompatible with hard-delete cascades.</w:t>
      </w:r>
    </w:p>
    <w:p>
      <w:pPr>
        <w:pStyle w:val="ListParagraph"/>
        <w:numPr>
          <w:ilvl w:val="0"/>
          <w:numId w:val="1"/>
        </w:numPr>
        <w:spacing w:after="110" w:line="264"/>
      </w:pPr>
      <w:r>
        <w:t xml:space="preserve">Soft delete (deleted_at populated, row retained) is the actual deletion mechanism for all 62 entities except the four named in Section 8.3.1 below, which use genuine hard delete because they hold no independent audit value once expired.</w:t>
      </w:r>
    </w:p>
    <w:p>
      <w:pPr>
        <w:pStyle w:val="ListParagraph"/>
        <w:numPr>
          <w:ilvl w:val="0"/>
          <w:numId w:val="1"/>
        </w:numPr>
        <w:spacing w:after="110" w:line="264"/>
      </w:pPr>
      <w:r>
        <w:t xml:space="preserve">Weak entities (DocumentVersion, TaskComment, SupportTicketComment, KnowledgeReview, MeetingActionItem, WorkflowStage) are soft-deleted in the same transaction as their parent when the parent is soft-deleted, keeping the parent-child soft-delete state consistent.</w:t>
      </w:r>
    </w:p>
    <w:p>
      <w:pPr>
        <w:pStyle w:val="Heading2"/>
        <w:spacing w:after="100" w:before="220"/>
      </w:pPr>
      <w:r>
        <w:rPr>
          <w:b/>
          <w:bCs/>
          <w:color w:val="7A43B6"/>
          <w:sz w:val="21"/>
          <w:szCs w:val="21"/>
        </w:rPr>
        <w:t xml:space="preserve">8.3.1 Named Exceptions: Genuine Hard Delete</w:t>
      </w:r>
    </w:p>
    <w:p>
      <w:pPr>
        <w:spacing w:after="150" w:line="276"/>
        <w:jc w:val="both"/>
      </w:pPr>
      <w:r>
        <w:t xml:space="preserve">Four entities use real hard delete rather than soft delete, each named explicitly because it deviates from the default:</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923"/>
        <w:gridCol w:w="7517"/>
      </w:tblGrid>
      <w:tr>
        <w:trPr>
          <w:tblHeader/>
        </w:trPr>
        <w:tc>
          <w:tcPr>
            <w:tcW w:type="dxa" w:w="2923"/>
            <w:shd w:fill="5C2D91" w:val="clear"/>
            <w:tcMar>
              <w:top w:type="dxa" w:w="50"/>
              <w:left w:type="dxa" w:w="80"/>
              <w:bottom w:type="dxa" w:w="50"/>
              <w:right w:type="dxa" w:w="80"/>
            </w:tcMar>
            <w:vAlign w:val="top"/>
          </w:tcPr>
          <w:p>
            <w:r>
              <w:rPr>
                <w:b/>
                <w:bCs/>
                <w:color w:val="FFFFFF"/>
                <w:sz w:val="15"/>
                <w:szCs w:val="15"/>
              </w:rPr>
              <w:t xml:space="preserve">Entity</w:t>
            </w:r>
          </w:p>
        </w:tc>
        <w:tc>
          <w:tcPr>
            <w:tcW w:type="dxa" w:w="7517"/>
            <w:shd w:fill="5C2D91" w:val="clear"/>
            <w:tcMar>
              <w:top w:type="dxa" w:w="50"/>
              <w:left w:type="dxa" w:w="80"/>
              <w:bottom w:type="dxa" w:w="50"/>
              <w:right w:type="dxa" w:w="80"/>
            </w:tcMar>
            <w:vAlign w:val="top"/>
          </w:tcPr>
          <w:p>
            <w:r>
              <w:rPr>
                <w:b/>
                <w:bCs/>
                <w:color w:val="FFFFFF"/>
                <w:sz w:val="15"/>
                <w:szCs w:val="15"/>
              </w:rPr>
              <w:t xml:space="preserve">Why Hard Delete Is Safe Here</w:t>
            </w:r>
          </w:p>
        </w:tc>
      </w:tr>
      <w:tr>
        <w:tc>
          <w:tcPr>
            <w:tcW w:type="dxa" w:w="2923"/>
            <w:tcMar>
              <w:top w:type="dxa" w:w="50"/>
              <w:left w:type="dxa" w:w="80"/>
              <w:bottom w:type="dxa" w:w="50"/>
              <w:right w:type="dxa" w:w="80"/>
            </w:tcMar>
            <w:vAlign w:val="top"/>
          </w:tcPr>
          <w:p>
            <w:r>
              <w:rPr>
                <w:b/>
                <w:bCs/>
                <w:color w:val="000000"/>
                <w:sz w:val="16"/>
                <w:szCs w:val="16"/>
              </w:rPr>
              <w:t xml:space="preserve">MFAToken</w:t>
            </w:r>
          </w:p>
        </w:tc>
        <w:tc>
          <w:tcPr>
            <w:tcW w:type="dxa" w:w="7517"/>
            <w:tcMar>
              <w:top w:type="dxa" w:w="50"/>
              <w:left w:type="dxa" w:w="80"/>
              <w:bottom w:type="dxa" w:w="50"/>
              <w:right w:type="dxa" w:w="80"/>
            </w:tcMar>
            <w:vAlign w:val="top"/>
          </w:tcPr>
          <w:p>
            <w:r>
              <w:rPr>
                <w:b w:val="false"/>
                <w:bCs w:val="false"/>
                <w:color w:val="000000"/>
                <w:sz w:val="16"/>
                <w:szCs w:val="16"/>
              </w:rPr>
              <w:t xml:space="preserve">Superseded security tokens have no audit value once rotated; retaining expired secret material is a security liability, not a governance asset (Part 11).</w:t>
            </w:r>
          </w:p>
        </w:tc>
      </w:tr>
      <w:tr>
        <w:tc>
          <w:tcPr>
            <w:tcW w:type="dxa" w:w="2923"/>
            <w:tcMar>
              <w:top w:type="dxa" w:w="50"/>
              <w:left w:type="dxa" w:w="80"/>
              <w:bottom w:type="dxa" w:w="50"/>
              <w:right w:type="dxa" w:w="80"/>
            </w:tcMar>
            <w:vAlign w:val="top"/>
          </w:tcPr>
          <w:p>
            <w:r>
              <w:rPr>
                <w:b/>
                <w:bCs/>
                <w:color w:val="000000"/>
                <w:sz w:val="16"/>
                <w:szCs w:val="16"/>
              </w:rPr>
              <w:t xml:space="preserve">SavedSearch</w:t>
            </w:r>
          </w:p>
        </w:tc>
        <w:tc>
          <w:tcPr>
            <w:tcW w:type="dxa" w:w="7517"/>
            <w:tcMar>
              <w:top w:type="dxa" w:w="50"/>
              <w:left w:type="dxa" w:w="80"/>
              <w:bottom w:type="dxa" w:w="50"/>
              <w:right w:type="dxa" w:w="80"/>
            </w:tcMar>
            <w:vAlign w:val="top"/>
          </w:tcPr>
          <w:p>
            <w:r>
              <w:rPr>
                <w:b w:val="false"/>
                <w:bCs w:val="false"/>
                <w:color w:val="000000"/>
                <w:sz w:val="16"/>
                <w:szCs w:val="16"/>
              </w:rPr>
              <w:t xml:space="preserve">Pure user convenience data with no downstream reference from any other entity; deleting it has zero integrity impact.</w:t>
            </w:r>
          </w:p>
        </w:tc>
      </w:tr>
      <w:tr>
        <w:tc>
          <w:tcPr>
            <w:tcW w:type="dxa" w:w="2923"/>
            <w:tcMar>
              <w:top w:type="dxa" w:w="50"/>
              <w:left w:type="dxa" w:w="80"/>
              <w:bottom w:type="dxa" w:w="50"/>
              <w:right w:type="dxa" w:w="80"/>
            </w:tcMar>
            <w:vAlign w:val="top"/>
          </w:tcPr>
          <w:p>
            <w:r>
              <w:rPr>
                <w:b/>
                <w:bCs/>
                <w:color w:val="000000"/>
                <w:sz w:val="16"/>
                <w:szCs w:val="16"/>
              </w:rPr>
              <w:t xml:space="preserve">SearchIndexEntry</w:t>
            </w:r>
          </w:p>
        </w:tc>
        <w:tc>
          <w:tcPr>
            <w:tcW w:type="dxa" w:w="7517"/>
            <w:tcMar>
              <w:top w:type="dxa" w:w="50"/>
              <w:left w:type="dxa" w:w="80"/>
              <w:bottom w:type="dxa" w:w="50"/>
              <w:right w:type="dxa" w:w="80"/>
            </w:tcMar>
            <w:vAlign w:val="top"/>
          </w:tcPr>
          <w:p>
            <w:r>
              <w:rPr>
                <w:b w:val="false"/>
                <w:bCs w:val="false"/>
                <w:color w:val="000000"/>
                <w:sz w:val="16"/>
                <w:szCs w:val="16"/>
              </w:rPr>
              <w:t xml:space="preserve">A derived, rebuildable projection (Section 1.6) — not a source of truth. Deleted when its source entity is deleted or unpublished.</w:t>
            </w:r>
          </w:p>
        </w:tc>
      </w:tr>
      <w:tr>
        <w:tc>
          <w:tcPr>
            <w:tcW w:type="dxa" w:w="2923"/>
            <w:tcMar>
              <w:top w:type="dxa" w:w="50"/>
              <w:left w:type="dxa" w:w="80"/>
              <w:bottom w:type="dxa" w:w="50"/>
              <w:right w:type="dxa" w:w="80"/>
            </w:tcMar>
            <w:vAlign w:val="top"/>
          </w:tcPr>
          <w:p>
            <w:r>
              <w:rPr>
                <w:b/>
                <w:bCs/>
                <w:color w:val="000000"/>
                <w:sz w:val="16"/>
                <w:szCs w:val="16"/>
              </w:rPr>
              <w:t xml:space="preserve">AnalyticsSnapshot (downsampled records only)</w:t>
            </w:r>
          </w:p>
        </w:tc>
        <w:tc>
          <w:tcPr>
            <w:tcW w:type="dxa" w:w="7517"/>
            <w:tcMar>
              <w:top w:type="dxa" w:w="50"/>
              <w:left w:type="dxa" w:w="80"/>
              <w:bottom w:type="dxa" w:w="50"/>
              <w:right w:type="dxa" w:w="80"/>
            </w:tcMar>
            <w:vAlign w:val="top"/>
          </w:tcPr>
          <w:p>
            <w:r>
              <w:rPr>
                <w:b w:val="false"/>
                <w:bCs w:val="false"/>
                <w:color w:val="000000"/>
                <w:sz w:val="16"/>
                <w:szCs w:val="16"/>
              </w:rPr>
              <w:t xml:space="preserve">Daily snapshots older than 2 years are hard-deleted after being downsampled to weekly granularity (Part 16); the weekly aggregate is what is retained, not the original daily rows.</w:t>
            </w:r>
          </w:p>
        </w:tc>
      </w:tr>
    </w:tbl>
    <w:p>
      <w:pPr>
        <w:spacing w:after="160"/>
      </w:pPr>
    </w:p>
    <w:p>
      <w:pPr>
        <w:pStyle w:val="Heading1"/>
        <w:pBdr>
          <w:bottom w:val="single" w:color="5C2D91" w:sz="6" w:space="4"/>
        </w:pBdr>
        <w:spacing w:after="130" w:before="320"/>
      </w:pPr>
      <w:r>
        <w:t xml:space="preserve">8.4 Unique Constraints</w:t>
      </w:r>
    </w:p>
    <w:p>
      <w:pPr>
        <w:spacing w:after="150" w:line="276"/>
        <w:jc w:val="both"/>
      </w:pPr>
      <w:r>
        <w:t xml:space="preserve">Fifteen fields across the schema carry a UNIQUE constraint (some combined with a foreign key, e.g. TrainingCertificate.enrollment_id, enforcing a strict one-to-one relationship where the data model would otherwise allow one-to-many).</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923"/>
        <w:gridCol w:w="3132"/>
        <w:gridCol w:w="4385"/>
      </w:tblGrid>
      <w:tr>
        <w:trPr>
          <w:tblHeader/>
        </w:trPr>
        <w:tc>
          <w:tcPr>
            <w:tcW w:type="dxa" w:w="2923"/>
            <w:shd w:fill="5C2D91" w:val="clear"/>
            <w:tcMar>
              <w:top w:type="dxa" w:w="50"/>
              <w:left w:type="dxa" w:w="80"/>
              <w:bottom w:type="dxa" w:w="50"/>
              <w:right w:type="dxa" w:w="80"/>
            </w:tcMar>
            <w:vAlign w:val="top"/>
          </w:tcPr>
          <w:p>
            <w:r>
              <w:rPr>
                <w:b/>
                <w:bCs/>
                <w:color w:val="FFFFFF"/>
                <w:sz w:val="15"/>
                <w:szCs w:val="15"/>
              </w:rPr>
              <w:t xml:space="preserve">Entity</w:t>
            </w:r>
          </w:p>
        </w:tc>
        <w:tc>
          <w:tcPr>
            <w:tcW w:type="dxa" w:w="3132"/>
            <w:shd w:fill="5C2D91" w:val="clear"/>
            <w:tcMar>
              <w:top w:type="dxa" w:w="50"/>
              <w:left w:type="dxa" w:w="80"/>
              <w:bottom w:type="dxa" w:w="50"/>
              <w:right w:type="dxa" w:w="80"/>
            </w:tcMar>
            <w:vAlign w:val="top"/>
          </w:tcPr>
          <w:p>
            <w:r>
              <w:rPr>
                <w:b/>
                <w:bCs/>
                <w:color w:val="FFFFFF"/>
                <w:sz w:val="15"/>
                <w:szCs w:val="15"/>
              </w:rPr>
              <w:t xml:space="preserve">Field</w:t>
            </w:r>
          </w:p>
        </w:tc>
        <w:tc>
          <w:tcPr>
            <w:tcW w:type="dxa" w:w="4385"/>
            <w:shd w:fill="5C2D91" w:val="clear"/>
            <w:tcMar>
              <w:top w:type="dxa" w:w="50"/>
              <w:left w:type="dxa" w:w="80"/>
              <w:bottom w:type="dxa" w:w="50"/>
              <w:right w:type="dxa" w:w="80"/>
            </w:tcMar>
            <w:vAlign w:val="top"/>
          </w:tcPr>
          <w:p>
            <w:r>
              <w:rPr>
                <w:b/>
                <w:bCs/>
                <w:color w:val="FFFFFF"/>
                <w:sz w:val="15"/>
                <w:szCs w:val="15"/>
              </w:rPr>
              <w:t xml:space="preserve">Nature</w:t>
            </w:r>
          </w:p>
        </w:tc>
      </w:tr>
      <w:tr>
        <w:tc>
          <w:tcPr>
            <w:tcW w:type="dxa" w:w="2923"/>
            <w:tcMar>
              <w:top w:type="dxa" w:w="50"/>
              <w:left w:type="dxa" w:w="80"/>
              <w:bottom w:type="dxa" w:w="50"/>
              <w:right w:type="dxa" w:w="80"/>
            </w:tcMar>
            <w:vAlign w:val="top"/>
          </w:tcPr>
          <w:p>
            <w:r>
              <w:rPr>
                <w:b/>
                <w:bCs/>
                <w:color w:val="000000"/>
                <w:sz w:val="15"/>
                <w:szCs w:val="15"/>
              </w:rPr>
              <w:t xml:space="preserve">User</w:t>
            </w:r>
          </w:p>
        </w:tc>
        <w:tc>
          <w:tcPr>
            <w:tcW w:type="dxa" w:w="3132"/>
            <w:tcMar>
              <w:top w:type="dxa" w:w="50"/>
              <w:left w:type="dxa" w:w="80"/>
              <w:bottom w:type="dxa" w:w="50"/>
              <w:right w:type="dxa" w:w="80"/>
            </w:tcMar>
            <w:vAlign w:val="top"/>
          </w:tcPr>
          <w:p>
            <w:r>
              <w:rPr>
                <w:b w:val="false"/>
                <w:bCs w:val="false"/>
                <w:color w:val="000000"/>
                <w:sz w:val="15"/>
                <w:szCs w:val="15"/>
              </w:rPr>
              <w:t xml:space="preserve">email</w:t>
            </w:r>
          </w:p>
        </w:tc>
        <w:tc>
          <w:tcPr>
            <w:tcW w:type="dxa" w:w="4385"/>
            <w:tcMar>
              <w:top w:type="dxa" w:w="50"/>
              <w:left w:type="dxa" w:w="80"/>
              <w:bottom w:type="dxa" w:w="50"/>
              <w:right w:type="dxa" w:w="80"/>
            </w:tcMar>
            <w:vAlign w:val="top"/>
          </w:tcPr>
          <w:p>
            <w:r>
              <w:rPr>
                <w:b w:val="false"/>
                <w:bCs w:val="false"/>
                <w:color w:val="000000"/>
                <w:sz w:val="15"/>
                <w:szCs w:val="15"/>
              </w:rPr>
              <w:t xml:space="preserve">Unique value</w:t>
            </w:r>
          </w:p>
        </w:tc>
      </w:tr>
      <w:tr>
        <w:tc>
          <w:tcPr>
            <w:tcW w:type="dxa" w:w="2923"/>
            <w:tcMar>
              <w:top w:type="dxa" w:w="50"/>
              <w:left w:type="dxa" w:w="80"/>
              <w:bottom w:type="dxa" w:w="50"/>
              <w:right w:type="dxa" w:w="80"/>
            </w:tcMar>
            <w:vAlign w:val="top"/>
          </w:tcPr>
          <w:p>
            <w:r>
              <w:rPr>
                <w:b/>
                <w:bCs/>
                <w:color w:val="000000"/>
                <w:sz w:val="15"/>
                <w:szCs w:val="15"/>
              </w:rPr>
              <w:t xml:space="preserve">Role</w:t>
            </w:r>
          </w:p>
        </w:tc>
        <w:tc>
          <w:tcPr>
            <w:tcW w:type="dxa" w:w="3132"/>
            <w:tcMar>
              <w:top w:type="dxa" w:w="50"/>
              <w:left w:type="dxa" w:w="80"/>
              <w:bottom w:type="dxa" w:w="50"/>
              <w:right w:type="dxa" w:w="80"/>
            </w:tcMar>
            <w:vAlign w:val="top"/>
          </w:tcPr>
          <w:p>
            <w:r>
              <w:rPr>
                <w:b w:val="false"/>
                <w:bCs w:val="false"/>
                <w:color w:val="000000"/>
                <w:sz w:val="15"/>
                <w:szCs w:val="15"/>
              </w:rPr>
              <w:t xml:space="preserve">name</w:t>
            </w:r>
          </w:p>
        </w:tc>
        <w:tc>
          <w:tcPr>
            <w:tcW w:type="dxa" w:w="4385"/>
            <w:tcMar>
              <w:top w:type="dxa" w:w="50"/>
              <w:left w:type="dxa" w:w="80"/>
              <w:bottom w:type="dxa" w:w="50"/>
              <w:right w:type="dxa" w:w="80"/>
            </w:tcMar>
            <w:vAlign w:val="top"/>
          </w:tcPr>
          <w:p>
            <w:r>
              <w:rPr>
                <w:b w:val="false"/>
                <w:bCs w:val="false"/>
                <w:color w:val="000000"/>
                <w:sz w:val="15"/>
                <w:szCs w:val="15"/>
              </w:rPr>
              <w:t xml:space="preserve">Unique value</w:t>
            </w:r>
          </w:p>
        </w:tc>
      </w:tr>
      <w:tr>
        <w:tc>
          <w:tcPr>
            <w:tcW w:type="dxa" w:w="2923"/>
            <w:tcMar>
              <w:top w:type="dxa" w:w="50"/>
              <w:left w:type="dxa" w:w="80"/>
              <w:bottom w:type="dxa" w:w="50"/>
              <w:right w:type="dxa" w:w="80"/>
            </w:tcMar>
            <w:vAlign w:val="top"/>
          </w:tcPr>
          <w:p>
            <w:r>
              <w:rPr>
                <w:b/>
                <w:bCs/>
                <w:color w:val="000000"/>
                <w:sz w:val="15"/>
                <w:szCs w:val="15"/>
              </w:rPr>
              <w:t xml:space="preserve">Permission</w:t>
            </w:r>
          </w:p>
        </w:tc>
        <w:tc>
          <w:tcPr>
            <w:tcW w:type="dxa" w:w="3132"/>
            <w:tcMar>
              <w:top w:type="dxa" w:w="50"/>
              <w:left w:type="dxa" w:w="80"/>
              <w:bottom w:type="dxa" w:w="50"/>
              <w:right w:type="dxa" w:w="80"/>
            </w:tcMar>
            <w:vAlign w:val="top"/>
          </w:tcPr>
          <w:p>
            <w:r>
              <w:rPr>
                <w:b w:val="false"/>
                <w:bCs w:val="false"/>
                <w:color w:val="000000"/>
                <w:sz w:val="15"/>
                <w:szCs w:val="15"/>
              </w:rPr>
              <w:t xml:space="preserve">code</w:t>
            </w:r>
          </w:p>
        </w:tc>
        <w:tc>
          <w:tcPr>
            <w:tcW w:type="dxa" w:w="4385"/>
            <w:tcMar>
              <w:top w:type="dxa" w:w="50"/>
              <w:left w:type="dxa" w:w="80"/>
              <w:bottom w:type="dxa" w:w="50"/>
              <w:right w:type="dxa" w:w="80"/>
            </w:tcMar>
            <w:vAlign w:val="top"/>
          </w:tcPr>
          <w:p>
            <w:r>
              <w:rPr>
                <w:b w:val="false"/>
                <w:bCs w:val="false"/>
                <w:color w:val="000000"/>
                <w:sz w:val="15"/>
                <w:szCs w:val="15"/>
              </w:rPr>
              <w:t xml:space="preserve">Unique value</w:t>
            </w:r>
          </w:p>
        </w:tc>
      </w:tr>
      <w:tr>
        <w:tc>
          <w:tcPr>
            <w:tcW w:type="dxa" w:w="2923"/>
            <w:tcMar>
              <w:top w:type="dxa" w:w="50"/>
              <w:left w:type="dxa" w:w="80"/>
              <w:bottom w:type="dxa" w:w="50"/>
              <w:right w:type="dxa" w:w="80"/>
            </w:tcMar>
            <w:vAlign w:val="top"/>
          </w:tcPr>
          <w:p>
            <w:r>
              <w:rPr>
                <w:b/>
                <w:bCs/>
                <w:color w:val="000000"/>
                <w:sz w:val="15"/>
                <w:szCs w:val="15"/>
              </w:rPr>
              <w:t xml:space="preserve">State</w:t>
            </w:r>
          </w:p>
        </w:tc>
        <w:tc>
          <w:tcPr>
            <w:tcW w:type="dxa" w:w="3132"/>
            <w:tcMar>
              <w:top w:type="dxa" w:w="50"/>
              <w:left w:type="dxa" w:w="80"/>
              <w:bottom w:type="dxa" w:w="50"/>
              <w:right w:type="dxa" w:w="80"/>
            </w:tcMar>
            <w:vAlign w:val="top"/>
          </w:tcPr>
          <w:p>
            <w:r>
              <w:rPr>
                <w:b w:val="false"/>
                <w:bCs w:val="false"/>
                <w:color w:val="000000"/>
                <w:sz w:val="15"/>
                <w:szCs w:val="15"/>
              </w:rPr>
              <w:t xml:space="preserve">name</w:t>
            </w:r>
          </w:p>
        </w:tc>
        <w:tc>
          <w:tcPr>
            <w:tcW w:type="dxa" w:w="4385"/>
            <w:tcMar>
              <w:top w:type="dxa" w:w="50"/>
              <w:left w:type="dxa" w:w="80"/>
              <w:bottom w:type="dxa" w:w="50"/>
              <w:right w:type="dxa" w:w="80"/>
            </w:tcMar>
            <w:vAlign w:val="top"/>
          </w:tcPr>
          <w:p>
            <w:r>
              <w:rPr>
                <w:b w:val="false"/>
                <w:bCs w:val="false"/>
                <w:color w:val="000000"/>
                <w:sz w:val="15"/>
                <w:szCs w:val="15"/>
              </w:rPr>
              <w:t xml:space="preserve">Unique value</w:t>
            </w:r>
          </w:p>
        </w:tc>
      </w:tr>
      <w:tr>
        <w:tc>
          <w:tcPr>
            <w:tcW w:type="dxa" w:w="2923"/>
            <w:tcMar>
              <w:top w:type="dxa" w:w="50"/>
              <w:left w:type="dxa" w:w="80"/>
              <w:bottom w:type="dxa" w:w="50"/>
              <w:right w:type="dxa" w:w="80"/>
            </w:tcMar>
            <w:vAlign w:val="top"/>
          </w:tcPr>
          <w:p>
            <w:r>
              <w:rPr>
                <w:b/>
                <w:bCs/>
                <w:color w:val="000000"/>
                <w:sz w:val="15"/>
                <w:szCs w:val="15"/>
              </w:rPr>
              <w:t xml:space="preserve">OrgUnit</w:t>
            </w:r>
          </w:p>
        </w:tc>
        <w:tc>
          <w:tcPr>
            <w:tcW w:type="dxa" w:w="3132"/>
            <w:tcMar>
              <w:top w:type="dxa" w:w="50"/>
              <w:left w:type="dxa" w:w="80"/>
              <w:bottom w:type="dxa" w:w="50"/>
              <w:right w:type="dxa" w:w="80"/>
            </w:tcMar>
            <w:vAlign w:val="top"/>
          </w:tcPr>
          <w:p>
            <w:r>
              <w:rPr>
                <w:b w:val="false"/>
                <w:bCs w:val="false"/>
                <w:color w:val="000000"/>
                <w:sz w:val="15"/>
                <w:szCs w:val="15"/>
              </w:rPr>
              <w:t xml:space="preserve">name</w:t>
            </w:r>
          </w:p>
        </w:tc>
        <w:tc>
          <w:tcPr>
            <w:tcW w:type="dxa" w:w="4385"/>
            <w:tcMar>
              <w:top w:type="dxa" w:w="50"/>
              <w:left w:type="dxa" w:w="80"/>
              <w:bottom w:type="dxa" w:w="50"/>
              <w:right w:type="dxa" w:w="80"/>
            </w:tcMar>
            <w:vAlign w:val="top"/>
          </w:tcPr>
          <w:p>
            <w:r>
              <w:rPr>
                <w:b w:val="false"/>
                <w:bCs w:val="false"/>
                <w:color w:val="000000"/>
                <w:sz w:val="15"/>
                <w:szCs w:val="15"/>
              </w:rPr>
              <w:t xml:space="preserve">Unique value</w:t>
            </w:r>
          </w:p>
        </w:tc>
      </w:tr>
      <w:tr>
        <w:tc>
          <w:tcPr>
            <w:tcW w:type="dxa" w:w="2923"/>
            <w:tcMar>
              <w:top w:type="dxa" w:w="50"/>
              <w:left w:type="dxa" w:w="80"/>
              <w:bottom w:type="dxa" w:w="50"/>
              <w:right w:type="dxa" w:w="80"/>
            </w:tcMar>
            <w:vAlign w:val="top"/>
          </w:tcPr>
          <w:p>
            <w:r>
              <w:rPr>
                <w:b/>
                <w:bCs/>
                <w:color w:val="000000"/>
                <w:sz w:val="15"/>
                <w:szCs w:val="15"/>
              </w:rPr>
              <w:t xml:space="preserve">ProgrammeComponent</w:t>
            </w:r>
          </w:p>
        </w:tc>
        <w:tc>
          <w:tcPr>
            <w:tcW w:type="dxa" w:w="3132"/>
            <w:tcMar>
              <w:top w:type="dxa" w:w="50"/>
              <w:left w:type="dxa" w:w="80"/>
              <w:bottom w:type="dxa" w:w="50"/>
              <w:right w:type="dxa" w:w="80"/>
            </w:tcMar>
            <w:vAlign w:val="top"/>
          </w:tcPr>
          <w:p>
            <w:r>
              <w:rPr>
                <w:b w:val="false"/>
                <w:bCs w:val="false"/>
                <w:color w:val="000000"/>
                <w:sz w:val="15"/>
                <w:szCs w:val="15"/>
              </w:rPr>
              <w:t xml:space="preserve">name</w:t>
            </w:r>
          </w:p>
        </w:tc>
        <w:tc>
          <w:tcPr>
            <w:tcW w:type="dxa" w:w="4385"/>
            <w:tcMar>
              <w:top w:type="dxa" w:w="50"/>
              <w:left w:type="dxa" w:w="80"/>
              <w:bottom w:type="dxa" w:w="50"/>
              <w:right w:type="dxa" w:w="80"/>
            </w:tcMar>
            <w:vAlign w:val="top"/>
          </w:tcPr>
          <w:p>
            <w:r>
              <w:rPr>
                <w:b w:val="false"/>
                <w:bCs w:val="false"/>
                <w:color w:val="000000"/>
                <w:sz w:val="15"/>
                <w:szCs w:val="15"/>
              </w:rPr>
              <w:t xml:space="preserve">Unique value</w:t>
            </w:r>
          </w:p>
        </w:tc>
      </w:tr>
      <w:tr>
        <w:tc>
          <w:tcPr>
            <w:tcW w:type="dxa" w:w="2923"/>
            <w:tcMar>
              <w:top w:type="dxa" w:w="50"/>
              <w:left w:type="dxa" w:w="80"/>
              <w:bottom w:type="dxa" w:w="50"/>
              <w:right w:type="dxa" w:w="80"/>
            </w:tcMar>
            <w:vAlign w:val="top"/>
          </w:tcPr>
          <w:p>
            <w:r>
              <w:rPr>
                <w:b/>
                <w:bCs/>
                <w:color w:val="000000"/>
                <w:sz w:val="15"/>
                <w:szCs w:val="15"/>
              </w:rPr>
              <w:t xml:space="preserve">WorkflowTemplate</w:t>
            </w:r>
          </w:p>
        </w:tc>
        <w:tc>
          <w:tcPr>
            <w:tcW w:type="dxa" w:w="3132"/>
            <w:tcMar>
              <w:top w:type="dxa" w:w="50"/>
              <w:left w:type="dxa" w:w="80"/>
              <w:bottom w:type="dxa" w:w="50"/>
              <w:right w:type="dxa" w:w="80"/>
            </w:tcMar>
            <w:vAlign w:val="top"/>
          </w:tcPr>
          <w:p>
            <w:r>
              <w:rPr>
                <w:b w:val="false"/>
                <w:bCs w:val="false"/>
                <w:color w:val="000000"/>
                <w:sz w:val="15"/>
                <w:szCs w:val="15"/>
              </w:rPr>
              <w:t xml:space="preserve">item_type</w:t>
            </w:r>
          </w:p>
        </w:tc>
        <w:tc>
          <w:tcPr>
            <w:tcW w:type="dxa" w:w="4385"/>
            <w:tcMar>
              <w:top w:type="dxa" w:w="50"/>
              <w:left w:type="dxa" w:w="80"/>
              <w:bottom w:type="dxa" w:w="50"/>
              <w:right w:type="dxa" w:w="80"/>
            </w:tcMar>
            <w:vAlign w:val="top"/>
          </w:tcPr>
          <w:p>
            <w:r>
              <w:rPr>
                <w:b w:val="false"/>
                <w:bCs w:val="false"/>
                <w:color w:val="000000"/>
                <w:sz w:val="15"/>
                <w:szCs w:val="15"/>
              </w:rPr>
              <w:t xml:space="preserve">Unique value</w:t>
            </w:r>
          </w:p>
        </w:tc>
      </w:tr>
      <w:tr>
        <w:tc>
          <w:tcPr>
            <w:tcW w:type="dxa" w:w="2923"/>
            <w:tcMar>
              <w:top w:type="dxa" w:w="50"/>
              <w:left w:type="dxa" w:w="80"/>
              <w:bottom w:type="dxa" w:w="50"/>
              <w:right w:type="dxa" w:w="80"/>
            </w:tcMar>
            <w:vAlign w:val="top"/>
          </w:tcPr>
          <w:p>
            <w:r>
              <w:rPr>
                <w:b/>
                <w:bCs/>
                <w:color w:val="000000"/>
                <w:sz w:val="15"/>
                <w:szCs w:val="15"/>
              </w:rPr>
              <w:t xml:space="preserve">DocumentCategory</w:t>
            </w:r>
          </w:p>
        </w:tc>
        <w:tc>
          <w:tcPr>
            <w:tcW w:type="dxa" w:w="3132"/>
            <w:tcMar>
              <w:top w:type="dxa" w:w="50"/>
              <w:left w:type="dxa" w:w="80"/>
              <w:bottom w:type="dxa" w:w="50"/>
              <w:right w:type="dxa" w:w="80"/>
            </w:tcMar>
            <w:vAlign w:val="top"/>
          </w:tcPr>
          <w:p>
            <w:r>
              <w:rPr>
                <w:b w:val="false"/>
                <w:bCs w:val="false"/>
                <w:color w:val="000000"/>
                <w:sz w:val="15"/>
                <w:szCs w:val="15"/>
              </w:rPr>
              <w:t xml:space="preserve">name</w:t>
            </w:r>
          </w:p>
        </w:tc>
        <w:tc>
          <w:tcPr>
            <w:tcW w:type="dxa" w:w="4385"/>
            <w:tcMar>
              <w:top w:type="dxa" w:w="50"/>
              <w:left w:type="dxa" w:w="80"/>
              <w:bottom w:type="dxa" w:w="50"/>
              <w:right w:type="dxa" w:w="80"/>
            </w:tcMar>
            <w:vAlign w:val="top"/>
          </w:tcPr>
          <w:p>
            <w:r>
              <w:rPr>
                <w:b w:val="false"/>
                <w:bCs w:val="false"/>
                <w:color w:val="000000"/>
                <w:sz w:val="15"/>
                <w:szCs w:val="15"/>
              </w:rPr>
              <w:t xml:space="preserve">Unique value</w:t>
            </w:r>
          </w:p>
        </w:tc>
      </w:tr>
      <w:tr>
        <w:tc>
          <w:tcPr>
            <w:tcW w:type="dxa" w:w="2923"/>
            <w:tcMar>
              <w:top w:type="dxa" w:w="50"/>
              <w:left w:type="dxa" w:w="80"/>
              <w:bottom w:type="dxa" w:w="50"/>
              <w:right w:type="dxa" w:w="80"/>
            </w:tcMar>
            <w:vAlign w:val="top"/>
          </w:tcPr>
          <w:p>
            <w:r>
              <w:rPr>
                <w:b/>
                <w:bCs/>
                <w:color w:val="000000"/>
                <w:sz w:val="15"/>
                <w:szCs w:val="15"/>
              </w:rPr>
              <w:t xml:space="preserve">ReportDefinition</w:t>
            </w:r>
          </w:p>
        </w:tc>
        <w:tc>
          <w:tcPr>
            <w:tcW w:type="dxa" w:w="3132"/>
            <w:tcMar>
              <w:top w:type="dxa" w:w="50"/>
              <w:left w:type="dxa" w:w="80"/>
              <w:bottom w:type="dxa" w:w="50"/>
              <w:right w:type="dxa" w:w="80"/>
            </w:tcMar>
            <w:vAlign w:val="top"/>
          </w:tcPr>
          <w:p>
            <w:r>
              <w:rPr>
                <w:b w:val="false"/>
                <w:bCs w:val="false"/>
                <w:color w:val="000000"/>
                <w:sz w:val="15"/>
                <w:szCs w:val="15"/>
              </w:rPr>
              <w:t xml:space="preserve">name</w:t>
            </w:r>
          </w:p>
        </w:tc>
        <w:tc>
          <w:tcPr>
            <w:tcW w:type="dxa" w:w="4385"/>
            <w:tcMar>
              <w:top w:type="dxa" w:w="50"/>
              <w:left w:type="dxa" w:w="80"/>
              <w:bottom w:type="dxa" w:w="50"/>
              <w:right w:type="dxa" w:w="80"/>
            </w:tcMar>
            <w:vAlign w:val="top"/>
          </w:tcPr>
          <w:p>
            <w:r>
              <w:rPr>
                <w:b w:val="false"/>
                <w:bCs w:val="false"/>
                <w:color w:val="000000"/>
                <w:sz w:val="15"/>
                <w:szCs w:val="15"/>
              </w:rPr>
              <w:t xml:space="preserve">Unique value</w:t>
            </w:r>
          </w:p>
        </w:tc>
      </w:tr>
      <w:tr>
        <w:tc>
          <w:tcPr>
            <w:tcW w:type="dxa" w:w="2923"/>
            <w:tcMar>
              <w:top w:type="dxa" w:w="50"/>
              <w:left w:type="dxa" w:w="80"/>
              <w:bottom w:type="dxa" w:w="50"/>
              <w:right w:type="dxa" w:w="80"/>
            </w:tcMar>
            <w:vAlign w:val="top"/>
          </w:tcPr>
          <w:p>
            <w:r>
              <w:rPr>
                <w:b/>
                <w:bCs/>
                <w:color w:val="000000"/>
                <w:sz w:val="15"/>
                <w:szCs w:val="15"/>
              </w:rPr>
              <w:t xml:space="preserve">NotificationTemplate</w:t>
            </w:r>
          </w:p>
        </w:tc>
        <w:tc>
          <w:tcPr>
            <w:tcW w:type="dxa" w:w="3132"/>
            <w:tcMar>
              <w:top w:type="dxa" w:w="50"/>
              <w:left w:type="dxa" w:w="80"/>
              <w:bottom w:type="dxa" w:w="50"/>
              <w:right w:type="dxa" w:w="80"/>
            </w:tcMar>
            <w:vAlign w:val="top"/>
          </w:tcPr>
          <w:p>
            <w:r>
              <w:rPr>
                <w:b w:val="false"/>
                <w:bCs w:val="false"/>
                <w:color w:val="000000"/>
                <w:sz w:val="15"/>
                <w:szCs w:val="15"/>
              </w:rPr>
              <w:t xml:space="preserve">code</w:t>
            </w:r>
          </w:p>
        </w:tc>
        <w:tc>
          <w:tcPr>
            <w:tcW w:type="dxa" w:w="4385"/>
            <w:tcMar>
              <w:top w:type="dxa" w:w="50"/>
              <w:left w:type="dxa" w:w="80"/>
              <w:bottom w:type="dxa" w:w="50"/>
              <w:right w:type="dxa" w:w="80"/>
            </w:tcMar>
            <w:vAlign w:val="top"/>
          </w:tcPr>
          <w:p>
            <w:r>
              <w:rPr>
                <w:b w:val="false"/>
                <w:bCs w:val="false"/>
                <w:color w:val="000000"/>
                <w:sz w:val="15"/>
                <w:szCs w:val="15"/>
              </w:rPr>
              <w:t xml:space="preserve">Unique value</w:t>
            </w:r>
          </w:p>
        </w:tc>
      </w:tr>
      <w:tr>
        <w:tc>
          <w:tcPr>
            <w:tcW w:type="dxa" w:w="2923"/>
            <w:tcMar>
              <w:top w:type="dxa" w:w="50"/>
              <w:left w:type="dxa" w:w="80"/>
              <w:bottom w:type="dxa" w:w="50"/>
              <w:right w:type="dxa" w:w="80"/>
            </w:tcMar>
            <w:vAlign w:val="top"/>
          </w:tcPr>
          <w:p>
            <w:r>
              <w:rPr>
                <w:b/>
                <w:bCs/>
                <w:color w:val="000000"/>
                <w:sz w:val="15"/>
                <w:szCs w:val="15"/>
              </w:rPr>
              <w:t xml:space="preserve">TrainingCertificate</w:t>
            </w:r>
          </w:p>
        </w:tc>
        <w:tc>
          <w:tcPr>
            <w:tcW w:type="dxa" w:w="3132"/>
            <w:tcMar>
              <w:top w:type="dxa" w:w="50"/>
              <w:left w:type="dxa" w:w="80"/>
              <w:bottom w:type="dxa" w:w="50"/>
              <w:right w:type="dxa" w:w="80"/>
            </w:tcMar>
            <w:vAlign w:val="top"/>
          </w:tcPr>
          <w:p>
            <w:r>
              <w:rPr>
                <w:b w:val="false"/>
                <w:bCs w:val="false"/>
                <w:color w:val="000000"/>
                <w:sz w:val="15"/>
                <w:szCs w:val="15"/>
              </w:rPr>
              <w:t xml:space="preserve">enrollment_id</w:t>
            </w:r>
          </w:p>
        </w:tc>
        <w:tc>
          <w:tcPr>
            <w:tcW w:type="dxa" w:w="4385"/>
            <w:tcMar>
              <w:top w:type="dxa" w:w="50"/>
              <w:left w:type="dxa" w:w="80"/>
              <w:bottom w:type="dxa" w:w="50"/>
              <w:right w:type="dxa" w:w="80"/>
            </w:tcMar>
            <w:vAlign w:val="top"/>
          </w:tcPr>
          <w:p>
            <w:r>
              <w:rPr>
                <w:b w:val="false"/>
                <w:bCs w:val="false"/>
                <w:color w:val="000000"/>
                <w:sz w:val="15"/>
                <w:szCs w:val="15"/>
              </w:rPr>
              <w:t xml:space="preserve">Unique FK (enforces 1:1)</w:t>
            </w:r>
          </w:p>
        </w:tc>
      </w:tr>
      <w:tr>
        <w:tc>
          <w:tcPr>
            <w:tcW w:type="dxa" w:w="2923"/>
            <w:tcMar>
              <w:top w:type="dxa" w:w="50"/>
              <w:left w:type="dxa" w:w="80"/>
              <w:bottom w:type="dxa" w:w="50"/>
              <w:right w:type="dxa" w:w="80"/>
            </w:tcMar>
            <w:vAlign w:val="top"/>
          </w:tcPr>
          <w:p>
            <w:r>
              <w:rPr>
                <w:b/>
                <w:bCs/>
                <w:color w:val="000000"/>
                <w:sz w:val="15"/>
                <w:szCs w:val="15"/>
              </w:rPr>
              <w:t xml:space="preserve">TrainingCertificate</w:t>
            </w:r>
          </w:p>
        </w:tc>
        <w:tc>
          <w:tcPr>
            <w:tcW w:type="dxa" w:w="3132"/>
            <w:tcMar>
              <w:top w:type="dxa" w:w="50"/>
              <w:left w:type="dxa" w:w="80"/>
              <w:bottom w:type="dxa" w:w="50"/>
              <w:right w:type="dxa" w:w="80"/>
            </w:tcMar>
            <w:vAlign w:val="top"/>
          </w:tcPr>
          <w:p>
            <w:r>
              <w:rPr>
                <w:b w:val="false"/>
                <w:bCs w:val="false"/>
                <w:color w:val="000000"/>
                <w:sz w:val="15"/>
                <w:szCs w:val="15"/>
              </w:rPr>
              <w:t xml:space="preserve">certificate_no</w:t>
            </w:r>
          </w:p>
        </w:tc>
        <w:tc>
          <w:tcPr>
            <w:tcW w:type="dxa" w:w="4385"/>
            <w:tcMar>
              <w:top w:type="dxa" w:w="50"/>
              <w:left w:type="dxa" w:w="80"/>
              <w:bottom w:type="dxa" w:w="50"/>
              <w:right w:type="dxa" w:w="80"/>
            </w:tcMar>
            <w:vAlign w:val="top"/>
          </w:tcPr>
          <w:p>
            <w:r>
              <w:rPr>
                <w:b w:val="false"/>
                <w:bCs w:val="false"/>
                <w:color w:val="000000"/>
                <w:sz w:val="15"/>
                <w:szCs w:val="15"/>
              </w:rPr>
              <w:t xml:space="preserve">Unique value</w:t>
            </w:r>
          </w:p>
        </w:tc>
      </w:tr>
      <w:tr>
        <w:tc>
          <w:tcPr>
            <w:tcW w:type="dxa" w:w="2923"/>
            <w:tcMar>
              <w:top w:type="dxa" w:w="50"/>
              <w:left w:type="dxa" w:w="80"/>
              <w:bottom w:type="dxa" w:w="50"/>
              <w:right w:type="dxa" w:w="80"/>
            </w:tcMar>
            <w:vAlign w:val="top"/>
          </w:tcPr>
          <w:p>
            <w:r>
              <w:rPr>
                <w:b/>
                <w:bCs/>
                <w:color w:val="000000"/>
                <w:sz w:val="15"/>
                <w:szCs w:val="15"/>
              </w:rPr>
              <w:t xml:space="preserve">HelpDeskCategory</w:t>
            </w:r>
          </w:p>
        </w:tc>
        <w:tc>
          <w:tcPr>
            <w:tcW w:type="dxa" w:w="3132"/>
            <w:tcMar>
              <w:top w:type="dxa" w:w="50"/>
              <w:left w:type="dxa" w:w="80"/>
              <w:bottom w:type="dxa" w:w="50"/>
              <w:right w:type="dxa" w:w="80"/>
            </w:tcMar>
            <w:vAlign w:val="top"/>
          </w:tcPr>
          <w:p>
            <w:r>
              <w:rPr>
                <w:b w:val="false"/>
                <w:bCs w:val="false"/>
                <w:color w:val="000000"/>
                <w:sz w:val="15"/>
                <w:szCs w:val="15"/>
              </w:rPr>
              <w:t xml:space="preserve">name</w:t>
            </w:r>
          </w:p>
        </w:tc>
        <w:tc>
          <w:tcPr>
            <w:tcW w:type="dxa" w:w="4385"/>
            <w:tcMar>
              <w:top w:type="dxa" w:w="50"/>
              <w:left w:type="dxa" w:w="80"/>
              <w:bottom w:type="dxa" w:w="50"/>
              <w:right w:type="dxa" w:w="80"/>
            </w:tcMar>
            <w:vAlign w:val="top"/>
          </w:tcPr>
          <w:p>
            <w:r>
              <w:rPr>
                <w:b w:val="false"/>
                <w:bCs w:val="false"/>
                <w:color w:val="000000"/>
                <w:sz w:val="15"/>
                <w:szCs w:val="15"/>
              </w:rPr>
              <w:t xml:space="preserve">Unique value</w:t>
            </w:r>
          </w:p>
        </w:tc>
      </w:tr>
      <w:tr>
        <w:tc>
          <w:tcPr>
            <w:tcW w:type="dxa" w:w="2923"/>
            <w:tcMar>
              <w:top w:type="dxa" w:w="50"/>
              <w:left w:type="dxa" w:w="80"/>
              <w:bottom w:type="dxa" w:w="50"/>
              <w:right w:type="dxa" w:w="80"/>
            </w:tcMar>
            <w:vAlign w:val="top"/>
          </w:tcPr>
          <w:p>
            <w:r>
              <w:rPr>
                <w:b/>
                <w:bCs/>
                <w:color w:val="000000"/>
                <w:sz w:val="15"/>
                <w:szCs w:val="15"/>
              </w:rPr>
              <w:t xml:space="preserve">PortalPage</w:t>
            </w:r>
          </w:p>
        </w:tc>
        <w:tc>
          <w:tcPr>
            <w:tcW w:type="dxa" w:w="3132"/>
            <w:tcMar>
              <w:top w:type="dxa" w:w="50"/>
              <w:left w:type="dxa" w:w="80"/>
              <w:bottom w:type="dxa" w:w="50"/>
              <w:right w:type="dxa" w:w="80"/>
            </w:tcMar>
            <w:vAlign w:val="top"/>
          </w:tcPr>
          <w:p>
            <w:r>
              <w:rPr>
                <w:b w:val="false"/>
                <w:bCs w:val="false"/>
                <w:color w:val="000000"/>
                <w:sz w:val="15"/>
                <w:szCs w:val="15"/>
              </w:rPr>
              <w:t xml:space="preserve">slug</w:t>
            </w:r>
          </w:p>
        </w:tc>
        <w:tc>
          <w:tcPr>
            <w:tcW w:type="dxa" w:w="4385"/>
            <w:tcMar>
              <w:top w:type="dxa" w:w="50"/>
              <w:left w:type="dxa" w:w="80"/>
              <w:bottom w:type="dxa" w:w="50"/>
              <w:right w:type="dxa" w:w="80"/>
            </w:tcMar>
            <w:vAlign w:val="top"/>
          </w:tcPr>
          <w:p>
            <w:r>
              <w:rPr>
                <w:b w:val="false"/>
                <w:bCs w:val="false"/>
                <w:color w:val="000000"/>
                <w:sz w:val="15"/>
                <w:szCs w:val="15"/>
              </w:rPr>
              <w:t xml:space="preserve">Unique value</w:t>
            </w:r>
          </w:p>
        </w:tc>
      </w:tr>
      <w:tr>
        <w:tc>
          <w:tcPr>
            <w:tcW w:type="dxa" w:w="2923"/>
            <w:tcMar>
              <w:top w:type="dxa" w:w="50"/>
              <w:left w:type="dxa" w:w="80"/>
              <w:bottom w:type="dxa" w:w="50"/>
              <w:right w:type="dxa" w:w="80"/>
            </w:tcMar>
            <w:vAlign w:val="top"/>
          </w:tcPr>
          <w:p>
            <w:r>
              <w:rPr>
                <w:b/>
                <w:bCs/>
                <w:color w:val="000000"/>
                <w:sz w:val="15"/>
                <w:szCs w:val="15"/>
              </w:rPr>
              <w:t xml:space="preserve">PortalSubscriber</w:t>
            </w:r>
          </w:p>
        </w:tc>
        <w:tc>
          <w:tcPr>
            <w:tcW w:type="dxa" w:w="3132"/>
            <w:tcMar>
              <w:top w:type="dxa" w:w="50"/>
              <w:left w:type="dxa" w:w="80"/>
              <w:bottom w:type="dxa" w:w="50"/>
              <w:right w:type="dxa" w:w="80"/>
            </w:tcMar>
            <w:vAlign w:val="top"/>
          </w:tcPr>
          <w:p>
            <w:r>
              <w:rPr>
                <w:b w:val="false"/>
                <w:bCs w:val="false"/>
                <w:color w:val="000000"/>
                <w:sz w:val="15"/>
                <w:szCs w:val="15"/>
              </w:rPr>
              <w:t xml:space="preserve">email</w:t>
            </w:r>
          </w:p>
        </w:tc>
        <w:tc>
          <w:tcPr>
            <w:tcW w:type="dxa" w:w="4385"/>
            <w:tcMar>
              <w:top w:type="dxa" w:w="50"/>
              <w:left w:type="dxa" w:w="80"/>
              <w:bottom w:type="dxa" w:w="50"/>
              <w:right w:type="dxa" w:w="80"/>
            </w:tcMar>
            <w:vAlign w:val="top"/>
          </w:tcPr>
          <w:p>
            <w:r>
              <w:rPr>
                <w:b w:val="false"/>
                <w:bCs w:val="false"/>
                <w:color w:val="000000"/>
                <w:sz w:val="15"/>
                <w:szCs w:val="15"/>
              </w:rPr>
              <w:t xml:space="preserve">Unique value</w:t>
            </w:r>
          </w:p>
        </w:tc>
      </w:tr>
    </w:tbl>
    <w:p>
      <w:pPr>
        <w:spacing w:after="160"/>
      </w:pPr>
    </w:p>
    <w:p>
      <w:pPr>
        <w:pStyle w:val="Heading1"/>
        <w:pBdr>
          <w:bottom w:val="single" w:color="5C2D91" w:sz="6" w:space="4"/>
        </w:pBdr>
        <w:spacing w:after="130" w:before="320"/>
      </w:pPr>
      <w:r>
        <w:t xml:space="preserve">8.5 Check Constraints</w:t>
      </w:r>
    </w:p>
    <w:p>
      <w:pPr>
        <w:spacing w:after="150" w:line="276"/>
        <w:jc w:val="both"/>
      </w:pPr>
      <w:r>
        <w:t xml:space="preserve">Beyond simple not-null and foreign-key constraints, the following business-rule-driven CHECK constraints are fixed as binding — each traces to a validation rule already stated in the Data Dictionary (Section 4) or a business rule (BR-xx) in the SRS.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923"/>
        <w:gridCol w:w="4385"/>
        <w:gridCol w:w="3132"/>
      </w:tblGrid>
      <w:tr>
        <w:trPr>
          <w:tblHeader/>
        </w:trPr>
        <w:tc>
          <w:tcPr>
            <w:tcW w:type="dxa" w:w="2923"/>
            <w:shd w:fill="5C2D91" w:val="clear"/>
            <w:tcMar>
              <w:top w:type="dxa" w:w="50"/>
              <w:left w:type="dxa" w:w="80"/>
              <w:bottom w:type="dxa" w:w="50"/>
              <w:right w:type="dxa" w:w="80"/>
            </w:tcMar>
            <w:vAlign w:val="top"/>
          </w:tcPr>
          <w:p>
            <w:r>
              <w:rPr>
                <w:b/>
                <w:bCs/>
                <w:color w:val="FFFFFF"/>
                <w:sz w:val="15"/>
                <w:szCs w:val="15"/>
              </w:rPr>
              <w:t xml:space="preserve">Entity.Field</w:t>
            </w:r>
          </w:p>
        </w:tc>
        <w:tc>
          <w:tcPr>
            <w:tcW w:type="dxa" w:w="4385"/>
            <w:shd w:fill="5C2D91" w:val="clear"/>
            <w:tcMar>
              <w:top w:type="dxa" w:w="50"/>
              <w:left w:type="dxa" w:w="80"/>
              <w:bottom w:type="dxa" w:w="50"/>
              <w:right w:type="dxa" w:w="80"/>
            </w:tcMar>
            <w:vAlign w:val="top"/>
          </w:tcPr>
          <w:p>
            <w:r>
              <w:rPr>
                <w:b/>
                <w:bCs/>
                <w:color w:val="FFFFFF"/>
                <w:sz w:val="15"/>
                <w:szCs w:val="15"/>
              </w:rPr>
              <w:t xml:space="preserve">Constraint</w:t>
            </w:r>
          </w:p>
        </w:tc>
        <w:tc>
          <w:tcPr>
            <w:tcW w:type="dxa" w:w="3132"/>
            <w:shd w:fill="5C2D91" w:val="clear"/>
            <w:tcMar>
              <w:top w:type="dxa" w:w="50"/>
              <w:left w:type="dxa" w:w="80"/>
              <w:bottom w:type="dxa" w:w="50"/>
              <w:right w:type="dxa" w:w="80"/>
            </w:tcMar>
            <w:vAlign w:val="top"/>
          </w:tcPr>
          <w:p>
            <w:r>
              <w:rPr>
                <w:b/>
                <w:bCs/>
                <w:color w:val="FFFFFF"/>
                <w:sz w:val="15"/>
                <w:szCs w:val="15"/>
              </w:rPr>
              <w:t xml:space="preserve">Source</w:t>
            </w:r>
          </w:p>
        </w:tc>
      </w:tr>
      <w:tr>
        <w:tc>
          <w:tcPr>
            <w:tcW w:type="dxa" w:w="2923"/>
            <w:tcMar>
              <w:top w:type="dxa" w:w="50"/>
              <w:left w:type="dxa" w:w="80"/>
              <w:bottom w:type="dxa" w:w="50"/>
              <w:right w:type="dxa" w:w="80"/>
            </w:tcMar>
            <w:vAlign w:val="top"/>
          </w:tcPr>
          <w:p>
            <w:r>
              <w:rPr>
                <w:b/>
                <w:bCs/>
                <w:color w:val="000000"/>
                <w:sz w:val="14"/>
                <w:szCs w:val="14"/>
              </w:rPr>
              <w:t xml:space="preserve">Task.progress_pct</w:t>
            </w:r>
          </w:p>
        </w:tc>
        <w:tc>
          <w:tcPr>
            <w:tcW w:type="dxa" w:w="4385"/>
            <w:tcMar>
              <w:top w:type="dxa" w:w="50"/>
              <w:left w:type="dxa" w:w="80"/>
              <w:bottom w:type="dxa" w:w="50"/>
              <w:right w:type="dxa" w:w="80"/>
            </w:tcMar>
            <w:vAlign w:val="top"/>
          </w:tcPr>
          <w:p>
            <w:r>
              <w:rPr>
                <w:b w:val="false"/>
                <w:bCs w:val="false"/>
                <w:color w:val="000000"/>
                <w:sz w:val="14"/>
                <w:szCs w:val="14"/>
              </w:rPr>
              <w:t xml:space="preserve">CHECK (progress_pct BETWEEN 0 AND 100)</w:t>
            </w:r>
          </w:p>
        </w:tc>
        <w:tc>
          <w:tcPr>
            <w:tcW w:type="dxa" w:w="3132"/>
            <w:tcMar>
              <w:top w:type="dxa" w:w="50"/>
              <w:left w:type="dxa" w:w="80"/>
              <w:bottom w:type="dxa" w:w="50"/>
              <w:right w:type="dxa" w:w="80"/>
            </w:tcMar>
            <w:vAlign w:val="top"/>
          </w:tcPr>
          <w:p>
            <w:r>
              <w:rPr>
                <w:b w:val="false"/>
                <w:bCs w:val="false"/>
                <w:color w:val="000000"/>
                <w:sz w:val="14"/>
                <w:szCs w:val="14"/>
              </w:rPr>
              <w:t xml:space="preserve">SRS Part 6</w:t>
            </w:r>
          </w:p>
        </w:tc>
      </w:tr>
      <w:tr>
        <w:tc>
          <w:tcPr>
            <w:tcW w:type="dxa" w:w="2923"/>
            <w:tcMar>
              <w:top w:type="dxa" w:w="50"/>
              <w:left w:type="dxa" w:w="80"/>
              <w:bottom w:type="dxa" w:w="50"/>
              <w:right w:type="dxa" w:w="80"/>
            </w:tcMar>
            <w:vAlign w:val="top"/>
          </w:tcPr>
          <w:p>
            <w:r>
              <w:rPr>
                <w:b/>
                <w:bCs/>
                <w:color w:val="000000"/>
                <w:sz w:val="14"/>
                <w:szCs w:val="14"/>
              </w:rPr>
              <w:t xml:space="preserve">ProjectMilestone.completion_pct</w:t>
            </w:r>
          </w:p>
        </w:tc>
        <w:tc>
          <w:tcPr>
            <w:tcW w:type="dxa" w:w="4385"/>
            <w:tcMar>
              <w:top w:type="dxa" w:w="50"/>
              <w:left w:type="dxa" w:w="80"/>
              <w:bottom w:type="dxa" w:w="50"/>
              <w:right w:type="dxa" w:w="80"/>
            </w:tcMar>
            <w:vAlign w:val="top"/>
          </w:tcPr>
          <w:p>
            <w:r>
              <w:rPr>
                <w:b w:val="false"/>
                <w:bCs w:val="false"/>
                <w:color w:val="000000"/>
                <w:sz w:val="14"/>
                <w:szCs w:val="14"/>
              </w:rPr>
              <w:t xml:space="preserve">CHECK (completion_pct BETWEEN 0 AND 100)</w:t>
            </w:r>
          </w:p>
        </w:tc>
        <w:tc>
          <w:tcPr>
            <w:tcW w:type="dxa" w:w="3132"/>
            <w:tcMar>
              <w:top w:type="dxa" w:w="50"/>
              <w:left w:type="dxa" w:w="80"/>
              <w:bottom w:type="dxa" w:w="50"/>
              <w:right w:type="dxa" w:w="80"/>
            </w:tcMar>
            <w:vAlign w:val="top"/>
          </w:tcPr>
          <w:p>
            <w:r>
              <w:rPr>
                <w:b w:val="false"/>
                <w:bCs w:val="false"/>
                <w:color w:val="000000"/>
                <w:sz w:val="14"/>
                <w:szCs w:val="14"/>
              </w:rPr>
              <w:t xml:space="preserve">SRS Part 5</w:t>
            </w:r>
          </w:p>
        </w:tc>
      </w:tr>
      <w:tr>
        <w:tc>
          <w:tcPr>
            <w:tcW w:type="dxa" w:w="2923"/>
            <w:tcMar>
              <w:top w:type="dxa" w:w="50"/>
              <w:left w:type="dxa" w:w="80"/>
              <w:bottom w:type="dxa" w:w="50"/>
              <w:right w:type="dxa" w:w="80"/>
            </w:tcMar>
            <w:vAlign w:val="top"/>
          </w:tcPr>
          <w:p>
            <w:r>
              <w:rPr>
                <w:b/>
                <w:bCs/>
                <w:color w:val="000000"/>
                <w:sz w:val="14"/>
                <w:szCs w:val="14"/>
              </w:rPr>
              <w:t xml:space="preserve">Project.end_date</w:t>
            </w:r>
          </w:p>
        </w:tc>
        <w:tc>
          <w:tcPr>
            <w:tcW w:type="dxa" w:w="4385"/>
            <w:tcMar>
              <w:top w:type="dxa" w:w="50"/>
              <w:left w:type="dxa" w:w="80"/>
              <w:bottom w:type="dxa" w:w="50"/>
              <w:right w:type="dxa" w:w="80"/>
            </w:tcMar>
            <w:vAlign w:val="top"/>
          </w:tcPr>
          <w:p>
            <w:r>
              <w:rPr>
                <w:b w:val="false"/>
                <w:bCs w:val="false"/>
                <w:color w:val="000000"/>
                <w:sz w:val="14"/>
                <w:szCs w:val="14"/>
              </w:rPr>
              <w:t xml:space="preserve">CHECK (end_date IS NULL OR end_date &gt;= start_date)</w:t>
            </w:r>
          </w:p>
        </w:tc>
        <w:tc>
          <w:tcPr>
            <w:tcW w:type="dxa" w:w="3132"/>
            <w:tcMar>
              <w:top w:type="dxa" w:w="50"/>
              <w:left w:type="dxa" w:w="80"/>
              <w:bottom w:type="dxa" w:w="50"/>
              <w:right w:type="dxa" w:w="80"/>
            </w:tcMar>
            <w:vAlign w:val="top"/>
          </w:tcPr>
          <w:p>
            <w:r>
              <w:rPr>
                <w:b w:val="false"/>
                <w:bCs w:val="false"/>
                <w:color w:val="000000"/>
                <w:sz w:val="14"/>
                <w:szCs w:val="14"/>
              </w:rPr>
              <w:t xml:space="preserve">SRS Part 5</w:t>
            </w:r>
          </w:p>
        </w:tc>
      </w:tr>
      <w:tr>
        <w:tc>
          <w:tcPr>
            <w:tcW w:type="dxa" w:w="2923"/>
            <w:tcMar>
              <w:top w:type="dxa" w:w="50"/>
              <w:left w:type="dxa" w:w="80"/>
              <w:bottom w:type="dxa" w:w="50"/>
              <w:right w:type="dxa" w:w="80"/>
            </w:tcMar>
            <w:vAlign w:val="top"/>
          </w:tcPr>
          <w:p>
            <w:r>
              <w:rPr>
                <w:b/>
                <w:bCs/>
                <w:color w:val="000000"/>
                <w:sz w:val="14"/>
                <w:szCs w:val="14"/>
              </w:rPr>
              <w:t xml:space="preserve">ApprovalDelegate.ends_at</w:t>
            </w:r>
          </w:p>
        </w:tc>
        <w:tc>
          <w:tcPr>
            <w:tcW w:type="dxa" w:w="4385"/>
            <w:tcMar>
              <w:top w:type="dxa" w:w="50"/>
              <w:left w:type="dxa" w:w="80"/>
              <w:bottom w:type="dxa" w:w="50"/>
              <w:right w:type="dxa" w:w="80"/>
            </w:tcMar>
            <w:vAlign w:val="top"/>
          </w:tcPr>
          <w:p>
            <w:r>
              <w:rPr>
                <w:b w:val="false"/>
                <w:bCs w:val="false"/>
                <w:color w:val="000000"/>
                <w:sz w:val="14"/>
                <w:szCs w:val="14"/>
              </w:rPr>
              <w:t xml:space="preserve">CHECK (ends_at &gt; starts_at)</w:t>
            </w:r>
          </w:p>
        </w:tc>
        <w:tc>
          <w:tcPr>
            <w:tcW w:type="dxa" w:w="3132"/>
            <w:tcMar>
              <w:top w:type="dxa" w:w="50"/>
              <w:left w:type="dxa" w:w="80"/>
              <w:bottom w:type="dxa" w:w="50"/>
              <w:right w:type="dxa" w:w="80"/>
            </w:tcMar>
            <w:vAlign w:val="top"/>
          </w:tcPr>
          <w:p>
            <w:r>
              <w:rPr>
                <w:b w:val="false"/>
                <w:bCs w:val="false"/>
                <w:color w:val="000000"/>
                <w:sz w:val="14"/>
                <w:szCs w:val="14"/>
              </w:rPr>
              <w:t xml:space="preserve">SRS Part 8</w:t>
            </w:r>
          </w:p>
        </w:tc>
      </w:tr>
      <w:tr>
        <w:tc>
          <w:tcPr>
            <w:tcW w:type="dxa" w:w="2923"/>
            <w:tcMar>
              <w:top w:type="dxa" w:w="50"/>
              <w:left w:type="dxa" w:w="80"/>
              <w:bottom w:type="dxa" w:w="50"/>
              <w:right w:type="dxa" w:w="80"/>
            </w:tcMar>
            <w:vAlign w:val="top"/>
          </w:tcPr>
          <w:p>
            <w:r>
              <w:rPr>
                <w:b/>
                <w:bCs/>
                <w:color w:val="000000"/>
                <w:sz w:val="14"/>
                <w:szCs w:val="14"/>
              </w:rPr>
              <w:t xml:space="preserve">TaskDependency</w:t>
            </w:r>
          </w:p>
        </w:tc>
        <w:tc>
          <w:tcPr>
            <w:tcW w:type="dxa" w:w="4385"/>
            <w:tcMar>
              <w:top w:type="dxa" w:w="50"/>
              <w:left w:type="dxa" w:w="80"/>
              <w:bottom w:type="dxa" w:w="50"/>
              <w:right w:type="dxa" w:w="80"/>
            </w:tcMar>
            <w:vAlign w:val="top"/>
          </w:tcPr>
          <w:p>
            <w:r>
              <w:rPr>
                <w:b w:val="false"/>
                <w:bCs w:val="false"/>
                <w:color w:val="000000"/>
                <w:sz w:val="14"/>
                <w:szCs w:val="14"/>
              </w:rPr>
              <w:t xml:space="preserve">CHECK (task_id &lt;&gt; depends_on_task_id)</w:t>
            </w:r>
          </w:p>
        </w:tc>
        <w:tc>
          <w:tcPr>
            <w:tcW w:type="dxa" w:w="3132"/>
            <w:tcMar>
              <w:top w:type="dxa" w:w="50"/>
              <w:left w:type="dxa" w:w="80"/>
              <w:bottom w:type="dxa" w:w="50"/>
              <w:right w:type="dxa" w:w="80"/>
            </w:tcMar>
            <w:vAlign w:val="top"/>
          </w:tcPr>
          <w:p>
            <w:r>
              <w:rPr>
                <w:b w:val="false"/>
                <w:bCs w:val="false"/>
                <w:color w:val="000000"/>
                <w:sz w:val="14"/>
                <w:szCs w:val="14"/>
              </w:rPr>
              <w:t xml:space="preserve">SRS Part 6 — a task cannot depend on itself</w:t>
            </w:r>
          </w:p>
        </w:tc>
      </w:tr>
      <w:tr>
        <w:tc>
          <w:tcPr>
            <w:tcW w:type="dxa" w:w="2923"/>
            <w:tcMar>
              <w:top w:type="dxa" w:w="50"/>
              <w:left w:type="dxa" w:w="80"/>
              <w:bottom w:type="dxa" w:w="50"/>
              <w:right w:type="dxa" w:w="80"/>
            </w:tcMar>
            <w:vAlign w:val="top"/>
          </w:tcPr>
          <w:p>
            <w:r>
              <w:rPr>
                <w:b/>
                <w:bCs/>
                <w:color w:val="000000"/>
                <w:sz w:val="14"/>
                <w:szCs w:val="14"/>
              </w:rPr>
              <w:t xml:space="preserve">ApprovalDelegate</w:t>
            </w:r>
          </w:p>
        </w:tc>
        <w:tc>
          <w:tcPr>
            <w:tcW w:type="dxa" w:w="4385"/>
            <w:tcMar>
              <w:top w:type="dxa" w:w="50"/>
              <w:left w:type="dxa" w:w="80"/>
              <w:bottom w:type="dxa" w:w="50"/>
              <w:right w:type="dxa" w:w="80"/>
            </w:tcMar>
            <w:vAlign w:val="top"/>
          </w:tcPr>
          <w:p>
            <w:r>
              <w:rPr>
                <w:b w:val="false"/>
                <w:bCs w:val="false"/>
                <w:color w:val="000000"/>
                <w:sz w:val="14"/>
                <w:szCs w:val="14"/>
              </w:rPr>
              <w:t xml:space="preserve">CHECK (delegator_id &lt;&gt; delegate_user_id)</w:t>
            </w:r>
          </w:p>
        </w:tc>
        <w:tc>
          <w:tcPr>
            <w:tcW w:type="dxa" w:w="3132"/>
            <w:tcMar>
              <w:top w:type="dxa" w:w="50"/>
              <w:left w:type="dxa" w:w="80"/>
              <w:bottom w:type="dxa" w:w="50"/>
              <w:right w:type="dxa" w:w="80"/>
            </w:tcMar>
            <w:vAlign w:val="top"/>
          </w:tcPr>
          <w:p>
            <w:r>
              <w:rPr>
                <w:b w:val="false"/>
                <w:bCs w:val="false"/>
                <w:color w:val="000000"/>
                <w:sz w:val="14"/>
                <w:szCs w:val="14"/>
              </w:rPr>
              <w:t xml:space="preserve">SRS Part 8 — cannot delegate to self</w:t>
            </w:r>
          </w:p>
        </w:tc>
      </w:tr>
      <w:tr>
        <w:tc>
          <w:tcPr>
            <w:tcW w:type="dxa" w:w="2923"/>
            <w:tcMar>
              <w:top w:type="dxa" w:w="50"/>
              <w:left w:type="dxa" w:w="80"/>
              <w:bottom w:type="dxa" w:w="50"/>
              <w:right w:type="dxa" w:w="80"/>
            </w:tcMar>
            <w:vAlign w:val="top"/>
          </w:tcPr>
          <w:p>
            <w:r>
              <w:rPr>
                <w:b/>
                <w:bCs/>
                <w:color w:val="000000"/>
                <w:sz w:val="14"/>
                <w:szCs w:val="14"/>
              </w:rPr>
              <w:t xml:space="preserve">Project.budget</w:t>
            </w:r>
          </w:p>
        </w:tc>
        <w:tc>
          <w:tcPr>
            <w:tcW w:type="dxa" w:w="4385"/>
            <w:tcMar>
              <w:top w:type="dxa" w:w="50"/>
              <w:left w:type="dxa" w:w="80"/>
              <w:bottom w:type="dxa" w:w="50"/>
              <w:right w:type="dxa" w:w="80"/>
            </w:tcMar>
            <w:vAlign w:val="top"/>
          </w:tcPr>
          <w:p>
            <w:r>
              <w:rPr>
                <w:b w:val="false"/>
                <w:bCs w:val="false"/>
                <w:color w:val="000000"/>
                <w:sz w:val="14"/>
                <w:szCs w:val="14"/>
              </w:rPr>
              <w:t xml:space="preserve">CHECK (budget IS NULL OR budget &gt;= 0)</w:t>
            </w:r>
          </w:p>
        </w:tc>
        <w:tc>
          <w:tcPr>
            <w:tcW w:type="dxa" w:w="3132"/>
            <w:tcMar>
              <w:top w:type="dxa" w:w="50"/>
              <w:left w:type="dxa" w:w="80"/>
              <w:bottom w:type="dxa" w:w="50"/>
              <w:right w:type="dxa" w:w="80"/>
            </w:tcMar>
            <w:vAlign w:val="top"/>
          </w:tcPr>
          <w:p>
            <w:r>
              <w:rPr>
                <w:b w:val="false"/>
                <w:bCs w:val="false"/>
                <w:color w:val="000000"/>
                <w:sz w:val="14"/>
                <w:szCs w:val="14"/>
              </w:rPr>
              <w:t xml:space="preserve">Data Dictionary Section 4</w:t>
            </w:r>
          </w:p>
        </w:tc>
      </w:tr>
      <w:tr>
        <w:tc>
          <w:tcPr>
            <w:tcW w:type="dxa" w:w="2923"/>
            <w:tcMar>
              <w:top w:type="dxa" w:w="50"/>
              <w:left w:type="dxa" w:w="80"/>
              <w:bottom w:type="dxa" w:w="50"/>
              <w:right w:type="dxa" w:w="80"/>
            </w:tcMar>
            <w:vAlign w:val="top"/>
          </w:tcPr>
          <w:p>
            <w:r>
              <w:rPr>
                <w:b/>
                <w:bCs/>
                <w:color w:val="000000"/>
                <w:sz w:val="14"/>
                <w:szCs w:val="14"/>
              </w:rPr>
              <w:t xml:space="preserve">KPITarget.target_value / current_value</w:t>
            </w:r>
          </w:p>
        </w:tc>
        <w:tc>
          <w:tcPr>
            <w:tcW w:type="dxa" w:w="4385"/>
            <w:tcMar>
              <w:top w:type="dxa" w:w="50"/>
              <w:left w:type="dxa" w:w="80"/>
              <w:bottom w:type="dxa" w:w="50"/>
              <w:right w:type="dxa" w:w="80"/>
            </w:tcMar>
            <w:vAlign w:val="top"/>
          </w:tcPr>
          <w:p>
            <w:r>
              <w:rPr>
                <w:b w:val="false"/>
                <w:bCs w:val="false"/>
                <w:color w:val="000000"/>
                <w:sz w:val="14"/>
                <w:szCs w:val="14"/>
              </w:rPr>
              <w:t xml:space="preserve">CHECK (target_value &gt;= 0 AND current_value &gt;= 0)</w:t>
            </w:r>
          </w:p>
        </w:tc>
        <w:tc>
          <w:tcPr>
            <w:tcW w:type="dxa" w:w="3132"/>
            <w:tcMar>
              <w:top w:type="dxa" w:w="50"/>
              <w:left w:type="dxa" w:w="80"/>
              <w:bottom w:type="dxa" w:w="50"/>
              <w:right w:type="dxa" w:w="80"/>
            </w:tcMar>
            <w:vAlign w:val="top"/>
          </w:tcPr>
          <w:p>
            <w:r>
              <w:rPr>
                <w:b w:val="false"/>
                <w:bCs w:val="false"/>
                <w:color w:val="000000"/>
                <w:sz w:val="14"/>
                <w:szCs w:val="14"/>
              </w:rPr>
              <w:t xml:space="preserve">Data Dictionary Section 4</w:t>
            </w:r>
          </w:p>
        </w:tc>
      </w:tr>
      <w:tr>
        <w:tc>
          <w:tcPr>
            <w:tcW w:type="dxa" w:w="2923"/>
            <w:tcMar>
              <w:top w:type="dxa" w:w="50"/>
              <w:left w:type="dxa" w:w="80"/>
              <w:bottom w:type="dxa" w:w="50"/>
              <w:right w:type="dxa" w:w="80"/>
            </w:tcMar>
            <w:vAlign w:val="top"/>
          </w:tcPr>
          <w:p>
            <w:r>
              <w:rPr>
                <w:b/>
                <w:bCs/>
                <w:color w:val="000000"/>
                <w:sz w:val="14"/>
                <w:szCs w:val="14"/>
              </w:rPr>
              <w:t xml:space="preserve">DocumentVersion.file_size_bytes</w:t>
            </w:r>
          </w:p>
        </w:tc>
        <w:tc>
          <w:tcPr>
            <w:tcW w:type="dxa" w:w="4385"/>
            <w:tcMar>
              <w:top w:type="dxa" w:w="50"/>
              <w:left w:type="dxa" w:w="80"/>
              <w:bottom w:type="dxa" w:w="50"/>
              <w:right w:type="dxa" w:w="80"/>
            </w:tcMar>
            <w:vAlign w:val="top"/>
          </w:tcPr>
          <w:p>
            <w:r>
              <w:rPr>
                <w:b w:val="false"/>
                <w:bCs w:val="false"/>
                <w:color w:val="000000"/>
                <w:sz w:val="14"/>
                <w:szCs w:val="14"/>
              </w:rPr>
              <w:t xml:space="preserve">CHECK (file_size_bytes IS NULL OR file_size_bytes &gt;= 0)</w:t>
            </w:r>
          </w:p>
        </w:tc>
        <w:tc>
          <w:tcPr>
            <w:tcW w:type="dxa" w:w="3132"/>
            <w:tcMar>
              <w:top w:type="dxa" w:w="50"/>
              <w:left w:type="dxa" w:w="80"/>
              <w:bottom w:type="dxa" w:w="50"/>
              <w:right w:type="dxa" w:w="80"/>
            </w:tcMar>
            <w:vAlign w:val="top"/>
          </w:tcPr>
          <w:p>
            <w:r>
              <w:rPr>
                <w:b w:val="false"/>
                <w:bCs w:val="false"/>
                <w:color w:val="000000"/>
                <w:sz w:val="14"/>
                <w:szCs w:val="14"/>
              </w:rPr>
              <w:t xml:space="preserve">Data Dictionary Section 4</w:t>
            </w:r>
          </w:p>
        </w:tc>
      </w:tr>
      <w:tr>
        <w:tc>
          <w:tcPr>
            <w:tcW w:type="dxa" w:w="2923"/>
            <w:tcMar>
              <w:top w:type="dxa" w:w="50"/>
              <w:left w:type="dxa" w:w="80"/>
              <w:bottom w:type="dxa" w:w="50"/>
              <w:right w:type="dxa" w:w="80"/>
            </w:tcMar>
            <w:vAlign w:val="top"/>
          </w:tcPr>
          <w:p>
            <w:r>
              <w:rPr>
                <w:b/>
                <w:bCs/>
                <w:color w:val="000000"/>
                <w:sz w:val="14"/>
                <w:szCs w:val="14"/>
              </w:rPr>
              <w:t xml:space="preserve">User.email / PortalSubscriber.email / PortalContactMessage.sender_email</w:t>
            </w:r>
          </w:p>
        </w:tc>
        <w:tc>
          <w:tcPr>
            <w:tcW w:type="dxa" w:w="4385"/>
            <w:tcMar>
              <w:top w:type="dxa" w:w="50"/>
              <w:left w:type="dxa" w:w="80"/>
              <w:bottom w:type="dxa" w:w="50"/>
              <w:right w:type="dxa" w:w="80"/>
            </w:tcMar>
            <w:vAlign w:val="top"/>
          </w:tcPr>
          <w:p>
            <w:r>
              <w:rPr>
                <w:b w:val="false"/>
                <w:bCs w:val="false"/>
                <w:color w:val="000000"/>
                <w:sz w:val="14"/>
                <w:szCs w:val="14"/>
              </w:rPr>
              <w:t xml:space="preserve">CHECK (… ~* '^[A-Za-z0-9._%+-]+@[A-Za-z0-9.-]+\.[A-Za-z]{2,}$')</w:t>
            </w:r>
          </w:p>
        </w:tc>
        <w:tc>
          <w:tcPr>
            <w:tcW w:type="dxa" w:w="3132"/>
            <w:tcMar>
              <w:top w:type="dxa" w:w="50"/>
              <w:left w:type="dxa" w:w="80"/>
              <w:bottom w:type="dxa" w:w="50"/>
              <w:right w:type="dxa" w:w="80"/>
            </w:tcMar>
            <w:vAlign w:val="top"/>
          </w:tcPr>
          <w:p>
            <w:r>
              <w:rPr>
                <w:b w:val="false"/>
                <w:bCs w:val="false"/>
                <w:color w:val="000000"/>
                <w:sz w:val="14"/>
                <w:szCs w:val="14"/>
              </w:rPr>
              <w:t xml:space="preserve">RFC 5322-consistent format validation, Data Dictionary Section 4</w:t>
            </w:r>
          </w:p>
        </w:tc>
      </w:tr>
      <w:tr>
        <w:tc>
          <w:tcPr>
            <w:tcW w:type="dxa" w:w="2923"/>
            <w:tcMar>
              <w:top w:type="dxa" w:w="50"/>
              <w:left w:type="dxa" w:w="80"/>
              <w:bottom w:type="dxa" w:w="50"/>
              <w:right w:type="dxa" w:w="80"/>
            </w:tcMar>
            <w:vAlign w:val="top"/>
          </w:tcPr>
          <w:p>
            <w:r>
              <w:rPr>
                <w:b/>
                <w:bCs/>
                <w:color w:val="000000"/>
                <w:sz w:val="14"/>
                <w:szCs w:val="14"/>
              </w:rPr>
              <w:t xml:space="preserve">TaskComment.body / SupportTicketComment.body / PortalContactMessage.message_body</w:t>
            </w:r>
          </w:p>
        </w:tc>
        <w:tc>
          <w:tcPr>
            <w:tcW w:type="dxa" w:w="4385"/>
            <w:tcMar>
              <w:top w:type="dxa" w:w="50"/>
              <w:left w:type="dxa" w:w="80"/>
              <w:bottom w:type="dxa" w:w="50"/>
              <w:right w:type="dxa" w:w="80"/>
            </w:tcMar>
            <w:vAlign w:val="top"/>
          </w:tcPr>
          <w:p>
            <w:r>
              <w:rPr>
                <w:b w:val="false"/>
                <w:bCs w:val="false"/>
                <w:color w:val="000000"/>
                <w:sz w:val="14"/>
                <w:szCs w:val="14"/>
              </w:rPr>
              <w:t xml:space="preserve">CHECK (char_length(body) BETWEEN 1 AND 2000)</w:t>
            </w:r>
          </w:p>
        </w:tc>
        <w:tc>
          <w:tcPr>
            <w:tcW w:type="dxa" w:w="3132"/>
            <w:tcMar>
              <w:top w:type="dxa" w:w="50"/>
              <w:left w:type="dxa" w:w="80"/>
              <w:bottom w:type="dxa" w:w="50"/>
              <w:right w:type="dxa" w:w="80"/>
            </w:tcMar>
            <w:vAlign w:val="top"/>
          </w:tcPr>
          <w:p>
            <w:r>
              <w:rPr>
                <w:b w:val="false"/>
                <w:bCs w:val="false"/>
                <w:color w:val="000000"/>
                <w:sz w:val="14"/>
                <w:szCs w:val="14"/>
              </w:rPr>
              <w:t xml:space="preserve">Data Dictionary Section 4</w:t>
            </w:r>
          </w:p>
        </w:tc>
      </w:tr>
    </w:tbl>
    <w:p>
      <w:pPr>
        <w:spacing w:after="160"/>
      </w:pPr>
    </w:p>
    <w:p>
      <w:pPr>
        <w:pStyle w:val="Heading1"/>
        <w:pBdr>
          <w:bottom w:val="single" w:color="5C2D91" w:sz="6" w:space="4"/>
        </w:pBdr>
        <w:spacing w:after="130" w:before="320"/>
      </w:pPr>
      <w:r>
        <w:t xml:space="preserve">8.6 Default Constraints</w:t>
      </w:r>
    </w:p>
    <w:p>
      <w:pPr>
        <w:spacing w:after="150" w:line="276"/>
        <w:jc w:val="both"/>
      </w:pPr>
      <w:r>
        <w:t xml:space="preserve">Default values fall into three categories, each handled consistently across the schema: system-generated identifiers (gen_random_uuid() for UUID primary keys, now() for creation timestamps), business-meaningful initial states (e.g. Task.status defaults to 'not_started', WorkPlan.status defaults to 'draft', Notification.read_status defaults to false), and zero-value numeric counters (Task.progress_pct defaults to 0, HelpDeskArticle.view_count defaults to 0). Every ENUM-typed field with a default is set to the value representing the natural "just created, nothing has happened yet" state for that entity — this is a deliberate consistency rule, not a per-table coincidence, so that engineers can predict a new row's default status without checking the Data Dictionary for each entity individually.</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pPr>
    <w:rPr>
      <w:rFonts w:ascii="Arial" w:cs="Arial" w:eastAsia="Arial" w:hAnsi="Arial"/>
      <w:b/>
      <w:bCs/>
      <w:color w:val="5C2D91"/>
      <w:sz w:val="24"/>
      <w:szCs w:val="24"/>
    </w:rPr>
  </w:style>
  <w:style w:type="paragraph" w:styleId="Heading2">
    <w:name w:val="Heading 2"/>
    <w:basedOn w:val="Normal"/>
    <w:next w:val="Normal"/>
    <w:qFormat/>
    <w:pPr>
      <w:spacing w:after="100" w:before="220"/>
    </w:pPr>
    <w:rPr>
      <w:rFonts w:ascii="Arial" w:cs="Arial" w:eastAsia="Arial" w:hAnsi="Arial"/>
      <w:b/>
      <w:bCs/>
      <w:color w:val="7A43B6"/>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2026-07-19T08:47:09.260Z</dcterms:created>
  <dcterms:modified xsi:type="dcterms:W3CDTF">2026-07-19T08:47:09.262Z</dcterms:modified>
</cp:coreProperties>
</file>

<file path=docProps/custom.xml><?xml version="1.0" encoding="utf-8"?>
<Properties xmlns="http://schemas.openxmlformats.org/officeDocument/2006/custom-properties" xmlns:vt="http://schemas.openxmlformats.org/officeDocument/2006/docPropsVTypes"/>
</file>