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08080"/>
          <w:sz w:val="20"/>
          <w:szCs w:val="20"/>
        </w:rPr>
        <w:t xml:space="preserve">SAPZ PROGRAMME — REF: NPCO/SAPZ/IFAD/26/1023/588</w:t>
      </w:r>
    </w:p>
    <w:p>
      <w:pPr>
        <w:spacing w:after="60"/>
        <w:jc w:val="center"/>
      </w:pPr>
      <w:r>
        <w:rPr>
          <w:b/>
          <w:bCs/>
          <w:color w:val="5C2D91"/>
          <w:sz w:val="32"/>
          <w:szCs w:val="32"/>
        </w:rPr>
        <w:t xml:space="preserve">Database Design Specification (DDS)</w:t>
      </w:r>
    </w:p>
    <w:p>
      <w:pPr>
        <w:spacing w:after="60"/>
        <w:jc w:val="center"/>
      </w:pPr>
      <w:r>
        <w:rPr>
          <w:b/>
          <w:bCs/>
          <w:color w:val="7A43B6"/>
          <w:sz w:val="22"/>
          <w:szCs w:val="22"/>
        </w:rPr>
        <w:t xml:space="preserve">Enterprise System Management (ESM) Platform and Central Knowledge Repository (CKR)</w:t>
      </w:r>
    </w:p>
    <w:p>
      <w:pPr>
        <w:spacing w:after="40"/>
        <w:jc w:val="center"/>
      </w:pPr>
      <w:r>
        <w:rPr>
          <w:b/>
          <w:bCs/>
          <w:color w:val="7A43B6"/>
          <w:sz w:val="24"/>
          <w:szCs w:val="24"/>
        </w:rPr>
        <w:t xml:space="preserve">Part 10 — Audit Model</w:t>
      </w:r>
    </w:p>
    <w:p>
      <w:pPr>
        <w:spacing w:after="260"/>
        <w:jc w:val="center"/>
      </w:pPr>
      <w:r>
        <w:rPr>
          <w:i/>
          <w:iCs/>
          <w:color w:val="555555"/>
          <w:sz w:val="19"/>
          <w:szCs w:val="19"/>
        </w:rPr>
        <w:t xml:space="preserve">Prepared for the SAPZ National Programme Coordination Office — Consultant: Ahmed Babajide Olanrewaju</w:t>
      </w:r>
    </w:p>
    <w:p>
      <w:pPr>
        <w:pStyle w:val="Heading1"/>
        <w:pBdr>
          <w:bottom w:val="single" w:color="5C2D91" w:sz="6" w:space="4"/>
        </w:pBdr>
        <w:spacing w:after="130" w:before="320"/>
      </w:pPr>
      <w:r>
        <w:t xml:space="preserve">10.1 Audit Model Overview</w:t>
      </w:r>
    </w:p>
    <w:p>
      <w:pPr>
        <w:spacing w:after="150" w:line="276"/>
        <w:jc w:val="both"/>
      </w:pPr>
      <w:r>
        <w:t xml:space="preserve">This Part fixes the universal audit field set referenced throughout Sections 1, 4, and 8 of this DDS as a schema-wide, non-optional constraint: every transactional table in the schema (all 62 entities in Section 3 except the four pure-reference lookup-style tables named in Section 8.3.1's hard-delete exceptions, which are operational/derived data rather than governed business records) carries these six fields in addition to its own business fields.</w:t>
      </w:r>
    </w:p>
    <w:p>
      <w:pPr>
        <w:pStyle w:val="Heading1"/>
        <w:pBdr>
          <w:bottom w:val="single" w:color="5C2D91" w:sz="6" w:space="4"/>
        </w:pBdr>
        <w:spacing w:after="130" w:before="320"/>
      </w:pPr>
      <w:r>
        <w:t xml:space="preserve">10.2 Universal Audit Fields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7"/>
        <w:gridCol w:w="1775"/>
        <w:gridCol w:w="835"/>
        <w:gridCol w:w="6473"/>
      </w:tblGrid>
      <w:tr>
        <w:trPr>
          <w:tblHeader/>
        </w:trPr>
        <w:tc>
          <w:tcPr>
            <w:tcW w:type="dxa" w:w="1357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1775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35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Nullable</w:t>
            </w:r>
          </w:p>
        </w:tc>
        <w:tc>
          <w:tcPr>
            <w:tcW w:type="dxa" w:w="6473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Purpose</w:t>
            </w:r>
          </w:p>
        </w:tc>
      </w:tr>
      <w:tr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created_by</w:t>
            </w:r>
          </w:p>
        </w:tc>
        <w:tc>
          <w:tcPr>
            <w:tcW w:type="dxa" w:w="17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UUID (FK → User)</w:t>
            </w:r>
          </w:p>
        </w:tc>
        <w:tc>
          <w:tcPr>
            <w:tcW w:type="dxa" w:w="8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64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The user who created the row. System-generated rows (scheduled jobs) reference a reserved system User account rather than leaving this null, so every row has a traceable actor.</w:t>
            </w:r>
          </w:p>
        </w:tc>
      </w:tr>
      <w:tr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7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8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64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Server-generated timestamp (now()) at row creation. Never client-supplied, to prevent timestamp manipulation.</w:t>
            </w:r>
          </w:p>
        </w:tc>
      </w:tr>
      <w:tr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updated_by</w:t>
            </w:r>
          </w:p>
        </w:tc>
        <w:tc>
          <w:tcPr>
            <w:tcW w:type="dxa" w:w="17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UUID (FK → User)</w:t>
            </w:r>
          </w:p>
        </w:tc>
        <w:tc>
          <w:tcPr>
            <w:tcW w:type="dxa" w:w="8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64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The user who most recently modified the row, including the user who soft-deleted it — a deletion is recorded as an update setting deleted_at, so a separate deleted_by column would duplicate updated_by at the moment of deletion and is deliberately not included.</w:t>
            </w:r>
          </w:p>
        </w:tc>
      </w:tr>
      <w:tr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updated_at</w:t>
            </w:r>
          </w:p>
        </w:tc>
        <w:tc>
          <w:tcPr>
            <w:tcW w:type="dxa" w:w="17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8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64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Server-generated timestamp of the most recent modification, including soft-deletion.</w:t>
            </w:r>
          </w:p>
        </w:tc>
      </w:tr>
      <w:tr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deleted_at</w:t>
            </w:r>
          </w:p>
        </w:tc>
        <w:tc>
          <w:tcPr>
            <w:tcW w:type="dxa" w:w="17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8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64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NULL for an active row; populated at the moment of soft-deletion. This nullable timestamp is itself the soft-delete flag — WHERE deleted_at IS NULL is the standard active-row predicate — so a separate boolean soft_delete_flag column is deliberately not included, avoiding the data-drift risk of two columns that must always agree with each other.</w:t>
            </w:r>
          </w:p>
        </w:tc>
      </w:tr>
      <w:tr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version_no</w:t>
            </w:r>
          </w:p>
        </w:tc>
        <w:tc>
          <w:tcPr>
            <w:tcW w:type="dxa" w:w="17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INTEGER, default 1</w:t>
            </w:r>
          </w:p>
        </w:tc>
        <w:tc>
          <w:tcPr>
            <w:tcW w:type="dxa" w:w="8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64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Incremented on every update, supporting optimistic concurrency control: an update is rejected if the submitted version_no does not match the current row, preventing silent overwrite when two users edit the same record concurrently — most relevant for Document, Task, and WorkPlan, which SRS Parts 6, 11, and 4 all describe as collaboratively edited.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5C2D91" w:sz="6" w:space="4"/>
        </w:pBdr>
        <w:spacing w:after="130" w:before="320"/>
      </w:pPr>
      <w:r>
        <w:t xml:space="preserve">10.3 Requested Fields Deliberately Not Made Universal</w:t>
      </w:r>
    </w:p>
    <w:p>
      <w:pPr>
        <w:spacing w:after="150" w:line="276"/>
        <w:jc w:val="both"/>
      </w:pPr>
      <w:r>
        <w:t xml:space="preserve">Four further fields were named in the DDS brief as candidate universal audit fields. Each is addressed below with the reasoning for why it is not added as a literal column on every table — per the QA principle of eliminating redundant fields, a generic column that duplicates a better entity-specific equivalent is a design defect, not added rigour.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2"/>
        <w:gridCol w:w="2088"/>
        <w:gridCol w:w="6890"/>
      </w:tblGrid>
      <w:tr>
        <w:trPr>
          <w:tblHeader/>
        </w:trPr>
        <w:tc>
          <w:tcPr>
            <w:tcW w:type="dxa" w:w="1462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Requested Field</w:t>
            </w:r>
          </w:p>
        </w:tc>
        <w:tc>
          <w:tcPr>
            <w:tcW w:type="dxa" w:w="2088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Disposition</w:t>
            </w:r>
          </w:p>
        </w:tc>
        <w:tc>
          <w:tcPr>
            <w:tcW w:type="dxa" w:w="6890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Reasoning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Status</w:t>
            </w:r>
          </w:p>
        </w:tc>
        <w:tc>
          <w:tcPr>
            <w:tcW w:type="dxa" w:w="20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Not universal — entity-specific instead</w:t>
            </w:r>
          </w:p>
        </w:tc>
        <w:tc>
          <w:tcPr>
            <w:tcW w:type="dxa" w:w="689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Every entity that has a meaningful status already has a domain-precise ENUM status field in Section 4 (Task.status, Document.status, WorkPlan.status, and 20+ others catalogued in Part 7). A generic status column alongside these would either duplicate them or force an awkward second status concept per table.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Approval Status</w:t>
            </w:r>
          </w:p>
        </w:tc>
        <w:tc>
          <w:tcPr>
            <w:tcW w:type="dxa" w:w="20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Not universal — modelled once, correctly, on WorkflowItem and Decision</w:t>
            </w:r>
          </w:p>
        </w:tc>
        <w:tc>
          <w:tcPr>
            <w:tcW w:type="dxa" w:w="689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Approval status is not a property of an arbitrary row; it is the property of a WorkflowItem instance (Section 3, Domain 7) that a Document, WorkPlan, or Decision may or may not currently have. Adding an approval_status column to every table would be meaningless for the ~45 entities that never go through approval.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Workflow Status</w:t>
            </w:r>
          </w:p>
        </w:tc>
        <w:tc>
          <w:tcPr>
            <w:tcW w:type="dxa" w:w="20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Same disposition as Approval Status</w:t>
            </w:r>
          </w:p>
        </w:tc>
        <w:tc>
          <w:tcPr>
            <w:tcW w:type="dxa" w:w="689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WorkflowItem.status (Section 4) is the single authoritative workflow-status field in the schema; entities under workflow reference it via workflow_item_id (Section 5.2) rather than duplicating its value.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Source System</w:t>
            </w:r>
          </w:p>
        </w:tc>
        <w:tc>
          <w:tcPr>
            <w:tcW w:type="dxa" w:w="20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Not universal in Phase 1 — reserved for Part 17 future integration readiness</w:t>
            </w:r>
          </w:p>
        </w:tc>
        <w:tc>
          <w:tcPr>
            <w:tcW w:type="dxa" w:w="689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Phase 1 has a single system of record for every entity (this schema itself); a source_system column has no discriminating value until an external system (a future ERP or M&amp;E platform integration, Part 17) can also originate records. It is named in Part 17 as a Phase 2+ schema extension rather than added as dead weight now.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Change Reason</w:t>
            </w:r>
          </w:p>
        </w:tc>
        <w:tc>
          <w:tcPr>
            <w:tcW w:type="dxa" w:w="20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Not universal — added selectively to governance-sensitive tables only</w:t>
            </w:r>
          </w:p>
        </w:tc>
        <w:tc>
          <w:tcPr>
            <w:tcW w:type="dxa" w:w="689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 free-text change_reason column is genuinely useful on a small number of governance-sensitive tables where a change's rationale matters for audit (Risk.status, Issue.status, Decision.approval_status changes, and SecurityIncident) — these already carry the relevant narrative in existing fields (resolution_note, rationale) or should have one added at implementation. Adding change_reason to all 62 tables would sit empty on the ~50 tables where routine field edits need no justification, which is the redundancy the QA section warns against.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5C2D91" w:sz="6" w:space="4"/>
        </w:pBdr>
        <w:spacing w:after="130" w:before="320"/>
      </w:pPr>
      <w:r>
        <w:t xml:space="preserve">10.4 Scope: Which Tables Are Exempt</w:t>
      </w:r>
    </w:p>
    <w:p>
      <w:pPr>
        <w:spacing w:after="150" w:line="276"/>
        <w:jc w:val="both"/>
      </w:pPr>
      <w:r>
        <w:t xml:space="preserve">Every entity in Section 3 carries the six universal audit fields except three genuinely non-governed, high-volume derived tables where the audit fields would themselves be redundant: SearchIndexEntry (a rebuildable projection, Section 1.6, whose only meaningful timestamp is indexed_at, already modelled), AnalyticsSnapshot (an immutable, insert-only fact table where created_at alone — modelled as snapshot_date — fully captures its provenance, and update/delete never occur), and AuditLog itself (the audit trail cannot meaningfully audit itself; its own occurred_at timestamp is its provenance record).</w:t>
      </w:r>
    </w:p>
    <w:p>
      <w:pPr>
        <w:pStyle w:val="Heading1"/>
        <w:pBdr>
          <w:bottom w:val="single" w:color="5C2D91" w:sz="6" w:space="4"/>
        </w:pBdr>
        <w:spacing w:after="130" w:before="320"/>
      </w:pPr>
      <w:r>
        <w:t xml:space="preserve">10.5 Implementation Note</w:t>
      </w:r>
    </w:p>
    <w:p>
      <w:pPr>
        <w:spacing w:after="150" w:line="276"/>
        <w:jc w:val="both"/>
      </w:pPr>
      <w:r>
        <w:t xml:space="preserve">At the physical DDL level, the six universal audit fields are implemented once as a reusable column set applied consistently via the migration tooling's table-creation helper (or, in a pure-SQL migration approach, a documented boilerplate block copy-pasted into every CREATE TABLE statement with a comment referencing this Part) — not hand-typed per table, to guarantee the naming and typing consistency this Part depends on. updated_at is additionally maintained by a standard PostgreSQL trigger (BEFORE UPDATE, setting NEW.updated_at = now() and NEW.version_no = OLD.version_no + 1) rather than relying on every application code path to remember to set it manually.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rFonts w:ascii="Arial" w:cs="Arial" w:eastAsia="Arial" w:hAnsi="Arial"/>
      <w:b/>
      <w:bCs/>
      <w:color w:val="5C2D91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Arial" w:cs="Arial" w:eastAsia="Arial" w:hAnsi="Arial"/>
      <w:b/>
      <w:bCs/>
      <w:color w:val="7A43B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2026-07-19T08:49:17.077Z</dcterms:created>
  <dcterms:modified xsi:type="dcterms:W3CDTF">2026-07-19T08:49:17.078Z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