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11 — Security Model</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11.1 Security Model Overview</w:t>
      </w:r>
    </w:p>
    <w:p>
      <w:pPr>
        <w:spacing w:after="150" w:line="276"/>
        <w:jc w:val="both"/>
      </w:pPr>
      <w:r>
        <w:t xml:space="preserve">This Part converts the security requirements fixed in SRS Part 32 (platform-wide Security Requirements) and the NDPR compliance summary in the Methodology into concrete schema-level controls: which fields are sensitive, how they are protected, how row- and column-level access is enforced in PostgreSQL, and how the retention obligations named throughout Section 3's Entity Catalogue are actually implemented.</w:t>
      </w:r>
    </w:p>
    <w:p>
      <w:pPr>
        <w:pStyle w:val="Heading1"/>
        <w:pBdr>
          <w:bottom w:val="single" w:color="5C2D91" w:sz="6" w:space="4"/>
        </w:pBdr>
        <w:spacing w:after="130" w:before="320"/>
      </w:pPr>
      <w:r>
        <w:t xml:space="preserve">11.2 Sensitive Fields and PII Inventory</w:t>
      </w:r>
    </w:p>
    <w:p>
      <w:pPr>
        <w:spacing w:after="150" w:line="276"/>
        <w:jc w:val="both"/>
      </w:pPr>
      <w:r>
        <w:t xml:space="preserve">Eleven fields across the schema are flagged Sensitive in the Data Dictionary (Section 4), each requiring encryption at rest per Section 4's blanket policy statement. This is the complete inventory, consolidated for the security review team so it does not need to be re-derived by scanning all 62 entity tables individually.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758"/>
        <w:gridCol w:w="3758"/>
        <w:gridCol w:w="2923"/>
      </w:tblGrid>
      <w:tr>
        <w:trPr>
          <w:tblHeader/>
        </w:trPr>
        <w:tc>
          <w:tcPr>
            <w:tcW w:type="dxa" w:w="3758"/>
            <w:shd w:fill="5C2D91" w:val="clear"/>
            <w:tcMar>
              <w:top w:type="dxa" w:w="50"/>
              <w:left w:type="dxa" w:w="80"/>
              <w:bottom w:type="dxa" w:w="50"/>
              <w:right w:type="dxa" w:w="80"/>
            </w:tcMar>
            <w:vAlign w:val="top"/>
          </w:tcPr>
          <w:p>
            <w:r>
              <w:rPr>
                <w:b/>
                <w:bCs/>
                <w:color w:val="FFFFFF"/>
                <w:sz w:val="15"/>
                <w:szCs w:val="15"/>
              </w:rPr>
              <w:t xml:space="preserve">Entity</w:t>
            </w:r>
          </w:p>
        </w:tc>
        <w:tc>
          <w:tcPr>
            <w:tcW w:type="dxa" w:w="3758"/>
            <w:shd w:fill="5C2D91" w:val="clear"/>
            <w:tcMar>
              <w:top w:type="dxa" w:w="50"/>
              <w:left w:type="dxa" w:w="80"/>
              <w:bottom w:type="dxa" w:w="50"/>
              <w:right w:type="dxa" w:w="80"/>
            </w:tcMar>
            <w:vAlign w:val="top"/>
          </w:tcPr>
          <w:p>
            <w:r>
              <w:rPr>
                <w:b/>
                <w:bCs/>
                <w:color w:val="FFFFFF"/>
                <w:sz w:val="15"/>
                <w:szCs w:val="15"/>
              </w:rPr>
              <w:t xml:space="preserve">Field</w:t>
            </w:r>
          </w:p>
        </w:tc>
        <w:tc>
          <w:tcPr>
            <w:tcW w:type="dxa" w:w="2923"/>
            <w:shd w:fill="5C2D91" w:val="clear"/>
            <w:tcMar>
              <w:top w:type="dxa" w:w="50"/>
              <w:left w:type="dxa" w:w="80"/>
              <w:bottom w:type="dxa" w:w="50"/>
              <w:right w:type="dxa" w:w="80"/>
            </w:tcMar>
            <w:vAlign w:val="top"/>
          </w:tcPr>
          <w:p>
            <w:r>
              <w:rPr>
                <w:b/>
                <w:bCs/>
                <w:color w:val="FFFFFF"/>
                <w:sz w:val="15"/>
                <w:szCs w:val="15"/>
              </w:rPr>
              <w:t xml:space="preserve">Type</w:t>
            </w:r>
          </w:p>
        </w:tc>
      </w:tr>
      <w:tr>
        <w:tc>
          <w:tcPr>
            <w:tcW w:type="dxa" w:w="3758"/>
            <w:tcMar>
              <w:top w:type="dxa" w:w="50"/>
              <w:left w:type="dxa" w:w="80"/>
              <w:bottom w:type="dxa" w:w="50"/>
              <w:right w:type="dxa" w:w="80"/>
            </w:tcMar>
            <w:vAlign w:val="top"/>
          </w:tcPr>
          <w:p>
            <w:r>
              <w:rPr>
                <w:b/>
                <w:bCs/>
                <w:color w:val="000000"/>
                <w:sz w:val="16"/>
                <w:szCs w:val="16"/>
              </w:rPr>
              <w:t xml:space="preserve">User</w:t>
            </w:r>
          </w:p>
        </w:tc>
        <w:tc>
          <w:tcPr>
            <w:tcW w:type="dxa" w:w="3758"/>
            <w:tcMar>
              <w:top w:type="dxa" w:w="50"/>
              <w:left w:type="dxa" w:w="80"/>
              <w:bottom w:type="dxa" w:w="50"/>
              <w:right w:type="dxa" w:w="80"/>
            </w:tcMar>
            <w:vAlign w:val="top"/>
          </w:tcPr>
          <w:p>
            <w:r>
              <w:rPr>
                <w:b w:val="false"/>
                <w:bCs w:val="false"/>
                <w:color w:val="000000"/>
                <w:sz w:val="16"/>
                <w:szCs w:val="16"/>
              </w:rPr>
              <w:t xml:space="preserve">email</w:t>
            </w:r>
          </w:p>
        </w:tc>
        <w:tc>
          <w:tcPr>
            <w:tcW w:type="dxa" w:w="2923"/>
            <w:tcMar>
              <w:top w:type="dxa" w:w="50"/>
              <w:left w:type="dxa" w:w="80"/>
              <w:bottom w:type="dxa" w:w="50"/>
              <w:right w:type="dxa" w:w="80"/>
            </w:tcMar>
            <w:vAlign w:val="top"/>
          </w:tcPr>
          <w:p>
            <w:r>
              <w:rPr>
                <w:b w:val="false"/>
                <w:bCs w:val="false"/>
                <w:color w:val="000000"/>
                <w:sz w:val="16"/>
                <w:szCs w:val="16"/>
              </w:rPr>
              <w:t xml:space="preserve">VARCHAR(255)</w:t>
            </w:r>
          </w:p>
        </w:tc>
      </w:tr>
      <w:tr>
        <w:tc>
          <w:tcPr>
            <w:tcW w:type="dxa" w:w="3758"/>
            <w:tcMar>
              <w:top w:type="dxa" w:w="50"/>
              <w:left w:type="dxa" w:w="80"/>
              <w:bottom w:type="dxa" w:w="50"/>
              <w:right w:type="dxa" w:w="80"/>
            </w:tcMar>
            <w:vAlign w:val="top"/>
          </w:tcPr>
          <w:p>
            <w:r>
              <w:rPr>
                <w:b/>
                <w:bCs/>
                <w:color w:val="000000"/>
                <w:sz w:val="16"/>
                <w:szCs w:val="16"/>
              </w:rPr>
              <w:t xml:space="preserve">User</w:t>
            </w:r>
          </w:p>
        </w:tc>
        <w:tc>
          <w:tcPr>
            <w:tcW w:type="dxa" w:w="3758"/>
            <w:tcMar>
              <w:top w:type="dxa" w:w="50"/>
              <w:left w:type="dxa" w:w="80"/>
              <w:bottom w:type="dxa" w:w="50"/>
              <w:right w:type="dxa" w:w="80"/>
            </w:tcMar>
            <w:vAlign w:val="top"/>
          </w:tcPr>
          <w:p>
            <w:r>
              <w:rPr>
                <w:b w:val="false"/>
                <w:bCs w:val="false"/>
                <w:color w:val="000000"/>
                <w:sz w:val="16"/>
                <w:szCs w:val="16"/>
              </w:rPr>
              <w:t xml:space="preserve">phone</w:t>
            </w:r>
          </w:p>
        </w:tc>
        <w:tc>
          <w:tcPr>
            <w:tcW w:type="dxa" w:w="2923"/>
            <w:tcMar>
              <w:top w:type="dxa" w:w="50"/>
              <w:left w:type="dxa" w:w="80"/>
              <w:bottom w:type="dxa" w:w="50"/>
              <w:right w:type="dxa" w:w="80"/>
            </w:tcMar>
            <w:vAlign w:val="top"/>
          </w:tcPr>
          <w:p>
            <w:r>
              <w:rPr>
                <w:b w:val="false"/>
                <w:bCs w:val="false"/>
                <w:color w:val="000000"/>
                <w:sz w:val="16"/>
                <w:szCs w:val="16"/>
              </w:rPr>
              <w:t xml:space="preserve">VARCHAR(20)</w:t>
            </w:r>
          </w:p>
        </w:tc>
      </w:tr>
      <w:tr>
        <w:tc>
          <w:tcPr>
            <w:tcW w:type="dxa" w:w="3758"/>
            <w:tcMar>
              <w:top w:type="dxa" w:w="50"/>
              <w:left w:type="dxa" w:w="80"/>
              <w:bottom w:type="dxa" w:w="50"/>
              <w:right w:type="dxa" w:w="80"/>
            </w:tcMar>
            <w:vAlign w:val="top"/>
          </w:tcPr>
          <w:p>
            <w:r>
              <w:rPr>
                <w:b/>
                <w:bCs/>
                <w:color w:val="000000"/>
                <w:sz w:val="16"/>
                <w:szCs w:val="16"/>
              </w:rPr>
              <w:t xml:space="preserve">User</w:t>
            </w:r>
          </w:p>
        </w:tc>
        <w:tc>
          <w:tcPr>
            <w:tcW w:type="dxa" w:w="3758"/>
            <w:tcMar>
              <w:top w:type="dxa" w:w="50"/>
              <w:left w:type="dxa" w:w="80"/>
              <w:bottom w:type="dxa" w:w="50"/>
              <w:right w:type="dxa" w:w="80"/>
            </w:tcMar>
            <w:vAlign w:val="top"/>
          </w:tcPr>
          <w:p>
            <w:r>
              <w:rPr>
                <w:b w:val="false"/>
                <w:bCs w:val="false"/>
                <w:color w:val="000000"/>
                <w:sz w:val="16"/>
                <w:szCs w:val="16"/>
              </w:rPr>
              <w:t xml:space="preserve">password_hash</w:t>
            </w:r>
          </w:p>
        </w:tc>
        <w:tc>
          <w:tcPr>
            <w:tcW w:type="dxa" w:w="2923"/>
            <w:tcMar>
              <w:top w:type="dxa" w:w="50"/>
              <w:left w:type="dxa" w:w="80"/>
              <w:bottom w:type="dxa" w:w="50"/>
              <w:right w:type="dxa" w:w="80"/>
            </w:tcMar>
            <w:vAlign w:val="top"/>
          </w:tcPr>
          <w:p>
            <w:r>
              <w:rPr>
                <w:b w:val="false"/>
                <w:bCs w:val="false"/>
                <w:color w:val="000000"/>
                <w:sz w:val="16"/>
                <w:szCs w:val="16"/>
              </w:rPr>
              <w:t xml:space="preserve">TEXT</w:t>
            </w:r>
          </w:p>
        </w:tc>
      </w:tr>
      <w:tr>
        <w:tc>
          <w:tcPr>
            <w:tcW w:type="dxa" w:w="3758"/>
            <w:tcMar>
              <w:top w:type="dxa" w:w="50"/>
              <w:left w:type="dxa" w:w="80"/>
              <w:bottom w:type="dxa" w:w="50"/>
              <w:right w:type="dxa" w:w="80"/>
            </w:tcMar>
            <w:vAlign w:val="top"/>
          </w:tcPr>
          <w:p>
            <w:r>
              <w:rPr>
                <w:b/>
                <w:bCs/>
                <w:color w:val="000000"/>
                <w:sz w:val="16"/>
                <w:szCs w:val="16"/>
              </w:rPr>
              <w:t xml:space="preserve">MFAToken</w:t>
            </w:r>
          </w:p>
        </w:tc>
        <w:tc>
          <w:tcPr>
            <w:tcW w:type="dxa" w:w="3758"/>
            <w:tcMar>
              <w:top w:type="dxa" w:w="50"/>
              <w:left w:type="dxa" w:w="80"/>
              <w:bottom w:type="dxa" w:w="50"/>
              <w:right w:type="dxa" w:w="80"/>
            </w:tcMar>
            <w:vAlign w:val="top"/>
          </w:tcPr>
          <w:p>
            <w:r>
              <w:rPr>
                <w:b w:val="false"/>
                <w:bCs w:val="false"/>
                <w:color w:val="000000"/>
                <w:sz w:val="16"/>
                <w:szCs w:val="16"/>
              </w:rPr>
              <w:t xml:space="preserve">secret_encrypted</w:t>
            </w:r>
          </w:p>
        </w:tc>
        <w:tc>
          <w:tcPr>
            <w:tcW w:type="dxa" w:w="2923"/>
            <w:tcMar>
              <w:top w:type="dxa" w:w="50"/>
              <w:left w:type="dxa" w:w="80"/>
              <w:bottom w:type="dxa" w:w="50"/>
              <w:right w:type="dxa" w:w="80"/>
            </w:tcMar>
            <w:vAlign w:val="top"/>
          </w:tcPr>
          <w:p>
            <w:r>
              <w:rPr>
                <w:b w:val="false"/>
                <w:bCs w:val="false"/>
                <w:color w:val="000000"/>
                <w:sz w:val="16"/>
                <w:szCs w:val="16"/>
              </w:rPr>
              <w:t xml:space="preserve">TEXT</w:t>
            </w:r>
          </w:p>
        </w:tc>
      </w:tr>
      <w:tr>
        <w:tc>
          <w:tcPr>
            <w:tcW w:type="dxa" w:w="3758"/>
            <w:tcMar>
              <w:top w:type="dxa" w:w="50"/>
              <w:left w:type="dxa" w:w="80"/>
              <w:bottom w:type="dxa" w:w="50"/>
              <w:right w:type="dxa" w:w="80"/>
            </w:tcMar>
            <w:vAlign w:val="top"/>
          </w:tcPr>
          <w:p>
            <w:r>
              <w:rPr>
                <w:b/>
                <w:bCs/>
                <w:color w:val="000000"/>
                <w:sz w:val="16"/>
                <w:szCs w:val="16"/>
              </w:rPr>
              <w:t xml:space="preserve">Organization</w:t>
            </w:r>
          </w:p>
        </w:tc>
        <w:tc>
          <w:tcPr>
            <w:tcW w:type="dxa" w:w="3758"/>
            <w:tcMar>
              <w:top w:type="dxa" w:w="50"/>
              <w:left w:type="dxa" w:w="80"/>
              <w:bottom w:type="dxa" w:w="50"/>
              <w:right w:type="dxa" w:w="80"/>
            </w:tcMar>
            <w:vAlign w:val="top"/>
          </w:tcPr>
          <w:p>
            <w:r>
              <w:rPr>
                <w:b w:val="false"/>
                <w:bCs w:val="false"/>
                <w:color w:val="000000"/>
                <w:sz w:val="16"/>
                <w:szCs w:val="16"/>
              </w:rPr>
              <w:t xml:space="preserve">contact_email</w:t>
            </w:r>
          </w:p>
        </w:tc>
        <w:tc>
          <w:tcPr>
            <w:tcW w:type="dxa" w:w="2923"/>
            <w:tcMar>
              <w:top w:type="dxa" w:w="50"/>
              <w:left w:type="dxa" w:w="80"/>
              <w:bottom w:type="dxa" w:w="50"/>
              <w:right w:type="dxa" w:w="80"/>
            </w:tcMar>
            <w:vAlign w:val="top"/>
          </w:tcPr>
          <w:p>
            <w:r>
              <w:rPr>
                <w:b w:val="false"/>
                <w:bCs w:val="false"/>
                <w:color w:val="000000"/>
                <w:sz w:val="16"/>
                <w:szCs w:val="16"/>
              </w:rPr>
              <w:t xml:space="preserve">VARCHAR(255)</w:t>
            </w:r>
          </w:p>
        </w:tc>
      </w:tr>
      <w:tr>
        <w:tc>
          <w:tcPr>
            <w:tcW w:type="dxa" w:w="3758"/>
            <w:tcMar>
              <w:top w:type="dxa" w:w="50"/>
              <w:left w:type="dxa" w:w="80"/>
              <w:bottom w:type="dxa" w:w="50"/>
              <w:right w:type="dxa" w:w="80"/>
            </w:tcMar>
            <w:vAlign w:val="top"/>
          </w:tcPr>
          <w:p>
            <w:r>
              <w:rPr>
                <w:b/>
                <w:bCs/>
                <w:color w:val="000000"/>
                <w:sz w:val="16"/>
                <w:szCs w:val="16"/>
              </w:rPr>
              <w:t xml:space="preserve">Project</w:t>
            </w:r>
          </w:p>
        </w:tc>
        <w:tc>
          <w:tcPr>
            <w:tcW w:type="dxa" w:w="3758"/>
            <w:tcMar>
              <w:top w:type="dxa" w:w="50"/>
              <w:left w:type="dxa" w:w="80"/>
              <w:bottom w:type="dxa" w:w="50"/>
              <w:right w:type="dxa" w:w="80"/>
            </w:tcMar>
            <w:vAlign w:val="top"/>
          </w:tcPr>
          <w:p>
            <w:r>
              <w:rPr>
                <w:b w:val="false"/>
                <w:bCs w:val="false"/>
                <w:color w:val="000000"/>
                <w:sz w:val="16"/>
                <w:szCs w:val="16"/>
              </w:rPr>
              <w:t xml:space="preserve">budget</w:t>
            </w:r>
          </w:p>
        </w:tc>
        <w:tc>
          <w:tcPr>
            <w:tcW w:type="dxa" w:w="2923"/>
            <w:tcMar>
              <w:top w:type="dxa" w:w="50"/>
              <w:left w:type="dxa" w:w="80"/>
              <w:bottom w:type="dxa" w:w="50"/>
              <w:right w:type="dxa" w:w="80"/>
            </w:tcMar>
            <w:vAlign w:val="top"/>
          </w:tcPr>
          <w:p>
            <w:r>
              <w:rPr>
                <w:b w:val="false"/>
                <w:bCs w:val="false"/>
                <w:color w:val="000000"/>
                <w:sz w:val="16"/>
                <w:szCs w:val="16"/>
              </w:rPr>
              <w:t xml:space="preserve">NUMERIC(16,2)</w:t>
            </w:r>
          </w:p>
        </w:tc>
      </w:tr>
      <w:tr>
        <w:tc>
          <w:tcPr>
            <w:tcW w:type="dxa" w:w="3758"/>
            <w:tcMar>
              <w:top w:type="dxa" w:w="50"/>
              <w:left w:type="dxa" w:w="80"/>
              <w:bottom w:type="dxa" w:w="50"/>
              <w:right w:type="dxa" w:w="80"/>
            </w:tcMar>
            <w:vAlign w:val="top"/>
          </w:tcPr>
          <w:p>
            <w:r>
              <w:rPr>
                <w:b/>
                <w:bCs/>
                <w:color w:val="000000"/>
                <w:sz w:val="16"/>
                <w:szCs w:val="16"/>
              </w:rPr>
              <w:t xml:space="preserve">AuditLog</w:t>
            </w:r>
          </w:p>
        </w:tc>
        <w:tc>
          <w:tcPr>
            <w:tcW w:type="dxa" w:w="3758"/>
            <w:tcMar>
              <w:top w:type="dxa" w:w="50"/>
              <w:left w:type="dxa" w:w="80"/>
              <w:bottom w:type="dxa" w:w="50"/>
              <w:right w:type="dxa" w:w="80"/>
            </w:tcMar>
            <w:vAlign w:val="top"/>
          </w:tcPr>
          <w:p>
            <w:r>
              <w:rPr>
                <w:b w:val="false"/>
                <w:bCs w:val="false"/>
                <w:color w:val="000000"/>
                <w:sz w:val="16"/>
                <w:szCs w:val="16"/>
              </w:rPr>
              <w:t xml:space="preserve">ip_address</w:t>
            </w:r>
          </w:p>
        </w:tc>
        <w:tc>
          <w:tcPr>
            <w:tcW w:type="dxa" w:w="2923"/>
            <w:tcMar>
              <w:top w:type="dxa" w:w="50"/>
              <w:left w:type="dxa" w:w="80"/>
              <w:bottom w:type="dxa" w:w="50"/>
              <w:right w:type="dxa" w:w="80"/>
            </w:tcMar>
            <w:vAlign w:val="top"/>
          </w:tcPr>
          <w:p>
            <w:r>
              <w:rPr>
                <w:b w:val="false"/>
                <w:bCs w:val="false"/>
                <w:color w:val="000000"/>
                <w:sz w:val="16"/>
                <w:szCs w:val="16"/>
              </w:rPr>
              <w:t xml:space="preserve">INET</w:t>
            </w:r>
          </w:p>
        </w:tc>
      </w:tr>
      <w:tr>
        <w:tc>
          <w:tcPr>
            <w:tcW w:type="dxa" w:w="3758"/>
            <w:tcMar>
              <w:top w:type="dxa" w:w="50"/>
              <w:left w:type="dxa" w:w="80"/>
              <w:bottom w:type="dxa" w:w="50"/>
              <w:right w:type="dxa" w:w="80"/>
            </w:tcMar>
            <w:vAlign w:val="top"/>
          </w:tcPr>
          <w:p>
            <w:r>
              <w:rPr>
                <w:b/>
                <w:bCs/>
                <w:color w:val="000000"/>
                <w:sz w:val="16"/>
                <w:szCs w:val="16"/>
              </w:rPr>
              <w:t xml:space="preserve">PortalSubscriber</w:t>
            </w:r>
          </w:p>
        </w:tc>
        <w:tc>
          <w:tcPr>
            <w:tcW w:type="dxa" w:w="3758"/>
            <w:tcMar>
              <w:top w:type="dxa" w:w="50"/>
              <w:left w:type="dxa" w:w="80"/>
              <w:bottom w:type="dxa" w:w="50"/>
              <w:right w:type="dxa" w:w="80"/>
            </w:tcMar>
            <w:vAlign w:val="top"/>
          </w:tcPr>
          <w:p>
            <w:r>
              <w:rPr>
                <w:b w:val="false"/>
                <w:bCs w:val="false"/>
                <w:color w:val="000000"/>
                <w:sz w:val="16"/>
                <w:szCs w:val="16"/>
              </w:rPr>
              <w:t xml:space="preserve">email</w:t>
            </w:r>
          </w:p>
        </w:tc>
        <w:tc>
          <w:tcPr>
            <w:tcW w:type="dxa" w:w="2923"/>
            <w:tcMar>
              <w:top w:type="dxa" w:w="50"/>
              <w:left w:type="dxa" w:w="80"/>
              <w:bottom w:type="dxa" w:w="50"/>
              <w:right w:type="dxa" w:w="80"/>
            </w:tcMar>
            <w:vAlign w:val="top"/>
          </w:tcPr>
          <w:p>
            <w:r>
              <w:rPr>
                <w:b w:val="false"/>
                <w:bCs w:val="false"/>
                <w:color w:val="000000"/>
                <w:sz w:val="16"/>
                <w:szCs w:val="16"/>
              </w:rPr>
              <w:t xml:space="preserve">VARCHAR(255)</w:t>
            </w:r>
          </w:p>
        </w:tc>
      </w:tr>
      <w:tr>
        <w:tc>
          <w:tcPr>
            <w:tcW w:type="dxa" w:w="3758"/>
            <w:tcMar>
              <w:top w:type="dxa" w:w="50"/>
              <w:left w:type="dxa" w:w="80"/>
              <w:bottom w:type="dxa" w:w="50"/>
              <w:right w:type="dxa" w:w="80"/>
            </w:tcMar>
            <w:vAlign w:val="top"/>
          </w:tcPr>
          <w:p>
            <w:r>
              <w:rPr>
                <w:b/>
                <w:bCs/>
                <w:color w:val="000000"/>
                <w:sz w:val="16"/>
                <w:szCs w:val="16"/>
              </w:rPr>
              <w:t xml:space="preserve">PortalContactMessage</w:t>
            </w:r>
          </w:p>
        </w:tc>
        <w:tc>
          <w:tcPr>
            <w:tcW w:type="dxa" w:w="3758"/>
            <w:tcMar>
              <w:top w:type="dxa" w:w="50"/>
              <w:left w:type="dxa" w:w="80"/>
              <w:bottom w:type="dxa" w:w="50"/>
              <w:right w:type="dxa" w:w="80"/>
            </w:tcMar>
            <w:vAlign w:val="top"/>
          </w:tcPr>
          <w:p>
            <w:r>
              <w:rPr>
                <w:b w:val="false"/>
                <w:bCs w:val="false"/>
                <w:color w:val="000000"/>
                <w:sz w:val="16"/>
                <w:szCs w:val="16"/>
              </w:rPr>
              <w:t xml:space="preserve">sender_name</w:t>
            </w:r>
          </w:p>
        </w:tc>
        <w:tc>
          <w:tcPr>
            <w:tcW w:type="dxa" w:w="2923"/>
            <w:tcMar>
              <w:top w:type="dxa" w:w="50"/>
              <w:left w:type="dxa" w:w="80"/>
              <w:bottom w:type="dxa" w:w="50"/>
              <w:right w:type="dxa" w:w="80"/>
            </w:tcMar>
            <w:vAlign w:val="top"/>
          </w:tcPr>
          <w:p>
            <w:r>
              <w:rPr>
                <w:b w:val="false"/>
                <w:bCs w:val="false"/>
                <w:color w:val="000000"/>
                <w:sz w:val="16"/>
                <w:szCs w:val="16"/>
              </w:rPr>
              <w:t xml:space="preserve">VARCHAR(150)</w:t>
            </w:r>
          </w:p>
        </w:tc>
      </w:tr>
      <w:tr>
        <w:tc>
          <w:tcPr>
            <w:tcW w:type="dxa" w:w="3758"/>
            <w:tcMar>
              <w:top w:type="dxa" w:w="50"/>
              <w:left w:type="dxa" w:w="80"/>
              <w:bottom w:type="dxa" w:w="50"/>
              <w:right w:type="dxa" w:w="80"/>
            </w:tcMar>
            <w:vAlign w:val="top"/>
          </w:tcPr>
          <w:p>
            <w:r>
              <w:rPr>
                <w:b/>
                <w:bCs/>
                <w:color w:val="000000"/>
                <w:sz w:val="16"/>
                <w:szCs w:val="16"/>
              </w:rPr>
              <w:t xml:space="preserve">PortalContactMessage</w:t>
            </w:r>
          </w:p>
        </w:tc>
        <w:tc>
          <w:tcPr>
            <w:tcW w:type="dxa" w:w="3758"/>
            <w:tcMar>
              <w:top w:type="dxa" w:w="50"/>
              <w:left w:type="dxa" w:w="80"/>
              <w:bottom w:type="dxa" w:w="50"/>
              <w:right w:type="dxa" w:w="80"/>
            </w:tcMar>
            <w:vAlign w:val="top"/>
          </w:tcPr>
          <w:p>
            <w:r>
              <w:rPr>
                <w:b w:val="false"/>
                <w:bCs w:val="false"/>
                <w:color w:val="000000"/>
                <w:sz w:val="16"/>
                <w:szCs w:val="16"/>
              </w:rPr>
              <w:t xml:space="preserve">sender_email</w:t>
            </w:r>
          </w:p>
        </w:tc>
        <w:tc>
          <w:tcPr>
            <w:tcW w:type="dxa" w:w="2923"/>
            <w:tcMar>
              <w:top w:type="dxa" w:w="50"/>
              <w:left w:type="dxa" w:w="80"/>
              <w:bottom w:type="dxa" w:w="50"/>
              <w:right w:type="dxa" w:w="80"/>
            </w:tcMar>
            <w:vAlign w:val="top"/>
          </w:tcPr>
          <w:p>
            <w:r>
              <w:rPr>
                <w:b w:val="false"/>
                <w:bCs w:val="false"/>
                <w:color w:val="000000"/>
                <w:sz w:val="16"/>
                <w:szCs w:val="16"/>
              </w:rPr>
              <w:t xml:space="preserve">VARCHAR(255)</w:t>
            </w:r>
          </w:p>
        </w:tc>
      </w:tr>
      <w:tr>
        <w:tc>
          <w:tcPr>
            <w:tcW w:type="dxa" w:w="3758"/>
            <w:tcMar>
              <w:top w:type="dxa" w:w="50"/>
              <w:left w:type="dxa" w:w="80"/>
              <w:bottom w:type="dxa" w:w="50"/>
              <w:right w:type="dxa" w:w="80"/>
            </w:tcMar>
            <w:vAlign w:val="top"/>
          </w:tcPr>
          <w:p>
            <w:r>
              <w:rPr>
                <w:b/>
                <w:bCs/>
                <w:color w:val="000000"/>
                <w:sz w:val="16"/>
                <w:szCs w:val="16"/>
              </w:rPr>
              <w:t xml:space="preserve">AIQueryLog</w:t>
            </w:r>
          </w:p>
        </w:tc>
        <w:tc>
          <w:tcPr>
            <w:tcW w:type="dxa" w:w="3758"/>
            <w:tcMar>
              <w:top w:type="dxa" w:w="50"/>
              <w:left w:type="dxa" w:w="80"/>
              <w:bottom w:type="dxa" w:w="50"/>
              <w:right w:type="dxa" w:w="80"/>
            </w:tcMar>
            <w:vAlign w:val="top"/>
          </w:tcPr>
          <w:p>
            <w:r>
              <w:rPr>
                <w:b w:val="false"/>
                <w:bCs w:val="false"/>
                <w:color w:val="000000"/>
                <w:sz w:val="16"/>
                <w:szCs w:val="16"/>
              </w:rPr>
              <w:t xml:space="preserve">query_text</w:t>
            </w:r>
          </w:p>
        </w:tc>
        <w:tc>
          <w:tcPr>
            <w:tcW w:type="dxa" w:w="2923"/>
            <w:tcMar>
              <w:top w:type="dxa" w:w="50"/>
              <w:left w:type="dxa" w:w="80"/>
              <w:bottom w:type="dxa" w:w="50"/>
              <w:right w:type="dxa" w:w="80"/>
            </w:tcMar>
            <w:vAlign w:val="top"/>
          </w:tcPr>
          <w:p>
            <w:r>
              <w:rPr>
                <w:b w:val="false"/>
                <w:bCs w:val="false"/>
                <w:color w:val="000000"/>
                <w:sz w:val="16"/>
                <w:szCs w:val="16"/>
              </w:rPr>
              <w:t xml:space="preserve">TEXT</w:t>
            </w:r>
          </w:p>
        </w:tc>
      </w:tr>
    </w:tbl>
    <w:p>
      <w:pPr>
        <w:spacing w:after="160"/>
      </w:pPr>
    </w:p>
    <w:p>
      <w:pPr>
        <w:pStyle w:val="Heading1"/>
        <w:pBdr>
          <w:bottom w:val="single" w:color="5C2D91" w:sz="6" w:space="4"/>
        </w:pBdr>
        <w:spacing w:after="130" w:before="320"/>
      </w:pPr>
      <w:r>
        <w:t xml:space="preserve">11.3 Encryption Strategy</w:t>
      </w:r>
    </w:p>
    <w:p>
      <w:pPr>
        <w:spacing w:after="150" w:line="276"/>
        <w:jc w:val="both"/>
      </w:pPr>
      <w:r>
        <w:t xml:space="preserve">Encryption in transit is universal and unconditional: every client-server and server-server connection uses TLS 1.2+, per EA Blueprint Section 8 — this is not a per-field decision, it is a network-layer control applied identically regardless of what data is being transmitted.</w:t>
      </w:r>
    </w:p>
    <w:p>
      <w:pPr>
        <w:spacing w:after="150" w:line="276"/>
        <w:jc w:val="both"/>
      </w:pPr>
      <w:r>
        <w:t xml:space="preserve">Encryption at rest applies at two levels. PostgreSQL's underlying storage volume is encrypted at the infrastructure level (disk/volume encryption, a hosting-provider configuration outside this schema's scope). Additionally, the eleven fields in Section 11.2 receive application-layer column encryption (pgcrypto's pgp_sym_encrypt, or equivalent application-layer AES-256-GCM encryption before write) — password_hash and MFAToken.secret_encrypted specifically must never be recoverable even by a database administrator with storage access, so these use one-way hashing (bcrypt/argon2) and encryption respectively, not a shared reversible key.</w:t>
      </w:r>
    </w:p>
    <w:p>
      <w:pPr>
        <w:spacing w:after="150" w:line="276"/>
        <w:jc w:val="both"/>
      </w:pPr>
      <w:r>
        <w:t xml:space="preserve">Masking is applied at the presentation layer for two of the eleven fields where full values are rarely needed for routine work: User.phone is displayed masked (e.g. +234 801 ••• 5678) on list screens and unmasked only on the individual profile detail screen for authorised roles; Project.budget is masked to a rounded range (e.g. "₦400M–₦500M") on screens visible to roles below Finance Officer / Coordinator, consistent with SRS Part 9's access-scoping requirement, while the exact figure remains available to Finance Officer, Coordinator, and Executive roles.</w:t>
      </w:r>
    </w:p>
    <w:p>
      <w:pPr>
        <w:pStyle w:val="Heading1"/>
        <w:pBdr>
          <w:bottom w:val="single" w:color="5C2D91" w:sz="6" w:space="4"/>
        </w:pBdr>
        <w:spacing w:after="130" w:before="320"/>
      </w:pPr>
      <w:r>
        <w:t xml:space="preserve">11.4 Row-Level Security (RLS)</w:t>
      </w:r>
    </w:p>
    <w:p>
      <w:pPr>
        <w:spacing w:after="150" w:line="276"/>
        <w:jc w:val="both"/>
      </w:pPr>
      <w:r>
        <w:t xml:space="preserve">PostgreSQL Row-Level Security policies enforce the state-scoping rule that recurs throughout the SRS ("a State Coordinator sees only their state's data; a National Coordinator sees all states") at the database level, not solely in application query filters — a defence-in-depth measure against an application-layer bug accidentally leaking cross-state data. RLS policies are applied to every entity carrying a state_id or a project_id resolvable to a state_id (Project, Task, Document, Risk, Issue, WorkPlan), using the authenticated session's current_setting('app.current_user_state_id') set by the application connection pool at the start of each request.</w:t>
      </w:r>
    </w:p>
    <w:p>
      <w:pPr>
        <w:spacing w:after="150" w:line="276"/>
        <w:jc w:val="both"/>
      </w:pPr>
      <w:r>
        <w:t xml:space="preserve">Two RLS policy patterns cover the schema: a state-scoped policy (USING (state_id = current_setting('app.current_user_state_id')::smallint OR current_setting('app.current_user_scope') = 'national')) applied to the six entities above, and a visibility-scoped policy for CKR content (USING (visibility = 'public' OR (visibility = 'registered' AND current_setting('app.is_authenticated')::boolean) OR current_setting('app.current_user_role') IN ('content_editor','km_unit'))) applied to KnowledgeArticle and MediaAsset.</w:t>
      </w:r>
    </w:p>
    <w:p>
      <w:pPr>
        <w:pStyle w:val="Heading1"/>
        <w:pBdr>
          <w:bottom w:val="single" w:color="5C2D91" w:sz="6" w:space="4"/>
        </w:pBdr>
        <w:spacing w:after="130" w:before="320"/>
      </w:pPr>
      <w:r>
        <w:t xml:space="preserve">11.5 Column-Level Security</w:t>
      </w:r>
    </w:p>
    <w:p>
      <w:pPr>
        <w:spacing w:after="150" w:line="276"/>
        <w:jc w:val="both"/>
      </w:pPr>
      <w:r>
        <w:t xml:space="preserve">Column-level security is enforced through PostgreSQL's GRANT/REVOKE on specific columns combined with database roles mirroring the application Role entity (Section 3, Domain 1) for the small number of fields where even read access should not be uniform across all authenticated users: password_hash and MFAToken.secret_encrypted are never selectable by any application-level database role, only by the authentication service's dedicated, narrowly-scoped database role; Project.budget's exact value is restricted at the column level to the Finance/Coordinator/Executive-mapped database roles, with other roles receiving the masked application-layer view described in Section 11.3.</w:t>
      </w:r>
    </w:p>
    <w:p>
      <w:pPr>
        <w:pStyle w:val="Heading1"/>
        <w:pBdr>
          <w:bottom w:val="single" w:color="5C2D91" w:sz="6" w:space="4"/>
        </w:pBdr>
        <w:spacing w:after="130" w:before="320"/>
      </w:pPr>
      <w:r>
        <w:t xml:space="preserve">11.6 Role-Based Access Control at the Schema Level</w:t>
      </w:r>
    </w:p>
    <w:p>
      <w:pPr>
        <w:spacing w:after="150" w:line="276"/>
        <w:jc w:val="both"/>
      </w:pPr>
      <w:r>
        <w:t xml:space="preserve">RBAC is primarily enforced in the application layer via the Role/Permission/RolePermission entities (Section 3, Domain 1) and the module.action permission codes they resolve to — this is the correct layer for feature-level authorisation ("can this role see the Approvals screen at all"). The schema-level controls in Sections 11.4 and 11.5 are the second, database-enforced layer for data-level authorisation ("of the rows this role's feature access permits querying, which specific rows may it see") — the two layers are deliberately complementary, not duplicative: application RBAC decides screen and action access; RLS and column grants decide row and column visibility within that access.</w:t>
      </w:r>
    </w:p>
    <w:p>
      <w:pPr>
        <w:pStyle w:val="Heading1"/>
        <w:pBdr>
          <w:bottom w:val="single" w:color="5C2D91" w:sz="6" w:space="4"/>
        </w:pBdr>
        <w:spacing w:after="130" w:before="320"/>
      </w:pPr>
      <w:r>
        <w:t xml:space="preserve">11.7 Audit Logging</w:t>
      </w:r>
    </w:p>
    <w:p>
      <w:pPr>
        <w:spacing w:after="150" w:line="276"/>
        <w:jc w:val="both"/>
      </w:pPr>
      <w:r>
        <w:t xml:space="preserve">AuditLog (Section 3, Domain 9) is the authoritative security audit trail, populated for every authentication event, every permission-check denial, and every write to a governance-sensitive table (WorkflowDecision, Document, Risk, Issue, Decision, SecurityIncident, and all Identity &amp; Access domain tables) — the full trigger list is maintained alongside the Screen Catalogue (SRS Part 23) rather than restated here. AuditLog rows are themselves protected by the strictest access control in the schema: SELECT is granted only to the ICT Administrator database role and a dedicated read-only security-review role; no role, including ICT Administrator, has UPDATE or DELETE grants on audit_log, enforced at the database-role level in addition to the application never exposing an edit path.</w:t>
      </w:r>
    </w:p>
    <w:p>
      <w:pPr>
        <w:pStyle w:val="Heading1"/>
        <w:pBdr>
          <w:bottom w:val="single" w:color="5C2D91" w:sz="6" w:space="4"/>
        </w:pBdr>
        <w:spacing w:after="130" w:before="320"/>
      </w:pPr>
      <w:r>
        <w:t xml:space="preserve">11.8 Retention and NDPR Compliance</w:t>
      </w:r>
    </w:p>
    <w:p>
      <w:pPr>
        <w:spacing w:after="150" w:line="276"/>
        <w:jc w:val="both"/>
      </w:pPr>
      <w:r>
        <w:t xml:space="preserve">Retention periods are fixed per-entity in the Entity Catalogue (Section 3) and are implemented as a scheduled job (not a database-level TTL, since PostgreSQL has no native row-expiry mechanism) that evaluates each entity's stated retention rule nightly and flags eligible rows for archival or the NDPR-mandated deletion path. NDPR-specific obligations map to schema features as follows: data minimisation (only fields with a stated business purpose in Section 4 exist — no speculative "just in case" columns), the data subject access/erasure request mechanism (implemented against PortalSubscriber and User via a dedicated application workflow that soft-deletes and, where legally required, purges PII fields specifically rather than the whole row), purpose limitation (CKR analytics data is anonymised — AnalyticsSnapshot and SearchIndexEntry carry no user-identifying columns), and the 72-hour breach notification procedure (SecurityIncident.npco_notified_at, Section 3, Domain 9, is the system-of-record timestamp proving compliance with this deadline).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2026-07-19T08:51:03.435Z</dcterms:created>
  <dcterms:modified xsi:type="dcterms:W3CDTF">2026-07-19T08:51:03.435Z</dcterms:modified>
</cp:coreProperties>
</file>

<file path=docProps/custom.xml><?xml version="1.0" encoding="utf-8"?>
<Properties xmlns="http://schemas.openxmlformats.org/officeDocument/2006/custom-properties" xmlns:vt="http://schemas.openxmlformats.org/officeDocument/2006/docPropsVTypes"/>
</file>